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17E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D17E0F" w:rsidRDefault="002D3C55">
            <w:pPr>
              <w:pStyle w:val="EPName"/>
            </w:pPr>
            <w:r>
              <w:t>Európsky parlament</w:t>
            </w:r>
          </w:p>
          <w:p w:rsidR="00D17E0F" w:rsidRDefault="002D3C55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D17E0F" w:rsidRDefault="002D3C55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17E0F" w:rsidRDefault="00D17E0F">
      <w:pPr>
        <w:pStyle w:val="LineTop"/>
      </w:pPr>
    </w:p>
    <w:p w:rsidR="00D17E0F" w:rsidRDefault="002D3C55">
      <w:pPr>
        <w:pStyle w:val="EPBodyTA1"/>
      </w:pPr>
      <w:r>
        <w:t>PRIJATÉ TEXTY</w:t>
      </w:r>
    </w:p>
    <w:p w:rsidR="00D17E0F" w:rsidRDefault="00D17E0F">
      <w:pPr>
        <w:pStyle w:val="LineBottom"/>
      </w:pPr>
    </w:p>
    <w:p w:rsidR="00D17E0F" w:rsidRDefault="002D3C55">
      <w:pPr>
        <w:pStyle w:val="ATHeading1"/>
      </w:pPr>
      <w:bookmarkStart w:id="0" w:name="TANumber"/>
      <w:r>
        <w:t>P9_TA(2024)0320</w:t>
      </w:r>
      <w:bookmarkEnd w:id="0"/>
    </w:p>
    <w:p w:rsidR="00D17E0F" w:rsidRDefault="002D3C55">
      <w:pPr>
        <w:pStyle w:val="ATHeading2"/>
      </w:pPr>
      <w:bookmarkStart w:id="1" w:name="title"/>
      <w:r>
        <w:t>Nástroj núdzovej pomoci pre jednotný trh</w:t>
      </w:r>
      <w:bookmarkEnd w:id="1"/>
    </w:p>
    <w:p w:rsidR="00D17E0F" w:rsidRDefault="002D3C55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A9-0246/2023</w:instrText>
      </w:r>
      <w:bookmarkEnd w:id="2"/>
      <w:r>
        <w:rPr>
          <w:i/>
        </w:rPr>
        <w:instrText xml:space="preserve"> - Spravodajca: Andreas Schwab)"\l3 \n&gt; \* MERGEFORMAT </w:instrText>
      </w:r>
      <w:r>
        <w:rPr>
          <w:i/>
        </w:rPr>
        <w:fldChar w:fldCharType="end"/>
      </w:r>
    </w:p>
    <w:p w:rsidR="00D17E0F" w:rsidRDefault="002D3C55">
      <w:pPr>
        <w:rPr>
          <w:vanish/>
        </w:rPr>
      </w:pPr>
      <w:bookmarkStart w:id="3" w:name="Commission"/>
      <w:r>
        <w:rPr>
          <w:vanish/>
        </w:rPr>
        <w:t>Výbor pre vnútorný trh a ochranu spotrebiteľa</w:t>
      </w:r>
      <w:bookmarkEnd w:id="3"/>
    </w:p>
    <w:p w:rsidR="00D17E0F" w:rsidRDefault="002D3C55">
      <w:pPr>
        <w:rPr>
          <w:vanish/>
        </w:rPr>
      </w:pPr>
      <w:bookmarkStart w:id="4" w:name="PE"/>
      <w:r>
        <w:rPr>
          <w:vanish/>
        </w:rPr>
        <w:t>PE742.468</w:t>
      </w:r>
      <w:bookmarkEnd w:id="4"/>
    </w:p>
    <w:p w:rsidR="00D17E0F" w:rsidRDefault="002D3C55">
      <w:pPr>
        <w:pStyle w:val="ATHeading3"/>
      </w:pPr>
      <w:bookmarkStart w:id="5" w:name="Sujet"/>
      <w:r>
        <w:t>Legislatívne uznesenie Európskeho parlamentu z 24. apríla 2024 o návrhu nariadenia Európskeho parlamentu a Rady, ktorým sa zriaďuje nástroj núdzovej pomoci pre jednotný trh a zrušuje sa nariadenie Rady (ES) č. 2679/98</w:t>
      </w:r>
      <w:bookmarkEnd w:id="5"/>
      <w:r>
        <w:t xml:space="preserve"> </w:t>
      </w:r>
      <w:bookmarkStart w:id="6" w:name="References"/>
      <w:r>
        <w:t>(COM(2022)0459 – C9-0315/2022 – 2022/0278(COD))</w:t>
      </w:r>
      <w:bookmarkEnd w:id="6"/>
    </w:p>
    <w:p w:rsidR="00D17E0F" w:rsidRDefault="00D17E0F"/>
    <w:p w:rsidR="00D17E0F" w:rsidRDefault="002D3C55">
      <w:pPr>
        <w:pStyle w:val="NormalBold"/>
      </w:pPr>
      <w:bookmarkStart w:id="7" w:name="TextBodyBegin"/>
      <w:bookmarkEnd w:id="7"/>
      <w:r>
        <w:t>(Riadny legislatívny postup: prvé čítanie)</w:t>
      </w:r>
    </w:p>
    <w:p w:rsidR="00D17E0F" w:rsidRDefault="002D3C55">
      <w:pPr>
        <w:pStyle w:val="EPComma"/>
      </w:pPr>
      <w:r>
        <w:rPr>
          <w:i/>
        </w:rPr>
        <w:t>Európsky parlament</w:t>
      </w:r>
      <w:r>
        <w:t>,</w:t>
      </w:r>
    </w:p>
    <w:p w:rsidR="00D17E0F" w:rsidRDefault="002D3C55">
      <w:pPr>
        <w:pStyle w:val="NormalHanging12a"/>
      </w:pPr>
      <w:r>
        <w:t>–</w:t>
      </w:r>
      <w:r>
        <w:tab/>
        <w:t>so zreteľom na návrh Komisie pre Európsky parlament a Radu (COM(2022)0459),</w:t>
      </w:r>
    </w:p>
    <w:p w:rsidR="00D17E0F" w:rsidRDefault="002D3C55">
      <w:pPr>
        <w:pStyle w:val="NormalHanging12a"/>
      </w:pPr>
      <w:r>
        <w:t>–</w:t>
      </w:r>
      <w:r>
        <w:tab/>
        <w:t>so zreteľom na článok 294 ods. 2 a články 114, 21 a 46 Zmluvy o fungovaní Európskej únie, v súlade s ktorými Komisia predložila návrh Európskemu parlamentu (C9</w:t>
      </w:r>
      <w:r>
        <w:noBreakHyphen/>
        <w:t>0315/2022),</w:t>
      </w:r>
    </w:p>
    <w:p w:rsidR="00D17E0F" w:rsidRDefault="002D3C55">
      <w:pPr>
        <w:pStyle w:val="NormalHanging12a"/>
      </w:pPr>
      <w:r>
        <w:t>–</w:t>
      </w:r>
      <w:r>
        <w:tab/>
        <w:t>so zreteľom na článok 294 ods. 3 Zmluvy o fungovaní Európskej únie,</w:t>
      </w:r>
    </w:p>
    <w:p w:rsidR="00D17E0F" w:rsidRDefault="002D3C55">
      <w:pPr>
        <w:pStyle w:val="NormalHanging12a"/>
      </w:pPr>
      <w:r>
        <w:t>–</w:t>
      </w:r>
      <w:r>
        <w:tab/>
        <w:t>so zreteľom na odôvodnené stanovisko predložené na základe Protokolu č. 2 o uplatňovaní zásad subsidiarity a proporcionality švédskym parlamentom, ktorý tvrdí, že návrh legislatívneho aktu nie je v súlade so zásadou subsidiarity,</w:t>
      </w:r>
    </w:p>
    <w:p w:rsidR="00D17E0F" w:rsidRDefault="002D3C55">
      <w:pPr>
        <w:pStyle w:val="NormalHanging12a"/>
      </w:pPr>
      <w:r>
        <w:t>–</w:t>
      </w:r>
      <w:r>
        <w:tab/>
        <w:t>so zreteľom na stanovisko Európskeho hospodárskeho a sociálneho výboru zo 14. decembra 2022</w:t>
      </w:r>
      <w:r>
        <w:rPr>
          <w:rStyle w:val="FootnoteReference"/>
        </w:rPr>
        <w:footnoteReference w:id="1"/>
      </w:r>
      <w:r>
        <w:t>,</w:t>
      </w:r>
    </w:p>
    <w:p w:rsidR="00D17E0F" w:rsidRDefault="002D3C55">
      <w:pPr>
        <w:pStyle w:val="NormalHanging12a"/>
      </w:pPr>
      <w:r>
        <w:t>–</w:t>
      </w:r>
      <w:r>
        <w:tab/>
        <w:t>so zreteľom na stanovisko Výboru regiónov z 8. februára 2023</w:t>
      </w:r>
      <w:r>
        <w:rPr>
          <w:vertAlign w:val="superscript"/>
        </w:rPr>
        <w:footnoteReference w:id="2"/>
      </w:r>
      <w:r>
        <w:t>,</w:t>
      </w:r>
    </w:p>
    <w:p w:rsidR="00D17E0F" w:rsidRDefault="002D3C55">
      <w:pPr>
        <w:pStyle w:val="NormalHanging12a"/>
      </w:pPr>
      <w:r>
        <w:t>–</w:t>
      </w:r>
      <w:r>
        <w:tab/>
        <w:t>so zreteľom na predbežnú dohodu schválenú gestorským výborom podľa článku 74 ods. 4 rokovacieho poriadku, a na záväzok zástupcu Rady, vyjadrený v liste zo 16. februára 2024, schváliť pozíciu Európskeho parlamentu v súlade s článkom 294 ods. 4 Zmluvy o fungovaní Európskej únie,</w:t>
      </w:r>
    </w:p>
    <w:p w:rsidR="00D17E0F" w:rsidRDefault="002D3C55">
      <w:pPr>
        <w:pStyle w:val="NormalHanging12a"/>
      </w:pPr>
      <w:r>
        <w:lastRenderedPageBreak/>
        <w:t>–</w:t>
      </w:r>
      <w:r>
        <w:tab/>
        <w:t>so zreteľom na článok 59 rokovacieho poriadku,</w:t>
      </w:r>
    </w:p>
    <w:p w:rsidR="00D17E0F" w:rsidRDefault="002D3C55">
      <w:pPr>
        <w:pStyle w:val="NormalHanging12a"/>
      </w:pPr>
      <w:r>
        <w:t>–</w:t>
      </w:r>
      <w:r>
        <w:tab/>
        <w:t xml:space="preserve">so zreteľom na listy Výboru pre rozpočet, </w:t>
      </w:r>
    </w:p>
    <w:p w:rsidR="00D17E0F" w:rsidRDefault="002D3C55">
      <w:pPr>
        <w:pStyle w:val="NormalHanging12a"/>
      </w:pPr>
      <w:r>
        <w:t>–</w:t>
      </w:r>
      <w:r>
        <w:tab/>
        <w:t>so zreteľom na stanoviská Výboru pre zamestnanosť a sociálne veci a Výboru pre priemysel, výskum a energetiku,</w:t>
      </w:r>
    </w:p>
    <w:p w:rsidR="00D17E0F" w:rsidRDefault="002D3C55">
      <w:pPr>
        <w:pStyle w:val="NormalHanging12a"/>
      </w:pPr>
      <w:r>
        <w:t>–</w:t>
      </w:r>
      <w:r>
        <w:tab/>
        <w:t>so zreteľom na správu Výboru pre vnútorný trh a ochranu spotrebiteľa (A9-0246/2023),</w:t>
      </w:r>
    </w:p>
    <w:p w:rsidR="00D17E0F" w:rsidRDefault="002D3C55">
      <w:pPr>
        <w:pStyle w:val="NormalHanging12a"/>
      </w:pPr>
      <w:r>
        <w:t>1.</w:t>
      </w:r>
      <w:r>
        <w:tab/>
        <w:t>prijíma nasledujúcu pozíciu v prvom čítaní</w:t>
      </w:r>
      <w:r>
        <w:rPr>
          <w:rStyle w:val="FootnoteReference"/>
        </w:rPr>
        <w:footnoteReference w:id="3"/>
      </w:r>
      <w:r>
        <w:t>;</w:t>
      </w:r>
    </w:p>
    <w:p w:rsidR="00D17E0F" w:rsidRDefault="002D3C55">
      <w:pPr>
        <w:pStyle w:val="NormalHanging12a"/>
      </w:pPr>
      <w:r>
        <w:t>2.</w:t>
      </w:r>
      <w:r>
        <w:tab/>
        <w:t>žiada Komisiu, aby mu vec znovu predložila, ak nahrádza, podstatne mení alebo má v úmysle podstatne zmeniť svoj návrh;</w:t>
      </w:r>
    </w:p>
    <w:p w:rsidR="00D17E0F" w:rsidRDefault="002D3C55">
      <w:pPr>
        <w:pStyle w:val="NormalHanging12a"/>
      </w:pPr>
      <w:r>
        <w:t>3.</w:t>
      </w:r>
      <w:r>
        <w:tab/>
        <w:t>poveruje svoju predsedníčku, aby postúpil túto pozíciu Rade, Komisii a národným parlamentom.</w:t>
      </w:r>
    </w:p>
    <w:p w:rsidR="00D17E0F" w:rsidRDefault="00D17E0F">
      <w:pPr>
        <w:sectPr w:rsidR="00D17E0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17E0F" w:rsidRDefault="002D3C55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>
        <w:rPr>
          <w:b/>
        </w:rPr>
        <w:t>P9_TC1-COD(2022)0278</w:t>
      </w:r>
    </w:p>
    <w:p w:rsidR="00D17E0F" w:rsidRPr="007A3C58" w:rsidRDefault="002D3C55">
      <w:pPr>
        <w:rPr>
          <w:b/>
          <w:iCs/>
        </w:rPr>
      </w:pPr>
      <w:r>
        <w:rPr>
          <w:b/>
        </w:rPr>
        <w:t xml:space="preserve">Pozícia Európskeho parlamentu prijatá v prvom čítaní 24. apríla 2024 na účely prijatia nariadenia Európskeho parlamentu a Rady (EÚ) 2024/..., </w:t>
      </w:r>
      <w:r w:rsidRPr="007A3C58">
        <w:rPr>
          <w:b/>
        </w:rPr>
        <w:t xml:space="preserve">ktorým sa stanovuje </w:t>
      </w:r>
      <w:r w:rsidRPr="007A3C58">
        <w:rPr>
          <w:b/>
          <w:iCs/>
        </w:rPr>
        <w:t>rámec</w:t>
      </w:r>
      <w:r w:rsidRPr="007A3C58">
        <w:rPr>
          <w:b/>
        </w:rPr>
        <w:t xml:space="preserve"> </w:t>
      </w:r>
      <w:r w:rsidRPr="007A3C58">
        <w:rPr>
          <w:b/>
          <w:iCs/>
        </w:rPr>
        <w:t>opatrení</w:t>
      </w:r>
      <w:r w:rsidRPr="007A3C58">
        <w:rPr>
          <w:b/>
        </w:rPr>
        <w:t xml:space="preserve"> </w:t>
      </w:r>
      <w:r w:rsidRPr="007A3C58">
        <w:rPr>
          <w:b/>
          <w:iCs/>
        </w:rPr>
        <w:t>týkajúcich</w:t>
      </w:r>
      <w:r w:rsidRPr="007A3C58">
        <w:rPr>
          <w:b/>
        </w:rPr>
        <w:t xml:space="preserve"> sa núdzovej </w:t>
      </w:r>
      <w:r w:rsidRPr="007A3C58">
        <w:rPr>
          <w:b/>
          <w:iCs/>
        </w:rPr>
        <w:t>situácie na vnútornom trhu a jeho odolnosti</w:t>
      </w:r>
      <w:r w:rsidRPr="007A3C58">
        <w:rPr>
          <w:b/>
        </w:rPr>
        <w:t xml:space="preserve"> a </w:t>
      </w:r>
      <w:r w:rsidRPr="007A3C58">
        <w:rPr>
          <w:b/>
          <w:iCs/>
        </w:rPr>
        <w:t>ktorým</w:t>
      </w:r>
      <w:r w:rsidRPr="007A3C58">
        <w:rPr>
          <w:b/>
        </w:rPr>
        <w:t xml:space="preserve"> sa </w:t>
      </w:r>
      <w:r w:rsidRPr="007A3C58">
        <w:rPr>
          <w:b/>
          <w:iCs/>
        </w:rPr>
        <w:t>mení</w:t>
      </w:r>
      <w:r w:rsidRPr="007A3C58">
        <w:rPr>
          <w:b/>
        </w:rPr>
        <w:t xml:space="preserve"> nariadenie Rady (ES) č. 2679/98 </w:t>
      </w:r>
      <w:r w:rsidRPr="007A3C58">
        <w:rPr>
          <w:b/>
          <w:iCs/>
        </w:rPr>
        <w:t>(akt o núdzovej situácii na vnútornom trhu a jeho odolnosti)</w:t>
      </w:r>
      <w:bookmarkStart w:id="8" w:name="_GoBack"/>
      <w:bookmarkEnd w:id="8"/>
    </w:p>
    <w:p w:rsidR="007A3C58" w:rsidRDefault="007A3C58">
      <w:pPr>
        <w:rPr>
          <w:b/>
          <w:i/>
          <w:iCs/>
        </w:rPr>
      </w:pPr>
    </w:p>
    <w:p w:rsidR="007A3C58" w:rsidRDefault="007A3C58">
      <w:pPr>
        <w:rPr>
          <w:b/>
          <w:i/>
          <w:iCs/>
        </w:rPr>
      </w:pPr>
    </w:p>
    <w:p w:rsidR="007A3C58" w:rsidRDefault="007A3C58">
      <w:pPr>
        <w:rPr>
          <w:b/>
          <w:i/>
          <w:iCs/>
        </w:rPr>
      </w:pPr>
      <w:r w:rsidRPr="00731EF8"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 w:rsidRPr="00FB31A0">
        <w:rPr>
          <w:i/>
          <w:iCs/>
        </w:rPr>
        <w:t>nariadeniu (EÚ) 202</w:t>
      </w:r>
      <w:r>
        <w:rPr>
          <w:i/>
          <w:iCs/>
        </w:rPr>
        <w:t>4</w:t>
      </w:r>
      <w:r w:rsidRPr="00FB31A0">
        <w:rPr>
          <w:i/>
          <w:iCs/>
        </w:rPr>
        <w:t>/</w:t>
      </w:r>
      <w:r>
        <w:rPr>
          <w:i/>
          <w:iCs/>
        </w:rPr>
        <w:t>2747</w:t>
      </w:r>
      <w:r w:rsidRPr="00FB31A0">
        <w:rPr>
          <w:i/>
          <w:iCs/>
        </w:rPr>
        <w:t>.)</w:t>
      </w:r>
    </w:p>
    <w:sectPr w:rsidR="007A3C5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E0F" w:rsidRDefault="002D3C55">
      <w:r>
        <w:separator/>
      </w:r>
    </w:p>
  </w:endnote>
  <w:endnote w:type="continuationSeparator" w:id="0">
    <w:p w:rsidR="00D17E0F" w:rsidRDefault="002D3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E0F" w:rsidRDefault="00D17E0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E0F" w:rsidRDefault="00D17E0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E0F" w:rsidRDefault="00D17E0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E0F" w:rsidRDefault="002D3C55">
      <w:r>
        <w:separator/>
      </w:r>
    </w:p>
  </w:footnote>
  <w:footnote w:type="continuationSeparator" w:id="0">
    <w:p w:rsidR="00D17E0F" w:rsidRDefault="002D3C55">
      <w:r>
        <w:continuationSeparator/>
      </w:r>
    </w:p>
  </w:footnote>
  <w:footnote w:id="1">
    <w:p w:rsidR="00D17E0F" w:rsidRDefault="002D3C55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 v. EÚ C 100, 16.3.2023, s. 95.</w:t>
      </w:r>
    </w:p>
  </w:footnote>
  <w:footnote w:id="2">
    <w:p w:rsidR="00D17E0F" w:rsidRDefault="002D3C55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 v. EÚ C 157, 3.5.2023, s. 82.</w:t>
      </w:r>
    </w:p>
  </w:footnote>
  <w:footnote w:id="3">
    <w:p w:rsidR="00D17E0F" w:rsidRDefault="002D3C55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Táto pozícia nahrádza pozmeňujúce návrhy prijaté 13. septembra 2023 (Prijaté texty, P9_TA(2023)0317).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E0F" w:rsidRDefault="00D17E0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E0F" w:rsidRDefault="00D17E0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E0F" w:rsidRDefault="00D17E0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0733DBB"/>
    <w:multiLevelType w:val="hybridMultilevel"/>
    <w:tmpl w:val="DFC42042"/>
    <w:lvl w:ilvl="0" w:tplc="DC704676">
      <w:start w:val="1"/>
      <w:numFmt w:val="decimal"/>
      <w:lvlText w:val="%1."/>
      <w:lvlJc w:val="left"/>
      <w:pPr>
        <w:ind w:left="720" w:hanging="360"/>
      </w:pPr>
    </w:lvl>
    <w:lvl w:ilvl="1" w:tplc="82C6825C">
      <w:start w:val="1"/>
      <w:numFmt w:val="decimal"/>
      <w:lvlText w:val="%2."/>
      <w:lvlJc w:val="left"/>
      <w:pPr>
        <w:ind w:left="720" w:hanging="360"/>
      </w:pPr>
    </w:lvl>
    <w:lvl w:ilvl="2" w:tplc="A86A7956">
      <w:start w:val="1"/>
      <w:numFmt w:val="decimal"/>
      <w:lvlText w:val="%3."/>
      <w:lvlJc w:val="left"/>
      <w:pPr>
        <w:ind w:left="720" w:hanging="360"/>
      </w:pPr>
    </w:lvl>
    <w:lvl w:ilvl="3" w:tplc="61EAA8DC">
      <w:start w:val="1"/>
      <w:numFmt w:val="decimal"/>
      <w:lvlText w:val="%4."/>
      <w:lvlJc w:val="left"/>
      <w:pPr>
        <w:ind w:left="720" w:hanging="360"/>
      </w:pPr>
    </w:lvl>
    <w:lvl w:ilvl="4" w:tplc="747C28BE">
      <w:start w:val="1"/>
      <w:numFmt w:val="decimal"/>
      <w:lvlText w:val="%5."/>
      <w:lvlJc w:val="left"/>
      <w:pPr>
        <w:ind w:left="720" w:hanging="360"/>
      </w:pPr>
    </w:lvl>
    <w:lvl w:ilvl="5" w:tplc="6F7C5282">
      <w:start w:val="1"/>
      <w:numFmt w:val="decimal"/>
      <w:lvlText w:val="%6."/>
      <w:lvlJc w:val="left"/>
      <w:pPr>
        <w:ind w:left="720" w:hanging="360"/>
      </w:pPr>
    </w:lvl>
    <w:lvl w:ilvl="6" w:tplc="A9B8804E">
      <w:start w:val="1"/>
      <w:numFmt w:val="decimal"/>
      <w:lvlText w:val="%7."/>
      <w:lvlJc w:val="left"/>
      <w:pPr>
        <w:ind w:left="720" w:hanging="360"/>
      </w:pPr>
    </w:lvl>
    <w:lvl w:ilvl="7" w:tplc="B6FA298C">
      <w:start w:val="1"/>
      <w:numFmt w:val="decimal"/>
      <w:lvlText w:val="%8."/>
      <w:lvlJc w:val="left"/>
      <w:pPr>
        <w:ind w:left="720" w:hanging="360"/>
      </w:pPr>
    </w:lvl>
    <w:lvl w:ilvl="8" w:tplc="253009A4">
      <w:start w:val="1"/>
      <w:numFmt w:val="decimal"/>
      <w:lvlText w:val="%9."/>
      <w:lvlJc w:val="left"/>
      <w:pPr>
        <w:ind w:left="720" w:hanging="360"/>
      </w:pPr>
    </w:lvl>
  </w:abstractNum>
  <w:abstractNum w:abstractNumId="12" w15:restartNumberingAfterBreak="0">
    <w:nsid w:val="1C19104C"/>
    <w:multiLevelType w:val="hybridMultilevel"/>
    <w:tmpl w:val="C8423D5E"/>
    <w:lvl w:ilvl="0" w:tplc="937C6BBA">
      <w:start w:val="1"/>
      <w:numFmt w:val="decimal"/>
      <w:lvlText w:val="%1."/>
      <w:lvlJc w:val="left"/>
      <w:pPr>
        <w:ind w:left="720" w:hanging="360"/>
      </w:pPr>
    </w:lvl>
    <w:lvl w:ilvl="1" w:tplc="4858BF8E">
      <w:start w:val="1"/>
      <w:numFmt w:val="decimal"/>
      <w:lvlText w:val="%2."/>
      <w:lvlJc w:val="left"/>
      <w:pPr>
        <w:ind w:left="720" w:hanging="360"/>
      </w:pPr>
    </w:lvl>
    <w:lvl w:ilvl="2" w:tplc="3DE25524">
      <w:start w:val="1"/>
      <w:numFmt w:val="decimal"/>
      <w:lvlText w:val="%3."/>
      <w:lvlJc w:val="left"/>
      <w:pPr>
        <w:ind w:left="720" w:hanging="360"/>
      </w:pPr>
    </w:lvl>
    <w:lvl w:ilvl="3" w:tplc="A6768FF2">
      <w:start w:val="1"/>
      <w:numFmt w:val="decimal"/>
      <w:lvlText w:val="%4."/>
      <w:lvlJc w:val="left"/>
      <w:pPr>
        <w:ind w:left="720" w:hanging="360"/>
      </w:pPr>
    </w:lvl>
    <w:lvl w:ilvl="4" w:tplc="BE4C1008">
      <w:start w:val="1"/>
      <w:numFmt w:val="decimal"/>
      <w:lvlText w:val="%5."/>
      <w:lvlJc w:val="left"/>
      <w:pPr>
        <w:ind w:left="720" w:hanging="360"/>
      </w:pPr>
    </w:lvl>
    <w:lvl w:ilvl="5" w:tplc="48CC465C">
      <w:start w:val="1"/>
      <w:numFmt w:val="decimal"/>
      <w:lvlText w:val="%6."/>
      <w:lvlJc w:val="left"/>
      <w:pPr>
        <w:ind w:left="720" w:hanging="360"/>
      </w:pPr>
    </w:lvl>
    <w:lvl w:ilvl="6" w:tplc="98BC013A">
      <w:start w:val="1"/>
      <w:numFmt w:val="decimal"/>
      <w:lvlText w:val="%7."/>
      <w:lvlJc w:val="left"/>
      <w:pPr>
        <w:ind w:left="720" w:hanging="360"/>
      </w:pPr>
    </w:lvl>
    <w:lvl w:ilvl="7" w:tplc="7974CF82">
      <w:start w:val="1"/>
      <w:numFmt w:val="decimal"/>
      <w:lvlText w:val="%8."/>
      <w:lvlJc w:val="left"/>
      <w:pPr>
        <w:ind w:left="720" w:hanging="360"/>
      </w:pPr>
    </w:lvl>
    <w:lvl w:ilvl="8" w:tplc="5442EA96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224D0D63"/>
    <w:multiLevelType w:val="hybridMultilevel"/>
    <w:tmpl w:val="8666797C"/>
    <w:lvl w:ilvl="0" w:tplc="0F16241C">
      <w:start w:val="1"/>
      <w:numFmt w:val="decimal"/>
      <w:lvlText w:val="%1."/>
      <w:lvlJc w:val="left"/>
      <w:pPr>
        <w:ind w:left="1440" w:hanging="360"/>
      </w:pPr>
    </w:lvl>
    <w:lvl w:ilvl="1" w:tplc="A0987DAA">
      <w:start w:val="1"/>
      <w:numFmt w:val="decimal"/>
      <w:lvlText w:val="%2."/>
      <w:lvlJc w:val="left"/>
      <w:pPr>
        <w:ind w:left="1440" w:hanging="360"/>
      </w:pPr>
    </w:lvl>
    <w:lvl w:ilvl="2" w:tplc="85A822B0">
      <w:start w:val="1"/>
      <w:numFmt w:val="decimal"/>
      <w:lvlText w:val="%3."/>
      <w:lvlJc w:val="left"/>
      <w:pPr>
        <w:ind w:left="1440" w:hanging="360"/>
      </w:pPr>
    </w:lvl>
    <w:lvl w:ilvl="3" w:tplc="2CA64750">
      <w:start w:val="1"/>
      <w:numFmt w:val="decimal"/>
      <w:lvlText w:val="%4."/>
      <w:lvlJc w:val="left"/>
      <w:pPr>
        <w:ind w:left="1440" w:hanging="360"/>
      </w:pPr>
    </w:lvl>
    <w:lvl w:ilvl="4" w:tplc="39B2C484">
      <w:start w:val="1"/>
      <w:numFmt w:val="decimal"/>
      <w:lvlText w:val="%5."/>
      <w:lvlJc w:val="left"/>
      <w:pPr>
        <w:ind w:left="1440" w:hanging="360"/>
      </w:pPr>
    </w:lvl>
    <w:lvl w:ilvl="5" w:tplc="76DA10EC">
      <w:start w:val="1"/>
      <w:numFmt w:val="decimal"/>
      <w:lvlText w:val="%6."/>
      <w:lvlJc w:val="left"/>
      <w:pPr>
        <w:ind w:left="1440" w:hanging="360"/>
      </w:pPr>
    </w:lvl>
    <w:lvl w:ilvl="6" w:tplc="A0323872">
      <w:start w:val="1"/>
      <w:numFmt w:val="decimal"/>
      <w:lvlText w:val="%7."/>
      <w:lvlJc w:val="left"/>
      <w:pPr>
        <w:ind w:left="1440" w:hanging="360"/>
      </w:pPr>
    </w:lvl>
    <w:lvl w:ilvl="7" w:tplc="FF24939E">
      <w:start w:val="1"/>
      <w:numFmt w:val="decimal"/>
      <w:lvlText w:val="%8."/>
      <w:lvlJc w:val="left"/>
      <w:pPr>
        <w:ind w:left="1440" w:hanging="360"/>
      </w:pPr>
    </w:lvl>
    <w:lvl w:ilvl="8" w:tplc="8B26D424">
      <w:start w:val="1"/>
      <w:numFmt w:val="decimal"/>
      <w:lvlText w:val="%9."/>
      <w:lvlJc w:val="left"/>
      <w:pPr>
        <w:ind w:left="1440" w:hanging="36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6" w15:restartNumberingAfterBreak="0">
    <w:nsid w:val="7D126ADC"/>
    <w:multiLevelType w:val="hybridMultilevel"/>
    <w:tmpl w:val="72825010"/>
    <w:lvl w:ilvl="0" w:tplc="02C80A8A">
      <w:start w:val="1"/>
      <w:numFmt w:val="decimal"/>
      <w:lvlText w:val="%1."/>
      <w:lvlJc w:val="left"/>
      <w:pPr>
        <w:ind w:left="720" w:hanging="360"/>
      </w:pPr>
    </w:lvl>
    <w:lvl w:ilvl="1" w:tplc="A3D80492">
      <w:start w:val="1"/>
      <w:numFmt w:val="decimal"/>
      <w:lvlText w:val="%2."/>
      <w:lvlJc w:val="left"/>
      <w:pPr>
        <w:ind w:left="720" w:hanging="360"/>
      </w:pPr>
    </w:lvl>
    <w:lvl w:ilvl="2" w:tplc="AFD4CC24">
      <w:start w:val="1"/>
      <w:numFmt w:val="decimal"/>
      <w:lvlText w:val="%3."/>
      <w:lvlJc w:val="left"/>
      <w:pPr>
        <w:ind w:left="720" w:hanging="360"/>
      </w:pPr>
    </w:lvl>
    <w:lvl w:ilvl="3" w:tplc="2F821656">
      <w:start w:val="1"/>
      <w:numFmt w:val="decimal"/>
      <w:lvlText w:val="%4."/>
      <w:lvlJc w:val="left"/>
      <w:pPr>
        <w:ind w:left="720" w:hanging="360"/>
      </w:pPr>
    </w:lvl>
    <w:lvl w:ilvl="4" w:tplc="63261930">
      <w:start w:val="1"/>
      <w:numFmt w:val="decimal"/>
      <w:lvlText w:val="%5."/>
      <w:lvlJc w:val="left"/>
      <w:pPr>
        <w:ind w:left="720" w:hanging="360"/>
      </w:pPr>
    </w:lvl>
    <w:lvl w:ilvl="5" w:tplc="B3B6C23E">
      <w:start w:val="1"/>
      <w:numFmt w:val="decimal"/>
      <w:lvlText w:val="%6."/>
      <w:lvlJc w:val="left"/>
      <w:pPr>
        <w:ind w:left="720" w:hanging="360"/>
      </w:pPr>
    </w:lvl>
    <w:lvl w:ilvl="6" w:tplc="7E46D372">
      <w:start w:val="1"/>
      <w:numFmt w:val="decimal"/>
      <w:lvlText w:val="%7."/>
      <w:lvlJc w:val="left"/>
      <w:pPr>
        <w:ind w:left="720" w:hanging="360"/>
      </w:pPr>
    </w:lvl>
    <w:lvl w:ilvl="7" w:tplc="465E1048">
      <w:start w:val="1"/>
      <w:numFmt w:val="decimal"/>
      <w:lvlText w:val="%8."/>
      <w:lvlJc w:val="left"/>
      <w:pPr>
        <w:ind w:left="720" w:hanging="360"/>
      </w:pPr>
    </w:lvl>
    <w:lvl w:ilvl="8" w:tplc="FBF6BCC4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7E23629F"/>
    <w:multiLevelType w:val="hybridMultilevel"/>
    <w:tmpl w:val="54C214EE"/>
    <w:lvl w:ilvl="0" w:tplc="3850DF9E">
      <w:start w:val="1"/>
      <w:numFmt w:val="decimal"/>
      <w:lvlText w:val="%1."/>
      <w:lvlJc w:val="left"/>
      <w:pPr>
        <w:ind w:left="720" w:hanging="360"/>
      </w:pPr>
    </w:lvl>
    <w:lvl w:ilvl="1" w:tplc="2B4E934C">
      <w:start w:val="1"/>
      <w:numFmt w:val="decimal"/>
      <w:lvlText w:val="%2."/>
      <w:lvlJc w:val="left"/>
      <w:pPr>
        <w:ind w:left="720" w:hanging="360"/>
      </w:pPr>
    </w:lvl>
    <w:lvl w:ilvl="2" w:tplc="373AF31A">
      <w:start w:val="1"/>
      <w:numFmt w:val="decimal"/>
      <w:lvlText w:val="%3."/>
      <w:lvlJc w:val="left"/>
      <w:pPr>
        <w:ind w:left="720" w:hanging="360"/>
      </w:pPr>
    </w:lvl>
    <w:lvl w:ilvl="3" w:tplc="DE2E152E">
      <w:start w:val="1"/>
      <w:numFmt w:val="decimal"/>
      <w:lvlText w:val="%4."/>
      <w:lvlJc w:val="left"/>
      <w:pPr>
        <w:ind w:left="720" w:hanging="360"/>
      </w:pPr>
    </w:lvl>
    <w:lvl w:ilvl="4" w:tplc="05D079A0">
      <w:start w:val="1"/>
      <w:numFmt w:val="decimal"/>
      <w:lvlText w:val="%5."/>
      <w:lvlJc w:val="left"/>
      <w:pPr>
        <w:ind w:left="720" w:hanging="360"/>
      </w:pPr>
    </w:lvl>
    <w:lvl w:ilvl="5" w:tplc="696A8970">
      <w:start w:val="1"/>
      <w:numFmt w:val="decimal"/>
      <w:lvlText w:val="%6."/>
      <w:lvlJc w:val="left"/>
      <w:pPr>
        <w:ind w:left="720" w:hanging="360"/>
      </w:pPr>
    </w:lvl>
    <w:lvl w:ilvl="6" w:tplc="FE1291B2">
      <w:start w:val="1"/>
      <w:numFmt w:val="decimal"/>
      <w:lvlText w:val="%7."/>
      <w:lvlJc w:val="left"/>
      <w:pPr>
        <w:ind w:left="720" w:hanging="360"/>
      </w:pPr>
    </w:lvl>
    <w:lvl w:ilvl="7" w:tplc="BC9ADFAE">
      <w:start w:val="1"/>
      <w:numFmt w:val="decimal"/>
      <w:lvlText w:val="%8."/>
      <w:lvlJc w:val="left"/>
      <w:pPr>
        <w:ind w:left="720" w:hanging="360"/>
      </w:pPr>
    </w:lvl>
    <w:lvl w:ilvl="8" w:tplc="A9D86346">
      <w:start w:val="1"/>
      <w:numFmt w:val="decimal"/>
      <w:lvlText w:val="%9."/>
      <w:lvlJc w:val="left"/>
      <w:pPr>
        <w:ind w:left="720" w:hanging="36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4"/>
  </w:num>
  <w:num w:numId="45">
    <w:abstractNumId w:val="15"/>
  </w:num>
  <w:num w:numId="46">
    <w:abstractNumId w:val="13"/>
  </w:num>
  <w:num w:numId="47">
    <w:abstractNumId w:val="16"/>
  </w:num>
  <w:num w:numId="48">
    <w:abstractNumId w:val="17"/>
  </w:num>
  <w:num w:numId="49">
    <w:abstractNumId w:val="12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6/2023"/>
    <w:docVar w:name="dvlangue" w:val="SK"/>
    <w:docVar w:name="dvnumam" w:val="523"/>
    <w:docVar w:name="dvpe" w:val="742.468"/>
    <w:docVar w:name="dvrapporteur" w:val="Spravodajca: "/>
    <w:docVar w:name="dvstar" w:val="***I"/>
    <w:docVar w:name="dvtitre" w:val="Legislatívne uznesenie Európskeho parlamentu z xx. apríla 2024 o návrhu nariadenia Európskeho parlamentu a Rady, ktorým sa zriaďuje nástroj núdzovej pomoci pre jednotný trh a zrušuje sa nariadenie Rady (ES) č. 2679/98(COM(2022)0459 – C9-0315/2022 – 2022/0278(COD))"/>
  </w:docVars>
  <w:rsids>
    <w:rsidRoot w:val="00D17E0F"/>
    <w:rsid w:val="002D3C55"/>
    <w:rsid w:val="007A3C58"/>
    <w:rsid w:val="00D1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19936D"/>
  <w15:chartTrackingRefBased/>
  <w15:docId w15:val="{FCA14EA3-A1E1-4154-BE2C-A0BC9DD44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character" w:customStyle="1" w:styleId="NormalBoldChar">
    <w:name w:val="NormalBold Char"/>
    <w:link w:val="NormalBold"/>
    <w:locked/>
    <w:rPr>
      <w:b/>
      <w:sz w:val="24"/>
      <w:lang w:val="sk-SK"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  <w:style w:type="character" w:customStyle="1" w:styleId="Normal12Char">
    <w:name w:val="Normal12 Char"/>
    <w:link w:val="Normal12"/>
    <w:locked/>
    <w:rPr>
      <w:noProof/>
      <w:sz w:val="24"/>
    </w:rPr>
  </w:style>
  <w:style w:type="paragraph" w:customStyle="1" w:styleId="Normal12">
    <w:name w:val="Normal12"/>
    <w:basedOn w:val="Normal"/>
    <w:link w:val="Normal12Char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paragraph" w:customStyle="1" w:styleId="Normal12Italic">
    <w:name w:val="Normal12Italic"/>
    <w:basedOn w:val="Normal12"/>
    <w:rPr>
      <w:i/>
    </w:rPr>
  </w:style>
  <w:style w:type="paragraph" w:customStyle="1" w:styleId="EntPE">
    <w:name w:val="EntPE"/>
    <w:basedOn w:val="Normal12"/>
    <w:pPr>
      <w:jc w:val="center"/>
    </w:pPr>
    <w:rPr>
      <w:noProof w:val="0"/>
      <w:sz w:val="56"/>
    </w:rPr>
  </w:style>
  <w:style w:type="character" w:customStyle="1" w:styleId="normaltextrun">
    <w:name w:val="normaltextrun"/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customStyle="1" w:styleId="Tiret1">
    <w:name w:val="Tiret 1"/>
    <w:basedOn w:val="Normal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al12a">
    <w:name w:val="Normal12a"/>
    <w:basedOn w:val="Normal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CommitteeAM">
    <w:name w:val="CommitteeAM"/>
    <w:basedOn w:val="Normal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pPr>
      <w:jc w:val="right"/>
    </w:pPr>
    <w:rPr>
      <w:rFonts w:ascii="Arial" w:hAnsi="Arial" w:cs="Arial"/>
      <w:sz w:val="22"/>
      <w:szCs w:val="22"/>
      <w:lang w:val="fr-FR"/>
    </w:rPr>
  </w:style>
  <w:style w:type="character" w:customStyle="1" w:styleId="Footer2Middle">
    <w:name w:val="Footer2Middle"/>
    <w:rPr>
      <w:rFonts w:ascii="Arial" w:cs="Arial"/>
      <w:b w:val="0"/>
      <w:i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Pr>
      <w:b/>
      <w:sz w:val="24"/>
      <w:lang w:val="sk-SK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Normal24a">
    <w:name w:val="Normal24a"/>
    <w:basedOn w:val="Normal"/>
    <w:link w:val="Normal24aChar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Pr>
      <w:sz w:val="24"/>
    </w:rPr>
  </w:style>
  <w:style w:type="paragraph" w:styleId="Revision">
    <w:name w:val="Revision"/>
    <w:hidden/>
    <w:uiPriority w:val="99"/>
    <w:semiHidden/>
    <w:rPr>
      <w:sz w:val="24"/>
      <w:szCs w:val="24"/>
    </w:rPr>
  </w:style>
  <w:style w:type="character" w:customStyle="1" w:styleId="eop">
    <w:name w:val="eop"/>
    <w:basedOn w:val="DefaultParagraphFont"/>
  </w:style>
  <w:style w:type="paragraph" w:customStyle="1" w:styleId="LetterSubject">
    <w:name w:val="LetterSubject"/>
    <w:basedOn w:val="Normal"/>
    <w:pPr>
      <w:spacing w:before="480"/>
      <w:ind w:left="1134" w:hanging="1134"/>
    </w:pPr>
    <w:rPr>
      <w:lang w:val="en-GB"/>
    </w:rPr>
  </w:style>
  <w:style w:type="paragraph" w:customStyle="1" w:styleId="LetterSalutation">
    <w:name w:val="LetterSalutation"/>
    <w:basedOn w:val="Normal"/>
    <w:pPr>
      <w:spacing w:before="600" w:after="360"/>
    </w:pPr>
    <w:rPr>
      <w:lang w:val="en-GB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paragraph" w:customStyle="1" w:styleId="SignaturePersonne">
    <w:name w:val="Signature Personne"/>
    <w:basedOn w:val="Normal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pPr>
      <w:keepLines/>
      <w:widowControl w:val="0"/>
      <w:ind w:left="850" w:hanging="850"/>
    </w:pPr>
    <w:rPr>
      <w:sz w:val="24"/>
      <w:lang w:val="sk-SK" w:eastAsia="en-US"/>
    </w:rPr>
  </w:style>
  <w:style w:type="character" w:customStyle="1" w:styleId="Footer2">
    <w:name w:val="Footer2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pPr>
      <w:widowControl w:val="0"/>
      <w:spacing w:before="120" w:after="120" w:line="360" w:lineRule="auto"/>
    </w:pPr>
    <w:rPr>
      <w:sz w:val="24"/>
      <w:lang w:val="sk-SK" w:eastAsia="en-US"/>
    </w:rPr>
  </w:style>
  <w:style w:type="paragraph" w:customStyle="1" w:styleId="Formuledadoption">
    <w:name w:val="Formule d'adoption"/>
    <w:basedOn w:val="Normal"/>
    <w:next w:val="Normal"/>
    <w:uiPriority w:val="99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styleId="FollowedHyperlink">
    <w:name w:val="FollowedHyperlink"/>
    <w:basedOn w:val="DefaultParagraphFont"/>
    <w:unhideWhenUsed/>
    <w:rPr>
      <w:color w:val="954F72" w:themeColor="followedHyperlink"/>
      <w:u w:val="single"/>
    </w:rPr>
  </w:style>
  <w:style w:type="character" w:customStyle="1" w:styleId="FooterChar1">
    <w:name w:val="Footer Char1"/>
    <w:basedOn w:val="DefaultParagraphFont"/>
    <w:semiHidden/>
    <w:rPr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HeadingDocType24a">
    <w:name w:val="HeadingDocType24a"/>
    <w:basedOn w:val="Normal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pPr>
      <w:jc w:val="center"/>
    </w:pPr>
  </w:style>
  <w:style w:type="paragraph" w:customStyle="1" w:styleId="LineSingle">
    <w:name w:val="LineSingle"/>
    <w:basedOn w:val="Normal"/>
    <w:next w:val="Normal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Pr>
      <w:rFonts w:ascii="Segoe UI" w:hAnsi="Segoe UI" w:cs="Segoe UI" w:hint="default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C7D82-9437-4E2B-B4B6-316EAEE03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2025-03-12T15:45:00Z</dcterms:created>
  <dcterms:modified xsi:type="dcterms:W3CDTF">2025-03-12T15:45:00Z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P9_TA(2024)0320_</vt:lpwstr>
  </property>
  <property fmtid="{D5CDD505-2E9C-101B-9397-08002B2CF9AE}" pid="4" name="&lt;Type&gt;">
    <vt:lpwstr>RR</vt:lpwstr>
  </property>
</Properties>
</file>