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4C5B97" w:rsidRPr="004C5B97" w:rsidTr="00425720">
        <w:trPr>
          <w:trHeight w:hRule="exact" w:val="1418"/>
        </w:trPr>
        <w:tc>
          <w:tcPr>
            <w:tcW w:w="6804" w:type="dxa"/>
            <w:shd w:val="clear" w:color="auto" w:fill="auto"/>
            <w:vAlign w:val="center"/>
          </w:tcPr>
          <w:p w:rsidR="004C5B97" w:rsidRPr="004C5B97" w:rsidRDefault="004C5B97" w:rsidP="004C5B97">
            <w:pPr>
              <w:widowControl w:val="0"/>
              <w:spacing w:before="80" w:after="80"/>
              <w:jc w:val="left"/>
              <w:rPr>
                <w:rFonts w:ascii="Arial Narrow" w:eastAsia="Times New Roman" w:hAnsi="Arial Narrow" w:cs="Arial"/>
                <w:b/>
                <w:sz w:val="32"/>
                <w:szCs w:val="22"/>
                <w:lang w:eastAsia="en-GB"/>
              </w:rPr>
            </w:pPr>
            <w:r w:rsidRPr="004C5B97">
              <w:rPr>
                <w:rFonts w:ascii="Arial Narrow" w:eastAsia="Times New Roman" w:hAnsi="Arial Narrow" w:cs="Arial"/>
                <w:b/>
                <w:sz w:val="32"/>
                <w:szCs w:val="22"/>
                <w:lang w:eastAsia="en-GB"/>
              </w:rPr>
              <w:t>European Parliament</w:t>
            </w:r>
          </w:p>
          <w:p w:rsidR="004C5B97" w:rsidRPr="004C5B97" w:rsidRDefault="004C5B97" w:rsidP="004C5B97">
            <w:pPr>
              <w:widowControl w:val="0"/>
              <w:spacing w:after="80"/>
              <w:jc w:val="left"/>
              <w:rPr>
                <w:rFonts w:ascii="Arial" w:eastAsia="Times New Roman" w:hAnsi="Arial" w:cs="Arial"/>
                <w:sz w:val="20"/>
                <w:szCs w:val="22"/>
                <w:lang w:eastAsia="en-GB"/>
              </w:rPr>
            </w:pPr>
            <w:r w:rsidRPr="004C5B97">
              <w:rPr>
                <w:rFonts w:ascii="Arial" w:eastAsia="Times New Roman" w:hAnsi="Arial" w:cs="Arial"/>
                <w:sz w:val="20"/>
                <w:szCs w:val="22"/>
                <w:lang w:eastAsia="en-GB"/>
              </w:rPr>
              <w:t>2019-2024</w:t>
            </w:r>
          </w:p>
        </w:tc>
        <w:tc>
          <w:tcPr>
            <w:tcW w:w="2268" w:type="dxa"/>
            <w:shd w:val="clear" w:color="auto" w:fill="auto"/>
          </w:tcPr>
          <w:p w:rsidR="004C5B97" w:rsidRPr="004C5B97" w:rsidRDefault="004C5B97" w:rsidP="004C5B97">
            <w:pPr>
              <w:widowControl w:val="0"/>
              <w:jc w:val="right"/>
              <w:rPr>
                <w:rFonts w:eastAsia="Times New Roman"/>
                <w:szCs w:val="20"/>
                <w:lang w:eastAsia="en-GB"/>
              </w:rPr>
            </w:pPr>
            <w:r w:rsidRPr="004C5B97">
              <w:rPr>
                <w:rFonts w:eastAsia="Times New Roman"/>
                <w:noProof/>
                <w:szCs w:val="20"/>
                <w:lang w:eastAsia="en-GB"/>
              </w:rPr>
              <w:drawing>
                <wp:inline distT="0" distB="0" distL="0" distR="0" wp14:anchorId="7EA590EB" wp14:editId="30B589F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4C5B97" w:rsidRPr="004C5B97" w:rsidRDefault="004C5B97" w:rsidP="004C5B97">
      <w:pPr>
        <w:widowControl w:val="0"/>
        <w:pBdr>
          <w:top w:val="single" w:sz="4" w:space="1" w:color="auto"/>
        </w:pBdr>
        <w:jc w:val="center"/>
        <w:rPr>
          <w:rFonts w:ascii="Arial" w:eastAsia="Times New Roman" w:hAnsi="Arial" w:cs="Arial"/>
          <w:sz w:val="16"/>
          <w:szCs w:val="16"/>
          <w:lang w:eastAsia="en-GB"/>
        </w:rPr>
      </w:pPr>
    </w:p>
    <w:p w:rsidR="004C5B97" w:rsidRPr="004C5B97" w:rsidRDefault="004C5B97" w:rsidP="004C5B97">
      <w:pPr>
        <w:widowControl w:val="0"/>
        <w:jc w:val="center"/>
        <w:rPr>
          <w:rFonts w:ascii="Arial" w:eastAsia="Times New Roman" w:hAnsi="Arial" w:cs="Arial"/>
          <w:b/>
          <w:sz w:val="22"/>
          <w:szCs w:val="22"/>
          <w:lang w:eastAsia="en-GB"/>
        </w:rPr>
      </w:pPr>
      <w:r w:rsidRPr="004C5B97">
        <w:rPr>
          <w:rFonts w:ascii="Arial" w:eastAsia="Times New Roman" w:hAnsi="Arial" w:cs="Arial"/>
          <w:b/>
          <w:sz w:val="22"/>
          <w:szCs w:val="22"/>
          <w:lang w:eastAsia="en-GB"/>
        </w:rPr>
        <w:t>TEXTS ADOPTED</w:t>
      </w:r>
    </w:p>
    <w:p w:rsidR="004C5B97" w:rsidRPr="004C5B97" w:rsidRDefault="004C5B97" w:rsidP="004C5B97">
      <w:pPr>
        <w:widowControl w:val="0"/>
        <w:pBdr>
          <w:bottom w:val="single" w:sz="4" w:space="1" w:color="auto"/>
        </w:pBdr>
        <w:spacing w:after="240"/>
        <w:jc w:val="center"/>
        <w:rPr>
          <w:rFonts w:ascii="Arial" w:eastAsia="Times New Roman" w:hAnsi="Arial" w:cs="Arial"/>
          <w:sz w:val="16"/>
          <w:szCs w:val="16"/>
          <w:lang w:eastAsia="en-GB"/>
        </w:rPr>
      </w:pPr>
    </w:p>
    <w:p w:rsidR="004C5B97" w:rsidRPr="004C5B97" w:rsidRDefault="004C5B97" w:rsidP="004C5B97">
      <w:pPr>
        <w:pStyle w:val="ATHeading1"/>
      </w:pPr>
      <w:bookmarkStart w:id="0" w:name="TANumber"/>
      <w:r w:rsidRPr="004C5B97">
        <w:t>P9_TA(2024)</w:t>
      </w:r>
      <w:bookmarkEnd w:id="0"/>
      <w:r w:rsidRPr="004C5B97">
        <w:t>0321</w:t>
      </w:r>
    </w:p>
    <w:p w:rsidR="004C5B97" w:rsidRPr="004C5B97" w:rsidRDefault="004C5B97" w:rsidP="004C5B97">
      <w:pPr>
        <w:pStyle w:val="ATHeading2"/>
      </w:pPr>
      <w:bookmarkStart w:id="1" w:name="title"/>
      <w:r w:rsidRPr="004C5B97">
        <w:t>Amending certain Regulations as regards the establishment of the Single Market Emergency Instrument</w:t>
      </w:r>
      <w:bookmarkEnd w:id="1"/>
    </w:p>
    <w:p w:rsidR="004C5B97" w:rsidRPr="004C5B97" w:rsidRDefault="004C5B97" w:rsidP="004C5B97">
      <w:pPr>
        <w:widowControl w:val="0"/>
        <w:jc w:val="left"/>
        <w:rPr>
          <w:rFonts w:eastAsia="Times New Roman"/>
          <w:i/>
          <w:vanish/>
          <w:szCs w:val="20"/>
          <w:lang w:eastAsia="en-GB"/>
        </w:rPr>
      </w:pPr>
      <w:r w:rsidRPr="004C5B97">
        <w:rPr>
          <w:rFonts w:eastAsia="Times New Roman"/>
          <w:i/>
          <w:szCs w:val="20"/>
          <w:lang w:eastAsia="en-GB"/>
        </w:rPr>
        <w:fldChar w:fldCharType="begin"/>
      </w:r>
      <w:r w:rsidRPr="004C5B97">
        <w:rPr>
          <w:rFonts w:eastAsia="Times New Roman"/>
          <w:i/>
          <w:szCs w:val="20"/>
          <w:lang w:eastAsia="en-GB"/>
        </w:rPr>
        <w:instrText xml:space="preserve"> TC"(</w:instrText>
      </w:r>
      <w:bookmarkStart w:id="2" w:name="DocNumber"/>
      <w:r w:rsidRPr="004C5B97">
        <w:rPr>
          <w:rFonts w:eastAsia="Times New Roman"/>
          <w:i/>
          <w:szCs w:val="20"/>
          <w:lang w:eastAsia="en-GB"/>
        </w:rPr>
        <w:instrText>A9-0244/2023</w:instrText>
      </w:r>
      <w:bookmarkEnd w:id="2"/>
      <w:r w:rsidRPr="004C5B97">
        <w:rPr>
          <w:rFonts w:eastAsia="Times New Roman"/>
          <w:i/>
          <w:szCs w:val="20"/>
          <w:lang w:eastAsia="en-GB"/>
        </w:rPr>
        <w:instrText xml:space="preserve"> - Rapporteur: Andreas Schwab)"\l3 \n&gt; \* MERGEFORMAT </w:instrText>
      </w:r>
      <w:r w:rsidRPr="004C5B97">
        <w:rPr>
          <w:rFonts w:eastAsia="Times New Roman"/>
          <w:i/>
          <w:szCs w:val="20"/>
          <w:lang w:eastAsia="en-GB"/>
        </w:rPr>
        <w:fldChar w:fldCharType="end"/>
      </w:r>
    </w:p>
    <w:p w:rsidR="004C5B97" w:rsidRPr="004C5B97" w:rsidRDefault="004C5B97" w:rsidP="004C5B97">
      <w:pPr>
        <w:widowControl w:val="0"/>
        <w:jc w:val="left"/>
        <w:rPr>
          <w:rFonts w:eastAsia="Times New Roman"/>
          <w:vanish/>
          <w:szCs w:val="20"/>
          <w:lang w:eastAsia="en-GB"/>
        </w:rPr>
      </w:pPr>
      <w:bookmarkStart w:id="3" w:name="Commission"/>
      <w:r w:rsidRPr="004C5B97">
        <w:rPr>
          <w:rFonts w:eastAsia="Times New Roman"/>
          <w:vanish/>
          <w:szCs w:val="20"/>
          <w:lang w:eastAsia="en-GB"/>
        </w:rPr>
        <w:t>Committee on the Internal Market and Consumer Protection</w:t>
      </w:r>
      <w:bookmarkEnd w:id="3"/>
    </w:p>
    <w:p w:rsidR="004C5B97" w:rsidRPr="004C5B97" w:rsidRDefault="004C5B97" w:rsidP="004C5B97">
      <w:pPr>
        <w:widowControl w:val="0"/>
        <w:jc w:val="left"/>
        <w:rPr>
          <w:rFonts w:eastAsia="Times New Roman"/>
          <w:vanish/>
          <w:szCs w:val="20"/>
          <w:lang w:eastAsia="en-GB"/>
        </w:rPr>
      </w:pPr>
      <w:bookmarkStart w:id="4" w:name="PE"/>
      <w:r w:rsidRPr="004C5B97">
        <w:rPr>
          <w:rFonts w:eastAsia="Times New Roman"/>
          <w:vanish/>
          <w:szCs w:val="20"/>
          <w:lang w:eastAsia="en-GB"/>
        </w:rPr>
        <w:t>PE745.282</w:t>
      </w:r>
      <w:bookmarkEnd w:id="4"/>
    </w:p>
    <w:p w:rsidR="004C5B97" w:rsidRPr="004C5B97" w:rsidRDefault="004C5B97" w:rsidP="004C5B97">
      <w:pPr>
        <w:pStyle w:val="ATHeading3"/>
      </w:pPr>
      <w:bookmarkStart w:id="5" w:name="Sujet"/>
      <w:r w:rsidRPr="004C5B97">
        <w:t>European Parliament legislative resolution of 24 April 2024 on the proposal for a regulation of the European Parliament and of the Council amending Regulations (EU) 2016/424, (EU) 2016/425, (EU) 2016/426, (EU) 2019/1009 and (EU) No 305/2011 as regards emergency procedures for the conformity assessment, adoption of common specifications and market surveillance due to a Single Market emergency</w:t>
      </w:r>
      <w:bookmarkEnd w:id="5"/>
      <w:r w:rsidRPr="004C5B97">
        <w:t xml:space="preserve"> </w:t>
      </w:r>
      <w:bookmarkStart w:id="6" w:name="References"/>
      <w:r w:rsidRPr="004C5B97">
        <w:t>(COM(2022)0461 – C9-0314/2022 – 2022/0279(COD))</w:t>
      </w:r>
      <w:bookmarkEnd w:id="6"/>
    </w:p>
    <w:p w:rsidR="004C5B97" w:rsidRPr="004C5B97" w:rsidRDefault="004C5B97" w:rsidP="004C5B97">
      <w:pPr>
        <w:widowControl w:val="0"/>
        <w:jc w:val="left"/>
        <w:rPr>
          <w:rFonts w:eastAsia="Times New Roman"/>
          <w:szCs w:val="20"/>
          <w:lang w:eastAsia="en-GB"/>
        </w:rPr>
      </w:pPr>
    </w:p>
    <w:p w:rsidR="004C5B97" w:rsidRPr="004C5B97" w:rsidRDefault="004C5B97" w:rsidP="004C5B97">
      <w:pPr>
        <w:widowControl w:val="0"/>
        <w:jc w:val="left"/>
        <w:rPr>
          <w:rFonts w:eastAsia="Times New Roman"/>
          <w:b/>
          <w:szCs w:val="20"/>
          <w:lang w:eastAsia="en-GB"/>
        </w:rPr>
      </w:pPr>
      <w:bookmarkStart w:id="7" w:name="TextBodyBegin"/>
      <w:bookmarkEnd w:id="7"/>
      <w:r w:rsidRPr="004C5B97">
        <w:rPr>
          <w:rFonts w:eastAsia="Times New Roman"/>
          <w:b/>
          <w:szCs w:val="20"/>
          <w:lang w:eastAsia="en-GB"/>
        </w:rPr>
        <w:t>(Ordinary legislative procedure: first reading)</w:t>
      </w:r>
    </w:p>
    <w:p w:rsidR="004C5B97" w:rsidRPr="004C5B97" w:rsidRDefault="004C5B97" w:rsidP="004C5B97">
      <w:pPr>
        <w:widowControl w:val="0"/>
        <w:spacing w:before="480" w:after="240"/>
        <w:jc w:val="left"/>
        <w:rPr>
          <w:rFonts w:eastAsia="Times New Roman"/>
          <w:szCs w:val="20"/>
          <w:lang w:eastAsia="en-GB"/>
        </w:rPr>
      </w:pPr>
      <w:r w:rsidRPr="004C5B97">
        <w:rPr>
          <w:rFonts w:eastAsia="Times New Roman"/>
          <w:i/>
          <w:szCs w:val="20"/>
          <w:lang w:eastAsia="en-GB"/>
        </w:rPr>
        <w:t>The European Parliament</w:t>
      </w:r>
      <w:r w:rsidRPr="004C5B97">
        <w:rPr>
          <w:rFonts w:eastAsia="Times New Roman"/>
          <w:szCs w:val="20"/>
          <w:lang w:eastAsia="en-GB"/>
        </w:rPr>
        <w:t>,</w:t>
      </w:r>
    </w:p>
    <w:p w:rsidR="004C5B97" w:rsidRPr="004C5B97" w:rsidRDefault="004C5B97" w:rsidP="004C5B97">
      <w:pPr>
        <w:spacing w:after="240"/>
        <w:ind w:left="567" w:hanging="567"/>
        <w:jc w:val="left"/>
        <w:rPr>
          <w:rFonts w:eastAsia="Times New Roman"/>
          <w:szCs w:val="20"/>
          <w:lang w:eastAsia="en-GB"/>
        </w:rPr>
      </w:pPr>
      <w:r w:rsidRPr="004C5B97">
        <w:rPr>
          <w:rFonts w:eastAsia="Times New Roman"/>
          <w:szCs w:val="20"/>
          <w:lang w:eastAsia="en-GB"/>
        </w:rPr>
        <w:t>–</w:t>
      </w:r>
      <w:r w:rsidRPr="004C5B97">
        <w:rPr>
          <w:rFonts w:eastAsia="Times New Roman"/>
          <w:szCs w:val="20"/>
          <w:lang w:eastAsia="en-GB"/>
        </w:rPr>
        <w:tab/>
        <w:t>having regard to the Commission proposal to Parliament and the Council (COM(2022)0461),</w:t>
      </w:r>
    </w:p>
    <w:p w:rsidR="004C5B97" w:rsidRPr="004C5B97" w:rsidRDefault="004C5B97" w:rsidP="004C5B97">
      <w:pPr>
        <w:spacing w:after="240"/>
        <w:ind w:left="567" w:hanging="567"/>
        <w:jc w:val="left"/>
        <w:rPr>
          <w:rFonts w:eastAsia="Times New Roman"/>
          <w:szCs w:val="20"/>
          <w:lang w:eastAsia="en-GB"/>
        </w:rPr>
      </w:pPr>
      <w:r w:rsidRPr="004C5B97">
        <w:rPr>
          <w:rFonts w:eastAsia="Times New Roman"/>
          <w:szCs w:val="20"/>
          <w:lang w:eastAsia="en-GB"/>
        </w:rPr>
        <w:t>–</w:t>
      </w:r>
      <w:r w:rsidRPr="004C5B97">
        <w:rPr>
          <w:rFonts w:eastAsia="Times New Roman"/>
          <w:szCs w:val="20"/>
          <w:lang w:eastAsia="en-GB"/>
        </w:rPr>
        <w:tab/>
        <w:t>having regard to Article 294(2) and Article 114 of the Treaty on the Functioning of the European Union, pursuant to which the Commission submitted the proposal to Parliament (C9</w:t>
      </w:r>
      <w:r w:rsidRPr="004C5B97">
        <w:rPr>
          <w:rFonts w:eastAsia="Times New Roman"/>
          <w:szCs w:val="20"/>
          <w:lang w:eastAsia="en-GB"/>
        </w:rPr>
        <w:noBreakHyphen/>
        <w:t>0314/2022),</w:t>
      </w:r>
    </w:p>
    <w:p w:rsidR="004C5B97" w:rsidRPr="004C5B97" w:rsidRDefault="004C5B97" w:rsidP="004C5B97">
      <w:pPr>
        <w:spacing w:after="240"/>
        <w:ind w:left="567" w:hanging="567"/>
        <w:jc w:val="left"/>
        <w:rPr>
          <w:rFonts w:eastAsia="Times New Roman"/>
          <w:szCs w:val="20"/>
          <w:lang w:eastAsia="en-GB"/>
        </w:rPr>
      </w:pPr>
      <w:r w:rsidRPr="004C5B97">
        <w:rPr>
          <w:rFonts w:eastAsia="Times New Roman"/>
          <w:szCs w:val="20"/>
          <w:lang w:eastAsia="en-GB"/>
        </w:rPr>
        <w:t>–</w:t>
      </w:r>
      <w:r w:rsidRPr="004C5B97">
        <w:rPr>
          <w:rFonts w:eastAsia="Times New Roman"/>
          <w:szCs w:val="20"/>
          <w:lang w:eastAsia="en-GB"/>
        </w:rPr>
        <w:tab/>
        <w:t>having regard to Article 294(3) of the Treaty on the Functioning of the European Union,</w:t>
      </w:r>
    </w:p>
    <w:p w:rsidR="004C5B97" w:rsidRPr="004C5B97" w:rsidRDefault="004C5B97" w:rsidP="004C5B97">
      <w:pPr>
        <w:spacing w:after="240"/>
        <w:ind w:left="567" w:hanging="567"/>
        <w:jc w:val="left"/>
        <w:rPr>
          <w:rFonts w:eastAsia="Times New Roman"/>
          <w:szCs w:val="20"/>
          <w:lang w:eastAsia="en-GB"/>
        </w:rPr>
      </w:pPr>
      <w:r w:rsidRPr="004C5B97">
        <w:rPr>
          <w:rFonts w:eastAsia="Times New Roman"/>
          <w:szCs w:val="20"/>
          <w:lang w:eastAsia="en-GB"/>
        </w:rPr>
        <w:t>–</w:t>
      </w:r>
      <w:r w:rsidRPr="004C5B97">
        <w:rPr>
          <w:rFonts w:eastAsia="Times New Roman"/>
          <w:szCs w:val="20"/>
          <w:lang w:eastAsia="en-GB"/>
        </w:rPr>
        <w:tab/>
        <w:t>having regard to the opinion of the European Economic and Social Committee of 14 December 2022</w:t>
      </w:r>
      <w:r w:rsidRPr="004C5B97">
        <w:rPr>
          <w:rFonts w:eastAsia="Times New Roman"/>
          <w:szCs w:val="20"/>
          <w:vertAlign w:val="superscript"/>
          <w:lang w:eastAsia="en-GB"/>
        </w:rPr>
        <w:footnoteReference w:id="1"/>
      </w:r>
      <w:r w:rsidRPr="004C5B97">
        <w:rPr>
          <w:rFonts w:eastAsia="Times New Roman"/>
          <w:szCs w:val="20"/>
          <w:lang w:eastAsia="en-GB"/>
        </w:rPr>
        <w:t>,</w:t>
      </w:r>
    </w:p>
    <w:p w:rsidR="004C5B97" w:rsidRPr="004C5B97" w:rsidRDefault="004C5B97" w:rsidP="004C5B97">
      <w:pPr>
        <w:spacing w:after="240"/>
        <w:ind w:left="567" w:hanging="567"/>
        <w:jc w:val="left"/>
        <w:rPr>
          <w:rFonts w:eastAsia="Times New Roman"/>
          <w:szCs w:val="20"/>
          <w:lang w:eastAsia="en-GB"/>
        </w:rPr>
      </w:pPr>
      <w:r w:rsidRPr="004C5B97">
        <w:rPr>
          <w:rFonts w:eastAsia="Times New Roman"/>
          <w:szCs w:val="20"/>
          <w:lang w:eastAsia="en-GB"/>
        </w:rPr>
        <w:t>–</w:t>
      </w:r>
      <w:r w:rsidRPr="004C5B97">
        <w:rPr>
          <w:rFonts w:eastAsia="Times New Roman"/>
          <w:szCs w:val="20"/>
          <w:lang w:eastAsia="en-GB"/>
        </w:rPr>
        <w:tab/>
        <w:t>having regard to the opinion of the Committee of the Regions of 8 February 2023</w:t>
      </w:r>
      <w:r w:rsidRPr="004C5B97">
        <w:rPr>
          <w:rFonts w:eastAsia="Times New Roman"/>
          <w:szCs w:val="20"/>
          <w:vertAlign w:val="superscript"/>
          <w:lang w:eastAsia="en-GB"/>
        </w:rPr>
        <w:footnoteReference w:id="2"/>
      </w:r>
      <w:r w:rsidRPr="004C5B97">
        <w:rPr>
          <w:rFonts w:eastAsia="Times New Roman"/>
          <w:szCs w:val="20"/>
          <w:lang w:eastAsia="en-GB"/>
        </w:rPr>
        <w:t>,</w:t>
      </w:r>
    </w:p>
    <w:p w:rsidR="004C5B97" w:rsidRPr="004C5B97" w:rsidRDefault="004C5B97" w:rsidP="004C5B97">
      <w:pPr>
        <w:spacing w:after="240"/>
        <w:ind w:left="567" w:hanging="567"/>
        <w:jc w:val="left"/>
        <w:rPr>
          <w:rFonts w:eastAsia="Times New Roman"/>
          <w:szCs w:val="20"/>
          <w:lang w:eastAsia="en-GB"/>
        </w:rPr>
      </w:pPr>
      <w:r w:rsidRPr="004C5B97">
        <w:rPr>
          <w:rFonts w:eastAsia="Times New Roman"/>
          <w:szCs w:val="20"/>
          <w:lang w:eastAsia="en-GB"/>
        </w:rPr>
        <w:t xml:space="preserve">– </w:t>
      </w:r>
      <w:r w:rsidRPr="004C5B97">
        <w:rPr>
          <w:rFonts w:eastAsia="Times New Roman"/>
          <w:szCs w:val="20"/>
          <w:lang w:eastAsia="en-GB"/>
        </w:rPr>
        <w:tab/>
        <w:t>having regard to the provisional agreement approved by the responsible committee under Rule 74(4) of its Rules of Procedure and the undertaking given by the Council representative by letter of 16 February 2024 to approve Parliament’s position, in accordance with Article 294(4) of the Treaty on the Functioning of the European Union,</w:t>
      </w:r>
    </w:p>
    <w:p w:rsidR="004C5B97" w:rsidRPr="004C5B97" w:rsidRDefault="004C5B97" w:rsidP="004C5B97">
      <w:pPr>
        <w:spacing w:after="240"/>
        <w:ind w:left="567" w:hanging="567"/>
        <w:jc w:val="left"/>
        <w:rPr>
          <w:rFonts w:eastAsia="Times New Roman"/>
          <w:szCs w:val="20"/>
          <w:lang w:eastAsia="en-GB"/>
        </w:rPr>
      </w:pPr>
      <w:r w:rsidRPr="004C5B97">
        <w:rPr>
          <w:rFonts w:eastAsia="Times New Roman"/>
          <w:szCs w:val="20"/>
          <w:lang w:eastAsia="en-GB"/>
        </w:rPr>
        <w:lastRenderedPageBreak/>
        <w:t>–</w:t>
      </w:r>
      <w:r w:rsidRPr="004C5B97">
        <w:rPr>
          <w:rFonts w:eastAsia="Times New Roman"/>
          <w:szCs w:val="20"/>
          <w:lang w:eastAsia="en-GB"/>
        </w:rPr>
        <w:tab/>
        <w:t>having regard to Rule 59 of its Rules of Procedure,</w:t>
      </w:r>
    </w:p>
    <w:p w:rsidR="004C5B97" w:rsidRPr="004C5B97" w:rsidRDefault="004C5B97" w:rsidP="004C5B97">
      <w:pPr>
        <w:spacing w:after="240"/>
        <w:ind w:left="567" w:hanging="567"/>
        <w:jc w:val="left"/>
        <w:rPr>
          <w:rFonts w:eastAsia="Times New Roman"/>
          <w:szCs w:val="20"/>
          <w:lang w:eastAsia="en-GB"/>
        </w:rPr>
      </w:pPr>
      <w:r w:rsidRPr="004C5B97">
        <w:rPr>
          <w:rFonts w:eastAsia="Times New Roman"/>
          <w:szCs w:val="20"/>
          <w:lang w:eastAsia="en-GB"/>
        </w:rPr>
        <w:t>–</w:t>
      </w:r>
      <w:r w:rsidRPr="004C5B97">
        <w:rPr>
          <w:rFonts w:eastAsia="Times New Roman"/>
          <w:szCs w:val="20"/>
          <w:lang w:eastAsia="en-GB"/>
        </w:rPr>
        <w:tab/>
        <w:t>having regard to the report of the Committee on the Internal Market and Consumer Protection (A9-0244/2023),</w:t>
      </w:r>
    </w:p>
    <w:p w:rsidR="004C5B97" w:rsidRPr="004C5B97" w:rsidRDefault="004C5B97" w:rsidP="004C5B97">
      <w:pPr>
        <w:spacing w:after="240"/>
        <w:ind w:left="567" w:hanging="567"/>
        <w:jc w:val="left"/>
        <w:rPr>
          <w:rFonts w:eastAsia="Times New Roman"/>
          <w:szCs w:val="20"/>
          <w:lang w:eastAsia="en-GB"/>
        </w:rPr>
      </w:pPr>
      <w:r w:rsidRPr="004C5B97">
        <w:rPr>
          <w:rFonts w:eastAsia="Times New Roman"/>
          <w:szCs w:val="20"/>
          <w:lang w:eastAsia="en-GB"/>
        </w:rPr>
        <w:t>1.</w:t>
      </w:r>
      <w:r w:rsidRPr="004C5B97">
        <w:rPr>
          <w:rFonts w:eastAsia="Times New Roman"/>
          <w:szCs w:val="20"/>
          <w:lang w:eastAsia="en-GB"/>
        </w:rPr>
        <w:tab/>
        <w:t>Adopts its position at first reading hereinafter set out;</w:t>
      </w:r>
    </w:p>
    <w:p w:rsidR="004C5B97" w:rsidRPr="004C5B97" w:rsidRDefault="004C5B97" w:rsidP="004C5B97">
      <w:pPr>
        <w:spacing w:after="240"/>
        <w:ind w:left="567" w:hanging="567"/>
        <w:jc w:val="left"/>
        <w:rPr>
          <w:rFonts w:eastAsia="Times New Roman"/>
          <w:szCs w:val="20"/>
          <w:lang w:eastAsia="en-GB"/>
        </w:rPr>
      </w:pPr>
      <w:r w:rsidRPr="004C5B97">
        <w:rPr>
          <w:rFonts w:eastAsia="Times New Roman"/>
          <w:szCs w:val="20"/>
          <w:lang w:eastAsia="en-GB"/>
        </w:rPr>
        <w:t>2.</w:t>
      </w:r>
      <w:r w:rsidRPr="004C5B97">
        <w:rPr>
          <w:rFonts w:eastAsia="Times New Roman"/>
          <w:szCs w:val="20"/>
          <w:lang w:eastAsia="en-GB"/>
        </w:rPr>
        <w:tab/>
        <w:t>Calls on the Commission to refer the matter to Parliament again if it replaces, substantially amends or intends to substantially amend its proposal;</w:t>
      </w:r>
    </w:p>
    <w:p w:rsidR="004C5B97" w:rsidRPr="004C5B97" w:rsidRDefault="004C5B97" w:rsidP="004C5B97">
      <w:pPr>
        <w:spacing w:after="240"/>
        <w:ind w:left="567" w:hanging="567"/>
        <w:jc w:val="left"/>
        <w:rPr>
          <w:rFonts w:eastAsia="Times New Roman"/>
          <w:szCs w:val="20"/>
          <w:lang w:eastAsia="en-GB"/>
        </w:rPr>
        <w:sectPr w:rsidR="004C5B97" w:rsidRPr="004C5B97" w:rsidSect="00434D2E">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134" w:right="1418" w:bottom="1418" w:left="1418" w:header="1134" w:footer="567" w:gutter="0"/>
          <w:cols w:space="720"/>
          <w:noEndnote/>
          <w:docGrid w:linePitch="326"/>
        </w:sectPr>
      </w:pPr>
      <w:r w:rsidRPr="004C5B97">
        <w:rPr>
          <w:rFonts w:eastAsia="Times New Roman"/>
          <w:szCs w:val="20"/>
          <w:lang w:eastAsia="en-GB"/>
        </w:rPr>
        <w:t>3.</w:t>
      </w:r>
      <w:r w:rsidRPr="004C5B97">
        <w:rPr>
          <w:rFonts w:eastAsia="Times New Roman"/>
          <w:szCs w:val="20"/>
          <w:lang w:eastAsia="en-GB"/>
        </w:rPr>
        <w:tab/>
        <w:t>Instructs its President to forward its position to the Council, the Commission and the national parliaments.</w:t>
      </w:r>
    </w:p>
    <w:p w:rsidR="004C5B97" w:rsidRPr="004C5B97" w:rsidRDefault="004C5B97" w:rsidP="004C5B97">
      <w:pPr>
        <w:widowControl w:val="0"/>
        <w:autoSpaceDE w:val="0"/>
        <w:autoSpaceDN w:val="0"/>
        <w:adjustRightInd w:val="0"/>
        <w:spacing w:after="240"/>
        <w:jc w:val="left"/>
        <w:rPr>
          <w:rFonts w:eastAsia="Calibri"/>
          <w:b/>
          <w:bCs/>
          <w:color w:val="000000"/>
          <w:lang w:eastAsia="en-GB"/>
        </w:rPr>
      </w:pPr>
      <w:bookmarkStart w:id="8" w:name="TextBodyEnd"/>
      <w:bookmarkEnd w:id="8"/>
      <w:r w:rsidRPr="004C5B97">
        <w:rPr>
          <w:rFonts w:eastAsia="Calibri"/>
          <w:b/>
          <w:bCs/>
          <w:color w:val="000000"/>
          <w:lang w:eastAsia="en-GB"/>
        </w:rPr>
        <w:lastRenderedPageBreak/>
        <w:t>P9_TC1-COD(2022)0279</w:t>
      </w:r>
    </w:p>
    <w:p w:rsidR="004C5B97" w:rsidRPr="002A56C9" w:rsidRDefault="004C5B97" w:rsidP="004C5B97">
      <w:pPr>
        <w:spacing w:after="240"/>
        <w:jc w:val="left"/>
        <w:rPr>
          <w:rFonts w:eastAsia="Times New Roman"/>
          <w:b/>
          <w:lang w:val="en-US"/>
        </w:rPr>
      </w:pPr>
      <w:r w:rsidRPr="004C5B97">
        <w:rPr>
          <w:rFonts w:eastAsia="Calibri"/>
          <w:b/>
          <w:bCs/>
          <w:lang w:eastAsia="en-GB"/>
        </w:rPr>
        <w:t>Position of the European Parliament adopted at first reading on 24 April 2024 with a view to the adoption of Regulation (EU) 2024</w:t>
      </w:r>
      <w:r w:rsidRPr="002A56C9">
        <w:rPr>
          <w:rFonts w:eastAsia="Calibri"/>
          <w:b/>
          <w:bCs/>
          <w:lang w:eastAsia="en-GB"/>
        </w:rPr>
        <w:t xml:space="preserve">/… of the European Parliament and of the Council </w:t>
      </w:r>
      <w:r w:rsidRPr="002A56C9">
        <w:rPr>
          <w:rFonts w:eastAsia="Times New Roman"/>
          <w:b/>
          <w:lang w:val="en-US"/>
        </w:rPr>
        <w:t>amending Regulations (EU) No 305/2011, (EU) 2016/424, (EU) 2016/425, (EU) 2016/426, (EU) 2023/988 and (EU) 2023/1230 as regards emergency procedures for the conformity assessment, presumption of conformity, adoption of common specifications and market surveillance due to an internal market emergency</w:t>
      </w:r>
    </w:p>
    <w:p w:rsidR="002A56C9" w:rsidRPr="002A56C9" w:rsidRDefault="002A56C9" w:rsidP="004C5B97">
      <w:pPr>
        <w:spacing w:after="240"/>
        <w:jc w:val="left"/>
        <w:rPr>
          <w:rFonts w:eastAsia="Times New Roman"/>
          <w:i/>
          <w:lang w:val="en-US"/>
        </w:rPr>
      </w:pPr>
      <w:r w:rsidRPr="002A56C9">
        <w:rPr>
          <w:rFonts w:eastAsia="Times New Roman"/>
          <w:i/>
          <w:lang w:val="en-US"/>
        </w:rPr>
        <w:t>(As an agreement was reached between Parliament and Council, Parliament's position corresponds to the final legislative</w:t>
      </w:r>
      <w:r>
        <w:rPr>
          <w:rFonts w:eastAsia="Times New Roman"/>
          <w:i/>
          <w:lang w:val="en-US"/>
        </w:rPr>
        <w:t xml:space="preserve"> act, Regulation (EU) 2024/2748</w:t>
      </w:r>
      <w:r w:rsidRPr="002A56C9">
        <w:rPr>
          <w:rFonts w:eastAsia="Times New Roman"/>
          <w:i/>
          <w:lang w:val="en-US"/>
        </w:rPr>
        <w:t xml:space="preserve">.) </w:t>
      </w:r>
      <w:bookmarkStart w:id="9" w:name="_GoBack"/>
      <w:bookmarkEnd w:id="9"/>
    </w:p>
    <w:sectPr w:rsidR="002A56C9" w:rsidRPr="002A56C9">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B97" w:rsidRDefault="004C5B97" w:rsidP="004C5B97">
      <w:r>
        <w:separator/>
      </w:r>
    </w:p>
  </w:endnote>
  <w:endnote w:type="continuationSeparator" w:id="0">
    <w:p w:rsidR="004C5B97" w:rsidRDefault="004C5B97" w:rsidP="004C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B97" w:rsidRPr="00434D2E" w:rsidRDefault="004C5B9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B97" w:rsidRPr="00434D2E" w:rsidRDefault="004C5B9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B97" w:rsidRPr="00434D2E" w:rsidRDefault="004C5B9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B97" w:rsidRDefault="004C5B97" w:rsidP="004C5B97">
      <w:r>
        <w:separator/>
      </w:r>
    </w:p>
  </w:footnote>
  <w:footnote w:type="continuationSeparator" w:id="0">
    <w:p w:rsidR="004C5B97" w:rsidRDefault="004C5B97" w:rsidP="004C5B97">
      <w:r>
        <w:continuationSeparator/>
      </w:r>
    </w:p>
  </w:footnote>
  <w:footnote w:id="1">
    <w:p w:rsidR="004C5B97" w:rsidRPr="004C5B97" w:rsidRDefault="004C5B97" w:rsidP="004C5B97">
      <w:pPr>
        <w:pStyle w:val="FootnoteText"/>
        <w:ind w:left="709" w:hanging="709"/>
        <w:jc w:val="left"/>
        <w:rPr>
          <w:sz w:val="24"/>
          <w:szCs w:val="24"/>
        </w:rPr>
      </w:pPr>
      <w:r w:rsidRPr="004C5B97">
        <w:rPr>
          <w:rStyle w:val="FootnoteReference"/>
          <w:sz w:val="24"/>
          <w:szCs w:val="24"/>
        </w:rPr>
        <w:footnoteRef/>
      </w:r>
      <w:r w:rsidRPr="004C5B97">
        <w:rPr>
          <w:sz w:val="24"/>
          <w:szCs w:val="24"/>
        </w:rPr>
        <w:t xml:space="preserve"> </w:t>
      </w:r>
      <w:r w:rsidRPr="004C5B97">
        <w:rPr>
          <w:sz w:val="24"/>
          <w:szCs w:val="24"/>
        </w:rPr>
        <w:tab/>
        <w:t>OJ C 100, 16.3.2023, p. 95.</w:t>
      </w:r>
    </w:p>
  </w:footnote>
  <w:footnote w:id="2">
    <w:p w:rsidR="004C5B97" w:rsidRPr="004C5B97" w:rsidRDefault="004C5B97" w:rsidP="004C5B97">
      <w:pPr>
        <w:pStyle w:val="FootnoteText"/>
        <w:ind w:left="709" w:hanging="709"/>
        <w:jc w:val="left"/>
        <w:rPr>
          <w:sz w:val="24"/>
          <w:szCs w:val="24"/>
        </w:rPr>
      </w:pPr>
      <w:r w:rsidRPr="004C5B97">
        <w:rPr>
          <w:rStyle w:val="FootnoteReference"/>
          <w:sz w:val="24"/>
          <w:szCs w:val="24"/>
        </w:rPr>
        <w:footnoteRef/>
      </w:r>
      <w:r w:rsidRPr="004C5B97">
        <w:rPr>
          <w:sz w:val="24"/>
          <w:szCs w:val="24"/>
        </w:rPr>
        <w:t xml:space="preserve"> </w:t>
      </w:r>
      <w:r w:rsidRPr="004C5B97">
        <w:rPr>
          <w:sz w:val="24"/>
          <w:szCs w:val="24"/>
        </w:rPr>
        <w:tab/>
        <w:t>OJ C 157, 3.5.2023, p. 82.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B97" w:rsidRPr="00434D2E" w:rsidRDefault="004C5B9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B97" w:rsidRPr="00434D2E" w:rsidRDefault="004C5B9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B97" w:rsidRPr="00434D2E" w:rsidRDefault="004C5B9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B97"/>
    <w:rsid w:val="002A56C9"/>
    <w:rsid w:val="004C5B97"/>
    <w:rsid w:val="005762E3"/>
    <w:rsid w:val="008765BE"/>
    <w:rsid w:val="009121F2"/>
    <w:rsid w:val="00DE1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87A1"/>
  <w15:chartTrackingRefBased/>
  <w15:docId w15:val="{62AE2ADA-23E4-4EE5-A0D8-EDF079E4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semiHidden/>
    <w:unhideWhenUsed/>
    <w:qFormat/>
    <w:rsid w:val="005762E3"/>
    <w:pPr>
      <w:spacing w:before="240" w:after="60"/>
      <w:outlineLvl w:val="6"/>
    </w:pPr>
  </w:style>
  <w:style w:type="paragraph" w:styleId="Heading8">
    <w:name w:val="heading 8"/>
    <w:basedOn w:val="Normal"/>
    <w:next w:val="Normal"/>
    <w:link w:val="Heading8Char"/>
    <w:semiHidden/>
    <w:unhideWhenUsed/>
    <w:qFormat/>
    <w:rsid w:val="005762E3"/>
    <w:pPr>
      <w:spacing w:before="240" w:after="60"/>
      <w:outlineLvl w:val="7"/>
    </w:pPr>
    <w:rPr>
      <w:i/>
      <w:iCs/>
    </w:rPr>
  </w:style>
  <w:style w:type="paragraph" w:styleId="Heading9">
    <w:name w:val="heading 9"/>
    <w:basedOn w:val="Normal"/>
    <w:next w:val="Normal"/>
    <w:link w:val="Heading9Char"/>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rsid w:val="005762E3"/>
    <w:rPr>
      <w:rFonts w:ascii="Arial" w:eastAsiaTheme="majorEastAsia" w:hAnsi="Arial" w:cs="Arial"/>
      <w:b/>
      <w:bCs/>
      <w:sz w:val="26"/>
      <w:szCs w:val="26"/>
    </w:rPr>
  </w:style>
  <w:style w:type="character" w:customStyle="1" w:styleId="Heading4Char">
    <w:name w:val="Heading 4 Char"/>
    <w:basedOn w:val="DefaultParagraphFont"/>
    <w:link w:val="Heading4"/>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nhideWhenUsed/>
    <w:rsid w:val="004C5B97"/>
    <w:rPr>
      <w:sz w:val="20"/>
      <w:szCs w:val="20"/>
    </w:rPr>
  </w:style>
  <w:style w:type="character" w:customStyle="1" w:styleId="FootnoteTextChar">
    <w:name w:val="Footnote Text Char"/>
    <w:basedOn w:val="DefaultParagraphFont"/>
    <w:link w:val="FootnoteText"/>
    <w:rsid w:val="004C5B97"/>
    <w:rPr>
      <w:rFonts w:ascii="Times New Roman" w:hAnsi="Times New Roman"/>
      <w:sz w:val="20"/>
      <w:szCs w:val="20"/>
    </w:rPr>
  </w:style>
  <w:style w:type="character" w:styleId="FootnoteReference">
    <w:name w:val="footnote reference"/>
    <w:rsid w:val="004C5B97"/>
    <w:rPr>
      <w:b w:val="0"/>
      <w:vertAlign w:val="superscript"/>
    </w:rPr>
  </w:style>
  <w:style w:type="numbering" w:customStyle="1" w:styleId="NoList1">
    <w:name w:val="No List1"/>
    <w:next w:val="NoList"/>
    <w:uiPriority w:val="99"/>
    <w:semiHidden/>
    <w:unhideWhenUsed/>
    <w:rsid w:val="004C5B97"/>
  </w:style>
  <w:style w:type="character" w:customStyle="1" w:styleId="HideTWBExt">
    <w:name w:val="HideTWBExt"/>
    <w:rsid w:val="004C5B97"/>
    <w:rPr>
      <w:rFonts w:ascii="Arial" w:hAnsi="Arial"/>
      <w:noProof/>
      <w:vanish/>
      <w:color w:val="000080"/>
      <w:sz w:val="20"/>
    </w:rPr>
  </w:style>
  <w:style w:type="paragraph" w:customStyle="1" w:styleId="EPFooter2">
    <w:name w:val="EPFooter2"/>
    <w:basedOn w:val="Normal"/>
    <w:next w:val="Normal"/>
    <w:rsid w:val="004C5B97"/>
    <w:pPr>
      <w:tabs>
        <w:tab w:val="center" w:pos="4535"/>
        <w:tab w:val="right" w:pos="9921"/>
      </w:tabs>
      <w:ind w:left="-850" w:right="-850"/>
      <w:jc w:val="left"/>
    </w:pPr>
    <w:rPr>
      <w:rFonts w:ascii="Arial" w:eastAsia="Times New Roman" w:hAnsi="Arial" w:cs="Arial"/>
      <w:b/>
      <w:sz w:val="48"/>
      <w:szCs w:val="20"/>
      <w:lang w:eastAsia="en-GB"/>
    </w:rPr>
  </w:style>
  <w:style w:type="paragraph" w:customStyle="1" w:styleId="Normal12a">
    <w:name w:val="Normal12a"/>
    <w:basedOn w:val="Normal"/>
    <w:rsid w:val="004C5B97"/>
    <w:pPr>
      <w:widowControl w:val="0"/>
      <w:spacing w:after="240"/>
      <w:jc w:val="left"/>
    </w:pPr>
    <w:rPr>
      <w:rFonts w:eastAsia="Times New Roman"/>
      <w:szCs w:val="20"/>
      <w:lang w:eastAsia="en-GB"/>
    </w:rPr>
  </w:style>
  <w:style w:type="paragraph" w:styleId="TOC1">
    <w:name w:val="toc 1"/>
    <w:basedOn w:val="Normal12a"/>
    <w:next w:val="Normal12a"/>
    <w:autoRedefine/>
    <w:semiHidden/>
    <w:rsid w:val="004C5B97"/>
  </w:style>
  <w:style w:type="character" w:customStyle="1" w:styleId="HideTWBInt">
    <w:name w:val="HideTWBInt"/>
    <w:rsid w:val="004C5B97"/>
    <w:rPr>
      <w:rFonts w:ascii="Arial" w:hAnsi="Arial" w:cs="Arial"/>
      <w:vanish/>
      <w:color w:val="808080"/>
      <w:sz w:val="20"/>
    </w:rPr>
  </w:style>
  <w:style w:type="paragraph" w:customStyle="1" w:styleId="EPName">
    <w:name w:val="EPName"/>
    <w:basedOn w:val="Normal"/>
    <w:rsid w:val="004C5B97"/>
    <w:pPr>
      <w:widowControl w:val="0"/>
      <w:spacing w:before="80" w:after="80"/>
      <w:jc w:val="left"/>
    </w:pPr>
    <w:rPr>
      <w:rFonts w:ascii="Arial Narrow" w:eastAsia="Times New Roman" w:hAnsi="Arial Narrow" w:cs="Arial"/>
      <w:b/>
      <w:sz w:val="32"/>
      <w:szCs w:val="22"/>
      <w:lang w:eastAsia="en-GB"/>
    </w:rPr>
  </w:style>
  <w:style w:type="paragraph" w:customStyle="1" w:styleId="HeadingDocType24a">
    <w:name w:val="HeadingDocType24a"/>
    <w:basedOn w:val="Normal"/>
    <w:rsid w:val="004C5B97"/>
    <w:pPr>
      <w:widowControl w:val="0"/>
      <w:spacing w:after="480"/>
      <w:jc w:val="center"/>
    </w:pPr>
    <w:rPr>
      <w:rFonts w:ascii="Arial" w:eastAsia="Times New Roman" w:hAnsi="Arial"/>
      <w:b/>
      <w:sz w:val="48"/>
      <w:szCs w:val="20"/>
      <w:lang w:eastAsia="en-GB"/>
    </w:rPr>
  </w:style>
  <w:style w:type="paragraph" w:customStyle="1" w:styleId="HeadingReferenceERCO">
    <w:name w:val="HeadingReferenceERCO"/>
    <w:basedOn w:val="Normal"/>
    <w:rsid w:val="004C5B97"/>
    <w:pPr>
      <w:widowControl w:val="0"/>
      <w:spacing w:before="360" w:after="240"/>
      <w:jc w:val="right"/>
    </w:pPr>
    <w:rPr>
      <w:rFonts w:ascii="Arial" w:eastAsia="Times New Roman" w:hAnsi="Arial"/>
      <w:b/>
      <w:szCs w:val="20"/>
      <w:lang w:eastAsia="en-GB"/>
    </w:rPr>
  </w:style>
  <w:style w:type="paragraph" w:customStyle="1" w:styleId="NormalCenter">
    <w:name w:val="NormalCenter"/>
    <w:basedOn w:val="Normal"/>
    <w:rsid w:val="004C5B97"/>
    <w:pPr>
      <w:widowControl w:val="0"/>
      <w:jc w:val="center"/>
    </w:pPr>
    <w:rPr>
      <w:rFonts w:eastAsia="Times New Roman"/>
      <w:szCs w:val="20"/>
      <w:lang w:eastAsia="en-GB"/>
    </w:rPr>
  </w:style>
  <w:style w:type="paragraph" w:customStyle="1" w:styleId="Normal24a">
    <w:name w:val="Normal24a"/>
    <w:basedOn w:val="Normal"/>
    <w:rsid w:val="004C5B97"/>
    <w:pPr>
      <w:widowControl w:val="0"/>
      <w:spacing w:after="480"/>
      <w:jc w:val="left"/>
    </w:pPr>
    <w:rPr>
      <w:rFonts w:eastAsia="Times New Roman"/>
      <w:szCs w:val="20"/>
      <w:lang w:eastAsia="en-GB"/>
    </w:rPr>
  </w:style>
  <w:style w:type="table" w:styleId="TableGrid">
    <w:name w:val="Table Grid"/>
    <w:basedOn w:val="TableNormal"/>
    <w:rsid w:val="004C5B97"/>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4C5B97"/>
    <w:pPr>
      <w:widowControl w:val="0"/>
      <w:jc w:val="center"/>
    </w:pPr>
    <w:rPr>
      <w:rFonts w:ascii="Arial" w:eastAsia="Times New Roman" w:hAnsi="Arial" w:cs="Arial"/>
      <w:i/>
      <w:sz w:val="22"/>
      <w:szCs w:val="22"/>
      <w:lang w:eastAsia="en-GB"/>
    </w:rPr>
  </w:style>
  <w:style w:type="paragraph" w:customStyle="1" w:styleId="LineTop">
    <w:name w:val="LineTop"/>
    <w:basedOn w:val="Normal"/>
    <w:next w:val="Normal"/>
    <w:rsid w:val="004C5B97"/>
    <w:pPr>
      <w:widowControl w:val="0"/>
      <w:pBdr>
        <w:top w:val="single" w:sz="4" w:space="1" w:color="auto"/>
      </w:pBdr>
      <w:jc w:val="center"/>
    </w:pPr>
    <w:rPr>
      <w:rFonts w:ascii="Arial" w:eastAsia="Times New Roman" w:hAnsi="Arial" w:cs="Arial"/>
      <w:sz w:val="16"/>
      <w:szCs w:val="16"/>
      <w:lang w:eastAsia="en-GB"/>
    </w:rPr>
  </w:style>
  <w:style w:type="paragraph" w:customStyle="1" w:styleId="LineBottom">
    <w:name w:val="LineBottom"/>
    <w:basedOn w:val="Normal"/>
    <w:next w:val="Normal"/>
    <w:rsid w:val="004C5B97"/>
    <w:pPr>
      <w:widowControl w:val="0"/>
      <w:pBdr>
        <w:bottom w:val="single" w:sz="4" w:space="1" w:color="auto"/>
      </w:pBdr>
      <w:spacing w:after="240"/>
      <w:jc w:val="center"/>
    </w:pPr>
    <w:rPr>
      <w:rFonts w:ascii="Arial" w:eastAsia="Times New Roman" w:hAnsi="Arial" w:cs="Arial"/>
      <w:sz w:val="16"/>
      <w:szCs w:val="16"/>
      <w:lang w:eastAsia="en-GB"/>
    </w:rPr>
  </w:style>
  <w:style w:type="paragraph" w:customStyle="1" w:styleId="EPTerm">
    <w:name w:val="EPTerm"/>
    <w:basedOn w:val="Normal"/>
    <w:next w:val="Normal"/>
    <w:rsid w:val="004C5B97"/>
    <w:pPr>
      <w:widowControl w:val="0"/>
      <w:spacing w:after="80"/>
      <w:jc w:val="left"/>
    </w:pPr>
    <w:rPr>
      <w:rFonts w:ascii="Arial" w:eastAsia="Times New Roman" w:hAnsi="Arial" w:cs="Arial"/>
      <w:sz w:val="20"/>
      <w:szCs w:val="22"/>
      <w:lang w:eastAsia="en-GB"/>
    </w:rPr>
  </w:style>
  <w:style w:type="paragraph" w:customStyle="1" w:styleId="EPLogo">
    <w:name w:val="EPLogo"/>
    <w:basedOn w:val="Normal"/>
    <w:qFormat/>
    <w:rsid w:val="004C5B97"/>
    <w:pPr>
      <w:widowControl w:val="0"/>
      <w:jc w:val="right"/>
    </w:pPr>
    <w:rPr>
      <w:rFonts w:eastAsia="Times New Roman"/>
      <w:szCs w:val="20"/>
      <w:lang w:eastAsia="en-GB"/>
    </w:rPr>
  </w:style>
  <w:style w:type="paragraph" w:customStyle="1" w:styleId="LineSingle">
    <w:name w:val="LineSingle"/>
    <w:basedOn w:val="Normal"/>
    <w:next w:val="Normal"/>
    <w:rsid w:val="004C5B97"/>
    <w:pPr>
      <w:widowControl w:val="0"/>
      <w:pBdr>
        <w:bottom w:val="single" w:sz="4" w:space="1" w:color="auto"/>
      </w:pBdr>
      <w:spacing w:after="240"/>
      <w:jc w:val="left"/>
    </w:pPr>
    <w:rPr>
      <w:rFonts w:eastAsia="Times New Roman"/>
      <w:szCs w:val="20"/>
      <w:lang w:eastAsia="en-GB"/>
    </w:rPr>
  </w:style>
  <w:style w:type="paragraph" w:customStyle="1" w:styleId="EPFooter">
    <w:name w:val="EPFooter"/>
    <w:basedOn w:val="Normal"/>
    <w:rsid w:val="004C5B97"/>
    <w:pPr>
      <w:widowControl w:val="0"/>
      <w:tabs>
        <w:tab w:val="center" w:pos="4535"/>
        <w:tab w:val="right" w:pos="9071"/>
      </w:tabs>
      <w:spacing w:before="240" w:after="240"/>
      <w:jc w:val="left"/>
    </w:pPr>
    <w:rPr>
      <w:rFonts w:eastAsia="Times New Roman"/>
      <w:sz w:val="22"/>
      <w:szCs w:val="20"/>
      <w:lang w:eastAsia="en-GB"/>
    </w:rPr>
  </w:style>
  <w:style w:type="paragraph" w:styleId="Header">
    <w:name w:val="header"/>
    <w:basedOn w:val="Normal"/>
    <w:link w:val="HeaderChar"/>
    <w:rsid w:val="004C5B97"/>
    <w:pPr>
      <w:widowControl w:val="0"/>
      <w:tabs>
        <w:tab w:val="center" w:pos="4513"/>
        <w:tab w:val="right" w:pos="9026"/>
      </w:tabs>
      <w:jc w:val="left"/>
    </w:pPr>
    <w:rPr>
      <w:rFonts w:eastAsia="Times New Roman"/>
      <w:szCs w:val="20"/>
      <w:lang w:eastAsia="en-GB"/>
    </w:rPr>
  </w:style>
  <w:style w:type="character" w:customStyle="1" w:styleId="HeaderChar">
    <w:name w:val="Header Char"/>
    <w:basedOn w:val="DefaultParagraphFont"/>
    <w:link w:val="Header"/>
    <w:rsid w:val="004C5B97"/>
    <w:rPr>
      <w:rFonts w:ascii="Times New Roman" w:eastAsia="Times New Roman" w:hAnsi="Times New Roman"/>
      <w:sz w:val="24"/>
      <w:szCs w:val="20"/>
      <w:lang w:eastAsia="en-GB"/>
    </w:rPr>
  </w:style>
  <w:style w:type="paragraph" w:customStyle="1" w:styleId="HeadingDate">
    <w:name w:val="HeadingDate"/>
    <w:basedOn w:val="Normal"/>
    <w:rsid w:val="004C5B97"/>
    <w:pPr>
      <w:widowControl w:val="0"/>
      <w:spacing w:before="240" w:after="240"/>
      <w:jc w:val="left"/>
    </w:pPr>
    <w:rPr>
      <w:rFonts w:eastAsia="Times New Roman"/>
      <w:szCs w:val="20"/>
      <w:lang w:eastAsia="en-GB"/>
    </w:rPr>
  </w:style>
  <w:style w:type="numbering" w:customStyle="1" w:styleId="NoList11">
    <w:name w:val="No List11"/>
    <w:next w:val="NoList"/>
    <w:uiPriority w:val="99"/>
    <w:semiHidden/>
    <w:unhideWhenUsed/>
    <w:rsid w:val="004C5B97"/>
  </w:style>
  <w:style w:type="paragraph" w:customStyle="1" w:styleId="SignaturePersonne">
    <w:name w:val="Signature Personne"/>
    <w:basedOn w:val="Normal"/>
    <w:rsid w:val="004C5B97"/>
    <w:pPr>
      <w:tabs>
        <w:tab w:val="left" w:pos="4252"/>
      </w:tabs>
      <w:spacing w:line="360" w:lineRule="auto"/>
      <w:jc w:val="left"/>
    </w:pPr>
    <w:rPr>
      <w:rFonts w:eastAsia="Times New Roman"/>
      <w:i/>
      <w:lang w:val="en-US"/>
    </w:rPr>
  </w:style>
  <w:style w:type="paragraph" w:customStyle="1" w:styleId="Considrant">
    <w:name w:val="Considérant"/>
    <w:basedOn w:val="Normal"/>
    <w:rsid w:val="004C5B97"/>
    <w:pPr>
      <w:widowControl w:val="0"/>
      <w:spacing w:before="120" w:after="120" w:line="360" w:lineRule="auto"/>
      <w:ind w:left="850" w:hanging="850"/>
      <w:jc w:val="left"/>
    </w:pPr>
    <w:rPr>
      <w:rFonts w:eastAsia="Times New Roman"/>
      <w:lang w:val="en-US"/>
    </w:rPr>
  </w:style>
  <w:style w:type="paragraph" w:customStyle="1" w:styleId="Institutionquiagit">
    <w:name w:val="Institution qui agit"/>
    <w:basedOn w:val="Normal"/>
    <w:next w:val="Normal"/>
    <w:rsid w:val="004C5B97"/>
    <w:pPr>
      <w:keepNext/>
      <w:widowControl w:val="0"/>
      <w:spacing w:before="600" w:after="120" w:line="360" w:lineRule="auto"/>
      <w:jc w:val="left"/>
    </w:pPr>
    <w:rPr>
      <w:rFonts w:eastAsia="Times New Roman"/>
      <w:lang w:val="en-US"/>
    </w:rPr>
  </w:style>
  <w:style w:type="paragraph" w:customStyle="1" w:styleId="Institutionquisigne">
    <w:name w:val="Institution qui signe"/>
    <w:basedOn w:val="Normal"/>
    <w:next w:val="Normal"/>
    <w:rsid w:val="004C5B97"/>
    <w:pPr>
      <w:keepNext/>
      <w:widowControl w:val="0"/>
      <w:tabs>
        <w:tab w:val="left" w:pos="4252"/>
      </w:tabs>
      <w:spacing w:before="720" w:line="360" w:lineRule="auto"/>
      <w:jc w:val="left"/>
    </w:pPr>
    <w:rPr>
      <w:rFonts w:eastAsia="Times New Roman"/>
      <w:i/>
      <w:lang w:val="en-US"/>
    </w:rPr>
  </w:style>
  <w:style w:type="paragraph" w:customStyle="1" w:styleId="Fait">
    <w:name w:val="Fait à"/>
    <w:basedOn w:val="Normal"/>
    <w:rsid w:val="004C5B97"/>
    <w:pPr>
      <w:keepNext/>
      <w:spacing w:before="120" w:line="360" w:lineRule="auto"/>
      <w:jc w:val="left"/>
    </w:pPr>
    <w:rPr>
      <w:rFonts w:eastAsia="Times New Roman"/>
      <w:lang w:val="en-US"/>
    </w:rPr>
  </w:style>
  <w:style w:type="character" w:customStyle="1" w:styleId="FooterChar">
    <w:name w:val="Footer Char"/>
    <w:rsid w:val="004C5B97"/>
    <w:rPr>
      <w:rFonts w:ascii="Times New Roman" w:eastAsia="Times New Roman" w:hAnsi="Times New Roman" w:cs="Times New Roman"/>
      <w:sz w:val="24"/>
    </w:rPr>
  </w:style>
  <w:style w:type="paragraph" w:customStyle="1" w:styleId="FootnoteTextForceStyle">
    <w:name w:val="Footnote Text ForceStyle"/>
    <w:rsid w:val="004C5B97"/>
    <w:pPr>
      <w:keepLines/>
      <w:widowControl w:val="0"/>
      <w:ind w:left="850" w:hanging="850"/>
    </w:pPr>
    <w:rPr>
      <w:rFonts w:ascii="Times New Roman" w:eastAsia="Times New Roman" w:hAnsi="Times New Roman"/>
      <w:sz w:val="24"/>
      <w:szCs w:val="20"/>
      <w:lang w:val="en-US"/>
    </w:rPr>
  </w:style>
  <w:style w:type="character" w:customStyle="1" w:styleId="Footer2">
    <w:name w:val="Footer2"/>
    <w:rsid w:val="004C5B97"/>
    <w:rPr>
      <w:rFonts w:ascii="Arial" w:hAnsi="Arial"/>
      <w:b/>
      <w:sz w:val="48"/>
    </w:rPr>
  </w:style>
  <w:style w:type="paragraph" w:customStyle="1" w:styleId="Applicationdirecte">
    <w:name w:val="Application directe"/>
    <w:basedOn w:val="Normal"/>
    <w:next w:val="Normal"/>
    <w:rsid w:val="004C5B97"/>
    <w:pPr>
      <w:widowControl w:val="0"/>
      <w:spacing w:before="120" w:after="120" w:line="360" w:lineRule="auto"/>
      <w:jc w:val="left"/>
    </w:pPr>
    <w:rPr>
      <w:rFonts w:eastAsia="Times New Roman"/>
      <w:lang w:val="en-US"/>
    </w:rPr>
  </w:style>
  <w:style w:type="paragraph" w:customStyle="1" w:styleId="Normale">
    <w:name w:val="Normale"/>
    <w:rsid w:val="004C5B97"/>
    <w:pPr>
      <w:widowControl w:val="0"/>
      <w:spacing w:before="120" w:after="120" w:line="360" w:lineRule="auto"/>
    </w:pPr>
    <w:rPr>
      <w:rFonts w:ascii="Times New Roman" w:eastAsia="Times New Roman" w:hAnsi="Times New Roman"/>
      <w:sz w:val="24"/>
      <w:szCs w:val="20"/>
      <w:lang w:val="en-US"/>
    </w:rPr>
  </w:style>
  <w:style w:type="paragraph" w:customStyle="1" w:styleId="Formuledadoption">
    <w:name w:val="Formule d'adoption"/>
    <w:basedOn w:val="Normal"/>
    <w:next w:val="Normal"/>
    <w:rsid w:val="004C5B97"/>
    <w:pPr>
      <w:keepNext/>
      <w:spacing w:before="120" w:after="120" w:line="360" w:lineRule="auto"/>
      <w:jc w:val="left"/>
    </w:pPr>
    <w:rPr>
      <w:rFonts w:eastAsia="Times New Roman"/>
      <w:lang w:val="en-US"/>
    </w:rPr>
  </w:style>
  <w:style w:type="paragraph" w:customStyle="1" w:styleId="Rfrenceinstitutionnelle">
    <w:name w:val="Référence institutionnelle"/>
    <w:basedOn w:val="Normal"/>
    <w:next w:val="Normal"/>
    <w:rsid w:val="004C5B97"/>
    <w:pPr>
      <w:spacing w:after="240" w:line="360" w:lineRule="auto"/>
      <w:ind w:left="5102"/>
      <w:jc w:val="left"/>
    </w:pPr>
    <w:rPr>
      <w:rFonts w:eastAsia="Times New Roman"/>
      <w:lang w:val="en-US"/>
    </w:rPr>
  </w:style>
  <w:style w:type="paragraph" w:customStyle="1" w:styleId="Footer1">
    <w:name w:val="Footer1"/>
    <w:basedOn w:val="Normal"/>
    <w:rsid w:val="004C5B97"/>
    <w:pPr>
      <w:tabs>
        <w:tab w:val="center" w:pos="4150"/>
        <w:tab w:val="right" w:pos="8306"/>
        <w:tab w:val="right" w:pos="9638"/>
      </w:tabs>
      <w:spacing w:line="360" w:lineRule="auto"/>
      <w:jc w:val="left"/>
    </w:pPr>
    <w:rPr>
      <w:rFonts w:eastAsia="Times New Roman"/>
      <w:lang w:val="en-US"/>
    </w:rPr>
  </w:style>
  <w:style w:type="paragraph" w:customStyle="1" w:styleId="SignatureInstitution">
    <w:name w:val="Signature Institution"/>
    <w:basedOn w:val="Normal"/>
    <w:rsid w:val="004C5B97"/>
    <w:pPr>
      <w:keepNext/>
      <w:tabs>
        <w:tab w:val="left" w:pos="4252"/>
      </w:tabs>
      <w:spacing w:before="720" w:after="100" w:line="360" w:lineRule="auto"/>
    </w:pPr>
    <w:rPr>
      <w:rFonts w:eastAsia="Times New Roman"/>
      <w:i/>
      <w:lang w:val="en-US"/>
    </w:rPr>
  </w:style>
  <w:style w:type="paragraph" w:customStyle="1" w:styleId="Statut">
    <w:name w:val="Statut"/>
    <w:basedOn w:val="Normal"/>
    <w:next w:val="Normal"/>
    <w:rsid w:val="004C5B97"/>
    <w:pPr>
      <w:spacing w:before="840" w:line="360" w:lineRule="auto"/>
      <w:jc w:val="center"/>
    </w:pPr>
    <w:rPr>
      <w:rFonts w:eastAsia="Times New Roman"/>
      <w:lang w:val="en-US"/>
    </w:rPr>
  </w:style>
  <w:style w:type="paragraph" w:customStyle="1" w:styleId="Typedudocument">
    <w:name w:val="Type du document"/>
    <w:basedOn w:val="Normal"/>
    <w:next w:val="Normal"/>
    <w:rsid w:val="004C5B97"/>
    <w:pPr>
      <w:spacing w:before="360" w:line="360" w:lineRule="auto"/>
      <w:jc w:val="center"/>
    </w:pPr>
    <w:rPr>
      <w:rFonts w:eastAsia="Times New Roman"/>
      <w:b/>
      <w:lang w:val="en-US"/>
    </w:rPr>
  </w:style>
  <w:style w:type="paragraph" w:customStyle="1" w:styleId="Titreobjet">
    <w:name w:val="Titre objet"/>
    <w:basedOn w:val="Normal"/>
    <w:next w:val="Normal"/>
    <w:rsid w:val="004C5B97"/>
    <w:pPr>
      <w:spacing w:before="360" w:after="360" w:line="360" w:lineRule="auto"/>
      <w:jc w:val="center"/>
    </w:pPr>
    <w:rPr>
      <w:rFonts w:eastAsia="Times New Roman"/>
      <w:b/>
      <w:lang w:val="en-US"/>
    </w:rPr>
  </w:style>
  <w:style w:type="paragraph" w:customStyle="1" w:styleId="IntrtEEE">
    <w:name w:val="Intérêt EEE"/>
    <w:basedOn w:val="Normal"/>
    <w:next w:val="Normal"/>
    <w:rsid w:val="004C5B97"/>
    <w:pPr>
      <w:spacing w:before="360" w:after="240" w:line="360" w:lineRule="auto"/>
      <w:jc w:val="center"/>
    </w:pPr>
    <w:rPr>
      <w:rFonts w:eastAsia="Times New Roman"/>
      <w:lang w:val="en-US"/>
    </w:rPr>
  </w:style>
  <w:style w:type="paragraph" w:styleId="BalloonText">
    <w:name w:val="Balloon Text"/>
    <w:basedOn w:val="Normal"/>
    <w:link w:val="BalloonTextChar"/>
    <w:semiHidden/>
    <w:unhideWhenUsed/>
    <w:rsid w:val="004C5B97"/>
    <w:pPr>
      <w:widowControl w:val="0"/>
      <w:jc w:val="left"/>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semiHidden/>
    <w:rsid w:val="004C5B97"/>
    <w:rPr>
      <w:rFonts w:ascii="Segoe UI" w:eastAsia="Times New Roman" w:hAnsi="Segoe UI" w:cs="Segoe UI"/>
      <w:sz w:val="18"/>
      <w:szCs w:val="18"/>
      <w:lang w:val="en-US"/>
    </w:rPr>
  </w:style>
  <w:style w:type="character" w:styleId="CommentReference">
    <w:name w:val="annotation reference"/>
    <w:basedOn w:val="DefaultParagraphFont"/>
    <w:unhideWhenUsed/>
    <w:rsid w:val="004C5B97"/>
    <w:rPr>
      <w:sz w:val="16"/>
      <w:szCs w:val="16"/>
    </w:rPr>
  </w:style>
  <w:style w:type="paragraph" w:styleId="CommentText">
    <w:name w:val="annotation text"/>
    <w:basedOn w:val="Normal"/>
    <w:link w:val="CommentTextChar"/>
    <w:unhideWhenUsed/>
    <w:rsid w:val="004C5B97"/>
    <w:pPr>
      <w:widowControl w:val="0"/>
      <w:spacing w:before="120" w:after="120"/>
      <w:jc w:val="left"/>
    </w:pPr>
    <w:rPr>
      <w:rFonts w:eastAsia="Times New Roman"/>
      <w:sz w:val="20"/>
      <w:szCs w:val="20"/>
      <w:lang w:val="en-US"/>
    </w:rPr>
  </w:style>
  <w:style w:type="character" w:customStyle="1" w:styleId="CommentTextChar">
    <w:name w:val="Comment Text Char"/>
    <w:basedOn w:val="DefaultParagraphFont"/>
    <w:link w:val="CommentText"/>
    <w:rsid w:val="004C5B97"/>
    <w:rPr>
      <w:rFonts w:ascii="Times New Roman" w:eastAsia="Times New Roman" w:hAnsi="Times New Roman"/>
      <w:sz w:val="20"/>
      <w:szCs w:val="20"/>
      <w:lang w:val="en-US"/>
    </w:rPr>
  </w:style>
  <w:style w:type="paragraph" w:styleId="CommentSubject">
    <w:name w:val="annotation subject"/>
    <w:basedOn w:val="CommentText"/>
    <w:next w:val="CommentText"/>
    <w:link w:val="CommentSubjectChar"/>
    <w:semiHidden/>
    <w:unhideWhenUsed/>
    <w:rsid w:val="004C5B97"/>
    <w:rPr>
      <w:b/>
      <w:bCs/>
    </w:rPr>
  </w:style>
  <w:style w:type="character" w:customStyle="1" w:styleId="CommentSubjectChar">
    <w:name w:val="Comment Subject Char"/>
    <w:basedOn w:val="CommentTextChar"/>
    <w:link w:val="CommentSubject"/>
    <w:semiHidden/>
    <w:rsid w:val="004C5B97"/>
    <w:rPr>
      <w:rFonts w:ascii="Times New Roman" w:eastAsia="Times New Roman" w:hAnsi="Times New Roman"/>
      <w:b/>
      <w:bCs/>
      <w:sz w:val="20"/>
      <w:szCs w:val="20"/>
      <w:lang w:val="en-US"/>
    </w:rPr>
  </w:style>
  <w:style w:type="paragraph" w:styleId="Footer">
    <w:name w:val="footer"/>
    <w:basedOn w:val="Normal"/>
    <w:link w:val="FooterChar1"/>
    <w:semiHidden/>
    <w:unhideWhenUsed/>
    <w:rsid w:val="004C5B97"/>
    <w:pPr>
      <w:widowControl w:val="0"/>
      <w:tabs>
        <w:tab w:val="center" w:pos="4513"/>
        <w:tab w:val="right" w:pos="9026"/>
      </w:tabs>
      <w:jc w:val="left"/>
    </w:pPr>
    <w:rPr>
      <w:rFonts w:eastAsia="Times New Roman"/>
      <w:lang w:val="en-US"/>
    </w:rPr>
  </w:style>
  <w:style w:type="character" w:customStyle="1" w:styleId="FooterChar1">
    <w:name w:val="Footer Char1"/>
    <w:basedOn w:val="DefaultParagraphFont"/>
    <w:link w:val="Footer"/>
    <w:semiHidden/>
    <w:rsid w:val="004C5B97"/>
    <w:rPr>
      <w:rFonts w:ascii="Times New Roman" w:eastAsia="Times New Roman" w:hAnsi="Times New Roman"/>
      <w:sz w:val="24"/>
      <w:szCs w:val="24"/>
      <w:lang w:val="en-US"/>
    </w:rPr>
  </w:style>
  <w:style w:type="paragraph" w:styleId="Revision">
    <w:name w:val="Revision"/>
    <w:hidden/>
    <w:uiPriority w:val="99"/>
    <w:semiHidden/>
    <w:rsid w:val="004C5B97"/>
    <w:rPr>
      <w:rFonts w:ascii="Times New Roman" w:eastAsia="Times New Roman" w:hAnsi="Times New Roman"/>
      <w:sz w:val="24"/>
      <w:szCs w:val="24"/>
      <w:lang w:val="en-US"/>
    </w:rPr>
  </w:style>
  <w:style w:type="character" w:customStyle="1" w:styleId="Hyperlink1">
    <w:name w:val="Hyperlink1"/>
    <w:basedOn w:val="DefaultParagraphFont"/>
    <w:unhideWhenUsed/>
    <w:rsid w:val="004C5B97"/>
    <w:rPr>
      <w:color w:val="0000FF"/>
      <w:u w:val="single"/>
    </w:rPr>
  </w:style>
  <w:style w:type="character" w:customStyle="1" w:styleId="FollowedHyperlink1">
    <w:name w:val="FollowedHyperlink1"/>
    <w:basedOn w:val="DefaultParagraphFont"/>
    <w:semiHidden/>
    <w:unhideWhenUsed/>
    <w:rsid w:val="004C5B97"/>
    <w:rPr>
      <w:color w:val="800080"/>
      <w:u w:val="single"/>
    </w:rPr>
  </w:style>
  <w:style w:type="character" w:customStyle="1" w:styleId="UnresolvedMention1">
    <w:name w:val="Unresolved Mention1"/>
    <w:basedOn w:val="DefaultParagraphFont"/>
    <w:uiPriority w:val="99"/>
    <w:semiHidden/>
    <w:unhideWhenUsed/>
    <w:rsid w:val="004C5B97"/>
    <w:rPr>
      <w:color w:val="605E5C"/>
      <w:shd w:val="clear" w:color="auto" w:fill="E1DFDD"/>
    </w:rPr>
  </w:style>
  <w:style w:type="character" w:customStyle="1" w:styleId="Hyperlink2">
    <w:name w:val="Hyperlink2"/>
    <w:basedOn w:val="DefaultParagraphFont"/>
    <w:rsid w:val="004C5B97"/>
    <w:rPr>
      <w:color w:val="0563C1"/>
      <w:u w:val="single"/>
    </w:rPr>
  </w:style>
  <w:style w:type="character" w:customStyle="1" w:styleId="FollowedHyperlink2">
    <w:name w:val="FollowedHyperlink2"/>
    <w:basedOn w:val="DefaultParagraphFont"/>
    <w:rsid w:val="004C5B97"/>
    <w:rPr>
      <w:color w:val="954F72"/>
      <w:u w:val="single"/>
    </w:rPr>
  </w:style>
  <w:style w:type="character" w:styleId="Hyperlink">
    <w:name w:val="Hyperlink"/>
    <w:basedOn w:val="DefaultParagraphFont"/>
    <w:uiPriority w:val="99"/>
    <w:semiHidden/>
    <w:unhideWhenUsed/>
    <w:rsid w:val="004C5B97"/>
    <w:rPr>
      <w:color w:val="0563C1" w:themeColor="hyperlink"/>
      <w:u w:val="single"/>
    </w:rPr>
  </w:style>
  <w:style w:type="character" w:styleId="FollowedHyperlink">
    <w:name w:val="FollowedHyperlink"/>
    <w:basedOn w:val="DefaultParagraphFont"/>
    <w:uiPriority w:val="99"/>
    <w:semiHidden/>
    <w:unhideWhenUsed/>
    <w:rsid w:val="004C5B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F8666-7D58-431A-8633-026B61CC4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SMITH Lyndsey</cp:lastModifiedBy>
  <cp:revision>2</cp:revision>
  <dcterms:created xsi:type="dcterms:W3CDTF">2025-03-13T09:02:00Z</dcterms:created>
  <dcterms:modified xsi:type="dcterms:W3CDTF">2025-03-13T09:02:00Z</dcterms:modified>
</cp:coreProperties>
</file>