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3C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3CD5" w:rsidRDefault="00E678CF" w:rsidP="0010095E">
            <w:pPr>
              <w:pStyle w:val="EPName"/>
            </w:pPr>
            <w:r w:rsidRPr="00083CD5">
              <w:t>Europski parlament</w:t>
            </w:r>
          </w:p>
          <w:p w:rsidR="00751A4A" w:rsidRPr="00083CD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1E25">
              <w:t>2019</w:t>
            </w:r>
            <w:r w:rsidRPr="00083CD5">
              <w:t>-</w:t>
            </w:r>
            <w:r w:rsidRPr="00711E2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83CD5" w:rsidRDefault="00187494" w:rsidP="0010095E">
            <w:pPr>
              <w:pStyle w:val="EPLogo"/>
            </w:pPr>
            <w:r w:rsidRPr="00083CD5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3CD5" w:rsidRDefault="00D058B8" w:rsidP="004C5D52">
      <w:pPr>
        <w:pStyle w:val="LineTop"/>
      </w:pPr>
    </w:p>
    <w:p w:rsidR="00680577" w:rsidRPr="00083CD5" w:rsidRDefault="00E678CF" w:rsidP="00680577">
      <w:pPr>
        <w:pStyle w:val="EPBodyTA1"/>
      </w:pPr>
      <w:r w:rsidRPr="00083CD5">
        <w:t>USVOJENI TEKSTOVI</w:t>
      </w:r>
    </w:p>
    <w:p w:rsidR="00D058B8" w:rsidRPr="00083CD5" w:rsidRDefault="00D058B8" w:rsidP="00D058B8">
      <w:pPr>
        <w:pStyle w:val="LineBottom"/>
      </w:pPr>
    </w:p>
    <w:p w:rsidR="00E678CF" w:rsidRPr="00083CD5" w:rsidRDefault="00E678CF" w:rsidP="00E678CF">
      <w:pPr>
        <w:pStyle w:val="ATHeading1"/>
      </w:pPr>
      <w:bookmarkStart w:id="0" w:name="TANumber"/>
      <w:r w:rsidRPr="00083CD5">
        <w:t>P</w:t>
      </w:r>
      <w:r w:rsidRPr="00711E25">
        <w:t>9</w:t>
      </w:r>
      <w:r w:rsidRPr="00083CD5">
        <w:t>_TA(</w:t>
      </w:r>
      <w:r w:rsidRPr="00711E25">
        <w:t>2024</w:t>
      </w:r>
      <w:r w:rsidRPr="00083CD5">
        <w:t>)</w:t>
      </w:r>
      <w:r w:rsidRPr="00711E25">
        <w:t>0</w:t>
      </w:r>
      <w:r w:rsidR="00D37257" w:rsidRPr="00711E25">
        <w:t>321</w:t>
      </w:r>
      <w:bookmarkEnd w:id="0"/>
    </w:p>
    <w:p w:rsidR="00E678CF" w:rsidRPr="00083CD5" w:rsidRDefault="00E678CF" w:rsidP="00E678CF">
      <w:pPr>
        <w:pStyle w:val="ATHeading2"/>
      </w:pPr>
      <w:bookmarkStart w:id="1" w:name="title"/>
      <w:r w:rsidRPr="00083CD5">
        <w:t>Izmjena određenih uredbi u pogledu uspostave Instrumenta za izvanredne okolnosti na jedinstvenom tržištu</w:t>
      </w:r>
      <w:bookmarkEnd w:id="1"/>
    </w:p>
    <w:p w:rsidR="00E678CF" w:rsidRPr="00083CD5" w:rsidRDefault="00E678CF" w:rsidP="00E678CF">
      <w:pPr>
        <w:rPr>
          <w:i/>
          <w:vanish/>
        </w:rPr>
      </w:pPr>
      <w:r w:rsidRPr="00083CD5">
        <w:rPr>
          <w:i/>
        </w:rPr>
        <w:fldChar w:fldCharType="begin"/>
      </w:r>
      <w:r w:rsidRPr="00083CD5">
        <w:rPr>
          <w:i/>
        </w:rPr>
        <w:instrText xml:space="preserve"> TC"(</w:instrText>
      </w:r>
      <w:bookmarkStart w:id="2" w:name="DocNumber"/>
      <w:r w:rsidRPr="00083CD5">
        <w:rPr>
          <w:i/>
        </w:rPr>
        <w:instrText>A</w:instrText>
      </w:r>
      <w:r w:rsidRPr="00711E25">
        <w:rPr>
          <w:i/>
        </w:rPr>
        <w:instrText>9</w:instrText>
      </w:r>
      <w:r w:rsidRPr="00083CD5">
        <w:rPr>
          <w:i/>
        </w:rPr>
        <w:instrText>-</w:instrText>
      </w:r>
      <w:r w:rsidRPr="00711E25">
        <w:rPr>
          <w:i/>
        </w:rPr>
        <w:instrText>0244</w:instrText>
      </w:r>
      <w:r w:rsidRPr="00083CD5">
        <w:rPr>
          <w:i/>
        </w:rPr>
        <w:instrText>/</w:instrText>
      </w:r>
      <w:r w:rsidRPr="00711E25">
        <w:rPr>
          <w:i/>
        </w:rPr>
        <w:instrText>2023</w:instrText>
      </w:r>
      <w:bookmarkEnd w:id="2"/>
      <w:r w:rsidRPr="00083CD5">
        <w:rPr>
          <w:i/>
        </w:rPr>
        <w:instrText xml:space="preserve"> - Izvjestitelj: </w:instrText>
      </w:r>
      <w:proofErr w:type="spellStart"/>
      <w:r w:rsidRPr="00083CD5">
        <w:rPr>
          <w:i/>
        </w:rPr>
        <w:instrText>Andreas</w:instrText>
      </w:r>
      <w:proofErr w:type="spellEnd"/>
      <w:r w:rsidRPr="00083CD5">
        <w:rPr>
          <w:i/>
        </w:rPr>
        <w:instrText xml:space="preserve"> </w:instrText>
      </w:r>
      <w:proofErr w:type="spellStart"/>
      <w:r w:rsidRPr="00083CD5">
        <w:rPr>
          <w:i/>
        </w:rPr>
        <w:instrText>Schwab</w:instrText>
      </w:r>
      <w:proofErr w:type="spellEnd"/>
      <w:r w:rsidRPr="00083CD5">
        <w:rPr>
          <w:i/>
        </w:rPr>
        <w:instrText>)"\l</w:instrText>
      </w:r>
      <w:r w:rsidRPr="00711E25">
        <w:rPr>
          <w:i/>
        </w:rPr>
        <w:instrText>3</w:instrText>
      </w:r>
      <w:r w:rsidRPr="00083CD5">
        <w:rPr>
          <w:i/>
        </w:rPr>
        <w:instrText xml:space="preserve"> \n&gt; \* MERGEFORMAT </w:instrText>
      </w:r>
      <w:r w:rsidRPr="00083CD5">
        <w:rPr>
          <w:i/>
        </w:rPr>
        <w:fldChar w:fldCharType="end"/>
      </w:r>
    </w:p>
    <w:p w:rsidR="00E678CF" w:rsidRPr="00083CD5" w:rsidRDefault="00E678CF" w:rsidP="00E678CF">
      <w:pPr>
        <w:rPr>
          <w:vanish/>
        </w:rPr>
      </w:pPr>
      <w:bookmarkStart w:id="3" w:name="Commission"/>
      <w:r w:rsidRPr="00083CD5">
        <w:rPr>
          <w:vanish/>
        </w:rPr>
        <w:t>Odbor za unutarnje tržište i zaštitu potrošača</w:t>
      </w:r>
      <w:bookmarkEnd w:id="3"/>
    </w:p>
    <w:p w:rsidR="00E678CF" w:rsidRPr="00083CD5" w:rsidRDefault="00E678CF" w:rsidP="00E678CF">
      <w:pPr>
        <w:rPr>
          <w:vanish/>
        </w:rPr>
      </w:pPr>
      <w:bookmarkStart w:id="4" w:name="PE"/>
      <w:r w:rsidRPr="00083CD5">
        <w:rPr>
          <w:vanish/>
        </w:rPr>
        <w:t>PE</w:t>
      </w:r>
      <w:r w:rsidRPr="00711E25">
        <w:rPr>
          <w:vanish/>
        </w:rPr>
        <w:t>745</w:t>
      </w:r>
      <w:r w:rsidRPr="00083CD5">
        <w:rPr>
          <w:vanish/>
        </w:rPr>
        <w:t>.</w:t>
      </w:r>
      <w:r w:rsidRPr="00711E25">
        <w:rPr>
          <w:vanish/>
        </w:rPr>
        <w:t>282</w:t>
      </w:r>
      <w:bookmarkEnd w:id="4"/>
    </w:p>
    <w:p w:rsidR="00E678CF" w:rsidRPr="00083CD5" w:rsidRDefault="00E678CF" w:rsidP="00E678CF">
      <w:pPr>
        <w:pStyle w:val="ATHeading3"/>
      </w:pPr>
      <w:bookmarkStart w:id="5" w:name="Sujet"/>
      <w:r w:rsidRPr="00083CD5">
        <w:t>Zakonodavna rezolu</w:t>
      </w:r>
      <w:r w:rsidR="00083CD5">
        <w:t xml:space="preserve">cija Europskog parlamenta od </w:t>
      </w:r>
      <w:r w:rsidR="00083CD5" w:rsidRPr="00711E25">
        <w:t>24</w:t>
      </w:r>
      <w:r w:rsidRPr="00083CD5">
        <w:t xml:space="preserve">. </w:t>
      </w:r>
      <w:r w:rsidR="00083CD5">
        <w:t xml:space="preserve">travnja </w:t>
      </w:r>
      <w:r w:rsidRPr="00711E25">
        <w:t>2024</w:t>
      </w:r>
      <w:r w:rsidRPr="00083CD5">
        <w:t xml:space="preserve">. o Prijedlogu uredbe Europskog parlamenta i Vijeća o izmjeni uredaba (EU) </w:t>
      </w:r>
      <w:r w:rsidRPr="00711E25">
        <w:t>2016</w:t>
      </w:r>
      <w:r w:rsidRPr="00083CD5">
        <w:t>/</w:t>
      </w:r>
      <w:r w:rsidRPr="00711E25">
        <w:t>424</w:t>
      </w:r>
      <w:r w:rsidRPr="00083CD5">
        <w:t xml:space="preserve">, (EU) </w:t>
      </w:r>
      <w:r w:rsidRPr="00711E25">
        <w:t>2016</w:t>
      </w:r>
      <w:r w:rsidRPr="00083CD5">
        <w:t>/</w:t>
      </w:r>
      <w:r w:rsidRPr="00711E25">
        <w:t>425</w:t>
      </w:r>
      <w:r w:rsidRPr="00083CD5">
        <w:t xml:space="preserve">, (EU) </w:t>
      </w:r>
      <w:r w:rsidRPr="00711E25">
        <w:t>2016</w:t>
      </w:r>
      <w:r w:rsidRPr="00083CD5">
        <w:t>/</w:t>
      </w:r>
      <w:r w:rsidRPr="00711E25">
        <w:t>426</w:t>
      </w:r>
      <w:r w:rsidRPr="00083CD5">
        <w:t xml:space="preserve">, (EU) </w:t>
      </w:r>
      <w:r w:rsidRPr="00711E25">
        <w:t>2019</w:t>
      </w:r>
      <w:r w:rsidRPr="00083CD5">
        <w:t>/</w:t>
      </w:r>
      <w:r w:rsidRPr="00711E25">
        <w:t>1009</w:t>
      </w:r>
      <w:r w:rsidRPr="00083CD5">
        <w:t xml:space="preserve"> i (EU) br. </w:t>
      </w:r>
      <w:r w:rsidRPr="00711E25">
        <w:t>305</w:t>
      </w:r>
      <w:r w:rsidRPr="00083CD5">
        <w:t>/</w:t>
      </w:r>
      <w:r w:rsidRPr="00711E25">
        <w:t>2011</w:t>
      </w:r>
      <w:r w:rsidRPr="00083CD5">
        <w:t xml:space="preserve"> u pogledu izvanrednih postupaka za ocjenjivanje sukladnosti, donošenje zajedničkih specifikacija i nadzor tržišta zbog izvanrednih okolnosti na jedinstvenom tržištu</w:t>
      </w:r>
      <w:bookmarkEnd w:id="5"/>
      <w:r w:rsidRPr="00083CD5">
        <w:t xml:space="preserve"> </w:t>
      </w:r>
      <w:bookmarkStart w:id="6" w:name="References"/>
      <w:r w:rsidRPr="00083CD5">
        <w:t>(COM(</w:t>
      </w:r>
      <w:r w:rsidRPr="00711E25">
        <w:t>2022</w:t>
      </w:r>
      <w:r w:rsidRPr="00083CD5">
        <w:t>)</w:t>
      </w:r>
      <w:r w:rsidRPr="00711E25">
        <w:t>0461</w:t>
      </w:r>
      <w:r w:rsidRPr="00083CD5">
        <w:t xml:space="preserve"> – C</w:t>
      </w:r>
      <w:r w:rsidRPr="00711E25">
        <w:t>9</w:t>
      </w:r>
      <w:r w:rsidRPr="00083CD5">
        <w:t>-</w:t>
      </w:r>
      <w:r w:rsidRPr="00711E25">
        <w:t>0314</w:t>
      </w:r>
      <w:r w:rsidRPr="00083CD5">
        <w:t>/</w:t>
      </w:r>
      <w:r w:rsidRPr="00711E25">
        <w:t>2022</w:t>
      </w:r>
      <w:r w:rsidRPr="00083CD5">
        <w:t xml:space="preserve"> – </w:t>
      </w:r>
      <w:r w:rsidRPr="00711E25">
        <w:t>2022</w:t>
      </w:r>
      <w:r w:rsidRPr="00083CD5">
        <w:t>/</w:t>
      </w:r>
      <w:r w:rsidRPr="00711E25">
        <w:t>0279</w:t>
      </w:r>
      <w:r w:rsidRPr="00083CD5">
        <w:t>(COD))</w:t>
      </w:r>
      <w:bookmarkEnd w:id="6"/>
    </w:p>
    <w:p w:rsidR="00E678CF" w:rsidRPr="00083CD5" w:rsidRDefault="00E678CF" w:rsidP="00E678CF"/>
    <w:p w:rsidR="00A865DA" w:rsidRPr="00083CD5" w:rsidRDefault="00A865DA" w:rsidP="00A865DA">
      <w:pPr>
        <w:pStyle w:val="NormalBold"/>
      </w:pPr>
      <w:bookmarkStart w:id="7" w:name="TextBodyBegin"/>
      <w:bookmarkEnd w:id="7"/>
      <w:r w:rsidRPr="00083CD5">
        <w:t>(Redovni zakonodavni postupak: prvo čitanje)</w:t>
      </w:r>
    </w:p>
    <w:p w:rsidR="00A865DA" w:rsidRPr="00083CD5" w:rsidRDefault="00A865DA" w:rsidP="00A865DA">
      <w:pPr>
        <w:pStyle w:val="EPComma"/>
        <w:rPr>
          <w:i/>
        </w:rPr>
      </w:pPr>
      <w:r w:rsidRPr="00083CD5">
        <w:rPr>
          <w:i/>
        </w:rPr>
        <w:t>Europski parlament,</w:t>
      </w:r>
    </w:p>
    <w:p w:rsidR="00A865DA" w:rsidRPr="00083CD5" w:rsidRDefault="00A865DA" w:rsidP="00A865DA">
      <w:pPr>
        <w:pStyle w:val="NormalHanging12a"/>
      </w:pPr>
      <w:r w:rsidRPr="00083CD5">
        <w:t>–</w:t>
      </w:r>
      <w:r w:rsidRPr="00083CD5">
        <w:tab/>
        <w:t>uzimajući u obzir Prijedlog Komisije upućen Europskom parlamentu i Vijeću (COM(</w:t>
      </w:r>
      <w:r w:rsidRPr="00711E25">
        <w:t>2022</w:t>
      </w:r>
      <w:r w:rsidRPr="00083CD5">
        <w:t>)</w:t>
      </w:r>
      <w:r w:rsidRPr="00711E25">
        <w:t>0461</w:t>
      </w:r>
      <w:r w:rsidRPr="00083CD5">
        <w:t>),</w:t>
      </w:r>
    </w:p>
    <w:p w:rsidR="00A865DA" w:rsidRPr="00083CD5" w:rsidRDefault="00A865DA" w:rsidP="00A865DA">
      <w:pPr>
        <w:pStyle w:val="NormalHanging12a"/>
      </w:pPr>
      <w:r w:rsidRPr="00083CD5">
        <w:t>–</w:t>
      </w:r>
      <w:r w:rsidRPr="00083CD5">
        <w:tab/>
        <w:t>uzimajući u obzir članak </w:t>
      </w:r>
      <w:r w:rsidRPr="00711E25">
        <w:t>294</w:t>
      </w:r>
      <w:r w:rsidRPr="00083CD5">
        <w:t>. stavak </w:t>
      </w:r>
      <w:r w:rsidRPr="00711E25">
        <w:t>2</w:t>
      </w:r>
      <w:r w:rsidRPr="00083CD5">
        <w:t>. i članak </w:t>
      </w:r>
      <w:r w:rsidRPr="00711E25">
        <w:t>114</w:t>
      </w:r>
      <w:r w:rsidRPr="00083CD5">
        <w:t>. Ugovora o funkcioniranju Europske unije, u skladu s kojima je Komisija podnijela Prijedlog Parlamentu (C</w:t>
      </w:r>
      <w:r w:rsidRPr="00711E25">
        <w:t>9</w:t>
      </w:r>
      <w:r w:rsidRPr="00083CD5">
        <w:noBreakHyphen/>
      </w:r>
      <w:r w:rsidRPr="00711E25">
        <w:t>0314</w:t>
      </w:r>
      <w:r w:rsidRPr="00083CD5">
        <w:t>/</w:t>
      </w:r>
      <w:r w:rsidRPr="00711E25">
        <w:t>2022</w:t>
      </w:r>
      <w:r w:rsidRPr="00083CD5">
        <w:t>),</w:t>
      </w:r>
    </w:p>
    <w:p w:rsidR="00A865DA" w:rsidRPr="00083CD5" w:rsidRDefault="00A865DA" w:rsidP="00A865DA">
      <w:pPr>
        <w:pStyle w:val="NormalHanging12a"/>
      </w:pPr>
      <w:r w:rsidRPr="00083CD5">
        <w:t>–</w:t>
      </w:r>
      <w:r w:rsidRPr="00083CD5">
        <w:tab/>
        <w:t>uzimajući u obzir članak </w:t>
      </w:r>
      <w:r w:rsidRPr="00711E25">
        <w:t>294</w:t>
      </w:r>
      <w:r w:rsidRPr="00083CD5">
        <w:t>. stavak </w:t>
      </w:r>
      <w:r w:rsidRPr="00711E25">
        <w:t>3</w:t>
      </w:r>
      <w:r w:rsidRPr="00083CD5">
        <w:t>. Ugovora o funkcioniranju Europske unije,</w:t>
      </w:r>
    </w:p>
    <w:p w:rsidR="00A865DA" w:rsidRPr="00083CD5" w:rsidRDefault="00A865DA" w:rsidP="00A865DA">
      <w:pPr>
        <w:pStyle w:val="NormalHanging12a"/>
      </w:pPr>
      <w:r w:rsidRPr="00083CD5">
        <w:t>–</w:t>
      </w:r>
      <w:r w:rsidRPr="00083CD5">
        <w:tab/>
        <w:t>uzimajući u obzir mišljenje Europskog</w:t>
      </w:r>
      <w:r w:rsidR="00083CD5">
        <w:t>a</w:t>
      </w:r>
      <w:r w:rsidRPr="00083CD5">
        <w:t xml:space="preserve"> gospodarskog i socijalnog odbora od </w:t>
      </w:r>
      <w:r w:rsidRPr="00711E25">
        <w:t>14</w:t>
      </w:r>
      <w:r w:rsidRPr="00083CD5">
        <w:t>. prosinca </w:t>
      </w:r>
      <w:r w:rsidRPr="00711E25">
        <w:t>2022</w:t>
      </w:r>
      <w:r w:rsidRPr="00083CD5">
        <w:t>.</w:t>
      </w:r>
      <w:r w:rsidRPr="00083CD5">
        <w:rPr>
          <w:vertAlign w:val="superscript"/>
        </w:rPr>
        <w:footnoteReference w:id="1"/>
      </w:r>
      <w:r w:rsidRPr="00083CD5">
        <w:t>,</w:t>
      </w:r>
    </w:p>
    <w:p w:rsidR="00A865DA" w:rsidRDefault="00A865DA" w:rsidP="00A865DA">
      <w:pPr>
        <w:pStyle w:val="NormalHanging12a"/>
      </w:pPr>
      <w:r w:rsidRPr="00083CD5">
        <w:t>–</w:t>
      </w:r>
      <w:r w:rsidRPr="00083CD5">
        <w:tab/>
        <w:t xml:space="preserve">uzimajući u obzir mišljenje Odbora regija od </w:t>
      </w:r>
      <w:r w:rsidRPr="00711E25">
        <w:t>8</w:t>
      </w:r>
      <w:r w:rsidRPr="00083CD5">
        <w:t>. veljače </w:t>
      </w:r>
      <w:r w:rsidRPr="00711E25">
        <w:t>2023</w:t>
      </w:r>
      <w:r w:rsidRPr="00083CD5">
        <w:t>.</w:t>
      </w:r>
      <w:r w:rsidRPr="00083CD5">
        <w:rPr>
          <w:vertAlign w:val="superscript"/>
        </w:rPr>
        <w:footnoteReference w:id="2"/>
      </w:r>
      <w:r w:rsidRPr="00083CD5">
        <w:t>,</w:t>
      </w:r>
    </w:p>
    <w:p w:rsidR="00DE765E" w:rsidRPr="00083CD5" w:rsidRDefault="00DE765E" w:rsidP="00A865DA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711E25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711E25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711E25">
        <w:rPr>
          <w:szCs w:val="24"/>
        </w:rPr>
        <w:t>16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711E25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711E25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711E25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A865DA" w:rsidRPr="00083CD5" w:rsidRDefault="00A865DA" w:rsidP="00A865DA">
      <w:pPr>
        <w:pStyle w:val="NormalHanging12a"/>
      </w:pPr>
      <w:r w:rsidRPr="00083CD5">
        <w:lastRenderedPageBreak/>
        <w:t>–</w:t>
      </w:r>
      <w:r w:rsidRPr="00083CD5">
        <w:tab/>
        <w:t>uzimajući u obzir članak </w:t>
      </w:r>
      <w:r w:rsidRPr="00711E25">
        <w:t>59</w:t>
      </w:r>
      <w:r w:rsidRPr="00083CD5">
        <w:t>. Poslovnika,</w:t>
      </w:r>
    </w:p>
    <w:p w:rsidR="00A865DA" w:rsidRPr="00083CD5" w:rsidRDefault="00A865DA" w:rsidP="00A865DA">
      <w:pPr>
        <w:pStyle w:val="NormalHanging12a"/>
      </w:pPr>
      <w:r w:rsidRPr="00083CD5">
        <w:t>–</w:t>
      </w:r>
      <w:r w:rsidRPr="00083CD5">
        <w:tab/>
        <w:t>uzimajući u obzir izvješće Odbora za unutarnje tržište i zaštitu potrošača (A</w:t>
      </w:r>
      <w:r w:rsidRPr="00711E25">
        <w:t>9</w:t>
      </w:r>
      <w:r w:rsidRPr="00083CD5">
        <w:noBreakHyphen/>
      </w:r>
      <w:r w:rsidRPr="00711E25">
        <w:t>0244</w:t>
      </w:r>
      <w:r w:rsidRPr="00083CD5">
        <w:t>/</w:t>
      </w:r>
      <w:r w:rsidRPr="00711E25">
        <w:t>2023</w:t>
      </w:r>
      <w:r w:rsidRPr="00083CD5">
        <w:t>),</w:t>
      </w:r>
    </w:p>
    <w:p w:rsidR="00A865DA" w:rsidRPr="00083CD5" w:rsidRDefault="00A865DA" w:rsidP="00A865DA">
      <w:pPr>
        <w:pStyle w:val="NormalHanging12a"/>
      </w:pPr>
      <w:r w:rsidRPr="00711E25">
        <w:t>1</w:t>
      </w:r>
      <w:r w:rsidRPr="00083CD5">
        <w:t>.</w:t>
      </w:r>
      <w:r w:rsidRPr="00083CD5">
        <w:tab/>
        <w:t>usvaja sljedeće stajalište u prvom čitanju;</w:t>
      </w:r>
    </w:p>
    <w:p w:rsidR="00A865DA" w:rsidRPr="00083CD5" w:rsidRDefault="00A865DA" w:rsidP="00A865DA">
      <w:pPr>
        <w:pStyle w:val="NormalHanging12a"/>
      </w:pPr>
      <w:r w:rsidRPr="00711E25">
        <w:t>2</w:t>
      </w:r>
      <w:r w:rsidRPr="00083CD5">
        <w:t>.</w:t>
      </w:r>
      <w:r w:rsidRPr="00083CD5">
        <w:tab/>
        <w:t>poziva Komisiju da predmet ponovno uputi Parlamentu ako zamijeni, bitno izmijeni ili namjerava bitno izmijeniti svoj Prijedlog;</w:t>
      </w:r>
    </w:p>
    <w:p w:rsidR="00A865DA" w:rsidRPr="00083CD5" w:rsidRDefault="00A865DA" w:rsidP="00A865DA">
      <w:pPr>
        <w:pStyle w:val="NormalHanging12a"/>
      </w:pPr>
      <w:r w:rsidRPr="00711E25">
        <w:t>3</w:t>
      </w:r>
      <w:r w:rsidRPr="00083CD5">
        <w:t>.</w:t>
      </w:r>
      <w:r w:rsidRPr="00083CD5">
        <w:tab/>
        <w:t>nalaže svojoj predsjednici da stajalište Parlamenta proslijedi Vijeću, Komisiji i nacionalnim parlamentima.</w:t>
      </w:r>
    </w:p>
    <w:p w:rsidR="00A865DA" w:rsidRPr="00083CD5" w:rsidRDefault="00A865DA" w:rsidP="00A865DA"/>
    <w:p w:rsidR="00083CD5" w:rsidRDefault="00083CD5" w:rsidP="00A865DA">
      <w:pPr>
        <w:sectPr w:rsidR="00083CD5" w:rsidSect="001D725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70C6D" w:rsidRPr="003E305F" w:rsidRDefault="00F70C6D" w:rsidP="00F70C6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E305F">
        <w:rPr>
          <w:rFonts w:eastAsia="Calibri"/>
          <w:b/>
          <w:bCs/>
          <w:color w:val="000000"/>
          <w:szCs w:val="24"/>
        </w:rPr>
        <w:lastRenderedPageBreak/>
        <w:t>P</w:t>
      </w:r>
      <w:r w:rsidRPr="00711E25">
        <w:rPr>
          <w:rFonts w:eastAsia="Calibri"/>
          <w:b/>
          <w:bCs/>
          <w:color w:val="000000"/>
          <w:szCs w:val="24"/>
        </w:rPr>
        <w:t>9</w:t>
      </w:r>
      <w:r w:rsidRPr="003E305F">
        <w:rPr>
          <w:rFonts w:eastAsia="Calibri"/>
          <w:b/>
          <w:bCs/>
          <w:color w:val="000000"/>
          <w:szCs w:val="24"/>
        </w:rPr>
        <w:t>_TC</w:t>
      </w:r>
      <w:r w:rsidRPr="00711E25">
        <w:rPr>
          <w:rFonts w:eastAsia="Calibri"/>
          <w:b/>
          <w:bCs/>
          <w:color w:val="000000"/>
          <w:szCs w:val="24"/>
        </w:rPr>
        <w:t>1</w:t>
      </w:r>
      <w:r w:rsidRPr="003E305F">
        <w:rPr>
          <w:rFonts w:eastAsia="Calibri"/>
          <w:b/>
          <w:bCs/>
          <w:color w:val="000000"/>
          <w:szCs w:val="24"/>
        </w:rPr>
        <w:t>-COD(</w:t>
      </w:r>
      <w:r w:rsidRPr="00711E25">
        <w:rPr>
          <w:rFonts w:eastAsia="Calibri"/>
          <w:b/>
          <w:bCs/>
          <w:color w:val="000000"/>
          <w:szCs w:val="24"/>
        </w:rPr>
        <w:t>2022</w:t>
      </w:r>
      <w:r w:rsidRPr="003E305F">
        <w:rPr>
          <w:rFonts w:eastAsia="Calibri"/>
          <w:b/>
          <w:bCs/>
          <w:color w:val="000000"/>
          <w:szCs w:val="24"/>
        </w:rPr>
        <w:t>)</w:t>
      </w:r>
      <w:r w:rsidRPr="00711E25">
        <w:rPr>
          <w:rFonts w:eastAsia="Calibri"/>
          <w:b/>
          <w:bCs/>
          <w:color w:val="000000"/>
          <w:szCs w:val="24"/>
        </w:rPr>
        <w:t>0279</w:t>
      </w:r>
    </w:p>
    <w:p w:rsidR="0023633F" w:rsidRDefault="00F70C6D" w:rsidP="0023633F">
      <w:pPr>
        <w:pStyle w:val="Titreobjet"/>
        <w:spacing w:line="240" w:lineRule="auto"/>
        <w:jc w:val="left"/>
      </w:pPr>
      <w:r w:rsidRPr="00FC2FEB">
        <w:t xml:space="preserve">Stajalište Europskog parlamenta usvojeno u prvom čitanju </w:t>
      </w:r>
      <w:r w:rsidRPr="00711E25">
        <w:t>24</w:t>
      </w:r>
      <w:r>
        <w:t>. travnj</w:t>
      </w:r>
      <w:r w:rsidRPr="00FC2FEB">
        <w:t xml:space="preserve">a </w:t>
      </w:r>
      <w:r w:rsidRPr="00711E25">
        <w:t>2024</w:t>
      </w:r>
      <w:r>
        <w:t xml:space="preserve">. radi donošenja </w:t>
      </w:r>
      <w:r w:rsidRPr="00D37257">
        <w:rPr>
          <w:szCs w:val="22"/>
          <w:lang w:eastAsia="fr-BE"/>
        </w:rPr>
        <w:t>Uredbe</w:t>
      </w:r>
      <w:r w:rsidRPr="0031422B">
        <w:rPr>
          <w:szCs w:val="22"/>
          <w:lang w:eastAsia="fr-BE"/>
        </w:rPr>
        <w:t xml:space="preserve"> (EU) </w:t>
      </w:r>
      <w:r w:rsidRPr="00711E25">
        <w:rPr>
          <w:szCs w:val="22"/>
          <w:lang w:eastAsia="fr-BE"/>
        </w:rPr>
        <w:t>2024</w:t>
      </w:r>
      <w:r w:rsidRPr="0031422B">
        <w:rPr>
          <w:szCs w:val="22"/>
          <w:lang w:eastAsia="fr-BE"/>
        </w:rPr>
        <w:t>/…</w:t>
      </w:r>
      <w:r>
        <w:rPr>
          <w:szCs w:val="22"/>
          <w:lang w:eastAsia="fr-BE"/>
        </w:rPr>
        <w:t xml:space="preserve"> Europskog parlamenta i V</w:t>
      </w:r>
      <w:r w:rsidRPr="0031422B">
        <w:rPr>
          <w:szCs w:val="22"/>
          <w:lang w:eastAsia="fr-BE"/>
        </w:rPr>
        <w:t>ijeća</w:t>
      </w:r>
      <w:r>
        <w:rPr>
          <w:szCs w:val="22"/>
          <w:lang w:eastAsia="fr-BE"/>
        </w:rPr>
        <w:t xml:space="preserve"> </w:t>
      </w:r>
      <w:r w:rsidR="0023633F" w:rsidRPr="0023633F">
        <w:t xml:space="preserve">o izmjeni uredaba </w:t>
      </w:r>
      <w:r w:rsidR="0023633F" w:rsidRPr="00F949EA">
        <w:rPr>
          <w:iCs/>
        </w:rPr>
        <w:t>(EU)</w:t>
      </w:r>
      <w:r w:rsidR="0023633F" w:rsidRPr="0023633F">
        <w:rPr>
          <w:i/>
          <w:iCs/>
        </w:rPr>
        <w:t xml:space="preserve"> </w:t>
      </w:r>
      <w:r w:rsidR="0023633F" w:rsidRPr="00F949EA">
        <w:rPr>
          <w:iCs/>
        </w:rPr>
        <w:t>br. 305/2011</w:t>
      </w:r>
      <w:r w:rsidR="0023633F" w:rsidRPr="0023633F">
        <w:t xml:space="preserve">, (EU) 2016/424, (EU) 2016/425, (EU) 2016/426, </w:t>
      </w:r>
      <w:r w:rsidR="0023633F" w:rsidRPr="00F949EA">
        <w:rPr>
          <w:iCs/>
        </w:rPr>
        <w:t>(EU) 2023/988 i (EU)</w:t>
      </w:r>
      <w:r w:rsidR="0023633F" w:rsidRPr="0023633F">
        <w:rPr>
          <w:i/>
          <w:iCs/>
        </w:rPr>
        <w:t xml:space="preserve"> </w:t>
      </w:r>
      <w:r w:rsidR="0023633F" w:rsidRPr="00F949EA">
        <w:rPr>
          <w:iCs/>
        </w:rPr>
        <w:t>2023/1230</w:t>
      </w:r>
      <w:r w:rsidR="0023633F" w:rsidRPr="0023633F">
        <w:t xml:space="preserve"> u pogledu postupaka u slučaju izvanrednih okolnosti za ocjenjivanje sukladnosti, </w:t>
      </w:r>
      <w:r w:rsidR="0023633F" w:rsidRPr="00F949EA">
        <w:rPr>
          <w:iCs/>
        </w:rPr>
        <w:t>pretpostavku sukladnosti</w:t>
      </w:r>
      <w:r w:rsidR="0023633F" w:rsidRPr="0023633F">
        <w:t xml:space="preserve">, donošenje zajedničkih specifikacija i nadzor tržišta zbog izvanrednih okolnosti na </w:t>
      </w:r>
      <w:r w:rsidR="0023633F" w:rsidRPr="00F949EA">
        <w:rPr>
          <w:iCs/>
        </w:rPr>
        <w:t>unutarnjem</w:t>
      </w:r>
      <w:r w:rsidR="0023633F" w:rsidRPr="0023633F">
        <w:t xml:space="preserve"> tržištu</w:t>
      </w:r>
    </w:p>
    <w:p w:rsidR="00F949EA" w:rsidRPr="00AA44CB" w:rsidRDefault="00F949EA" w:rsidP="00F949EA">
      <w:pPr>
        <w:widowControl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</w:t>
      </w:r>
      <w:r>
        <w:rPr>
          <w:rFonts w:eastAsia="Calibri"/>
          <w:i/>
          <w:szCs w:val="24"/>
          <w:lang w:eastAsia="en-US"/>
        </w:rPr>
        <w:t>onodavnom aktu, Uredbi (EU) 2024/2748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AA44CB">
        <w:rPr>
          <w:rFonts w:eastAsia="Calibri"/>
          <w:i/>
          <w:szCs w:val="24"/>
          <w:lang w:eastAsia="en-US"/>
        </w:rPr>
        <w:t>)</w:t>
      </w:r>
    </w:p>
    <w:p w:rsidR="00F949EA" w:rsidRPr="00F949EA" w:rsidRDefault="00F949EA" w:rsidP="00F949EA">
      <w:pPr>
        <w:rPr>
          <w:lang w:eastAsia="en-US"/>
        </w:rPr>
      </w:pPr>
    </w:p>
    <w:sectPr w:rsidR="00F949EA" w:rsidRPr="00F949EA" w:rsidSect="001D725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C6D" w:rsidRPr="001D7250" w:rsidRDefault="00F70C6D">
      <w:r w:rsidRPr="001D7250">
        <w:separator/>
      </w:r>
    </w:p>
  </w:endnote>
  <w:endnote w:type="continuationSeparator" w:id="0">
    <w:p w:rsidR="00F70C6D" w:rsidRPr="001D7250" w:rsidRDefault="00F70C6D">
      <w:r w:rsidRPr="001D72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C6D" w:rsidRPr="001D7250" w:rsidRDefault="00F70C6D">
      <w:r w:rsidRPr="001D7250">
        <w:separator/>
      </w:r>
    </w:p>
  </w:footnote>
  <w:footnote w:type="continuationSeparator" w:id="0">
    <w:p w:rsidR="00F70C6D" w:rsidRPr="001D7250" w:rsidRDefault="00F70C6D">
      <w:r w:rsidRPr="001D7250">
        <w:continuationSeparator/>
      </w:r>
    </w:p>
  </w:footnote>
  <w:footnote w:id="1">
    <w:p w:rsidR="00F70C6D" w:rsidRPr="00F70C6D" w:rsidRDefault="00F70C6D" w:rsidP="00F70C6D">
      <w:pPr>
        <w:pStyle w:val="FootnoteText"/>
        <w:ind w:left="567" w:hanging="567"/>
        <w:rPr>
          <w:sz w:val="24"/>
          <w:szCs w:val="24"/>
          <w:lang w:val="hr-HR"/>
        </w:rPr>
      </w:pPr>
      <w:r w:rsidRPr="00F70C6D">
        <w:rPr>
          <w:rStyle w:val="FootnoteReference"/>
          <w:sz w:val="24"/>
          <w:szCs w:val="24"/>
          <w:lang w:val="hr-HR"/>
        </w:rPr>
        <w:footnoteRef/>
      </w:r>
      <w:r w:rsidRPr="00F70C6D">
        <w:rPr>
          <w:sz w:val="24"/>
          <w:szCs w:val="24"/>
          <w:lang w:val="hr-HR"/>
        </w:rPr>
        <w:t xml:space="preserve"> </w:t>
      </w:r>
      <w:r w:rsidRPr="00F70C6D">
        <w:rPr>
          <w:sz w:val="24"/>
          <w:szCs w:val="24"/>
          <w:lang w:val="hr-HR"/>
        </w:rPr>
        <w:tab/>
      </w:r>
      <w:r w:rsidRPr="00F70C6D">
        <w:rPr>
          <w:sz w:val="24"/>
          <w:szCs w:val="24"/>
          <w:lang w:val="en-GB"/>
        </w:rPr>
        <w:t xml:space="preserve">SL C </w:t>
      </w:r>
      <w:r w:rsidRPr="00711E25">
        <w:rPr>
          <w:sz w:val="24"/>
          <w:szCs w:val="24"/>
          <w:lang w:val="en-GB"/>
        </w:rPr>
        <w:t>100</w:t>
      </w:r>
      <w:r w:rsidRPr="00F70C6D">
        <w:rPr>
          <w:sz w:val="24"/>
          <w:szCs w:val="24"/>
          <w:lang w:val="en-GB"/>
        </w:rPr>
        <w:t xml:space="preserve">, </w:t>
      </w:r>
      <w:r w:rsidRPr="00711E25">
        <w:rPr>
          <w:sz w:val="24"/>
          <w:szCs w:val="24"/>
          <w:lang w:val="en-GB"/>
        </w:rPr>
        <w:t>16</w:t>
      </w:r>
      <w:r w:rsidRPr="00F70C6D">
        <w:rPr>
          <w:sz w:val="24"/>
          <w:szCs w:val="24"/>
          <w:lang w:val="en-GB"/>
        </w:rPr>
        <w:t>.</w:t>
      </w:r>
      <w:r w:rsidRPr="00711E25">
        <w:rPr>
          <w:sz w:val="24"/>
          <w:szCs w:val="24"/>
          <w:lang w:val="en-GB"/>
        </w:rPr>
        <w:t>3</w:t>
      </w:r>
      <w:r w:rsidRPr="00F70C6D">
        <w:rPr>
          <w:sz w:val="24"/>
          <w:szCs w:val="24"/>
          <w:lang w:val="en-GB"/>
        </w:rPr>
        <w:t>.</w:t>
      </w:r>
      <w:r w:rsidRPr="00711E25">
        <w:rPr>
          <w:sz w:val="24"/>
          <w:szCs w:val="24"/>
          <w:lang w:val="en-GB"/>
        </w:rPr>
        <w:t>2023</w:t>
      </w:r>
      <w:r w:rsidRPr="00F70C6D">
        <w:rPr>
          <w:sz w:val="24"/>
          <w:szCs w:val="24"/>
          <w:lang w:val="en-GB"/>
        </w:rPr>
        <w:t xml:space="preserve">., str. </w:t>
      </w:r>
      <w:r w:rsidRPr="00711E25">
        <w:rPr>
          <w:sz w:val="24"/>
          <w:szCs w:val="24"/>
          <w:lang w:val="en-GB"/>
        </w:rPr>
        <w:t>95</w:t>
      </w:r>
      <w:r w:rsidRPr="00F70C6D">
        <w:rPr>
          <w:sz w:val="24"/>
          <w:szCs w:val="24"/>
          <w:lang w:val="hr-HR"/>
        </w:rPr>
        <w:t>.</w:t>
      </w:r>
    </w:p>
  </w:footnote>
  <w:footnote w:id="2">
    <w:p w:rsidR="00F70C6D" w:rsidRPr="00F70C6D" w:rsidRDefault="00F70C6D" w:rsidP="00F70C6D">
      <w:pPr>
        <w:pStyle w:val="FootnoteText"/>
        <w:ind w:left="567" w:hanging="567"/>
        <w:rPr>
          <w:sz w:val="24"/>
          <w:szCs w:val="24"/>
          <w:lang w:val="hr-HR"/>
        </w:rPr>
      </w:pPr>
      <w:r w:rsidRPr="00F70C6D">
        <w:rPr>
          <w:rStyle w:val="FootnoteReference"/>
          <w:sz w:val="24"/>
          <w:szCs w:val="24"/>
          <w:lang w:val="hr-HR"/>
        </w:rPr>
        <w:footnoteRef/>
      </w:r>
      <w:r w:rsidRPr="00F70C6D">
        <w:rPr>
          <w:sz w:val="24"/>
          <w:szCs w:val="24"/>
          <w:lang w:val="hr-HR"/>
        </w:rPr>
        <w:t xml:space="preserve"> </w:t>
      </w:r>
      <w:r w:rsidRPr="00F70C6D">
        <w:rPr>
          <w:sz w:val="24"/>
          <w:szCs w:val="24"/>
          <w:lang w:val="hr-HR"/>
        </w:rPr>
        <w:tab/>
      </w:r>
      <w:r w:rsidRPr="00F70C6D">
        <w:rPr>
          <w:sz w:val="24"/>
          <w:szCs w:val="24"/>
          <w:lang w:val="en-GB"/>
        </w:rPr>
        <w:t xml:space="preserve">SL C </w:t>
      </w:r>
      <w:r w:rsidRPr="00711E25">
        <w:rPr>
          <w:sz w:val="24"/>
          <w:szCs w:val="24"/>
          <w:lang w:val="en-GB"/>
        </w:rPr>
        <w:t>157</w:t>
      </w:r>
      <w:r w:rsidRPr="00F70C6D">
        <w:rPr>
          <w:sz w:val="24"/>
          <w:szCs w:val="24"/>
          <w:lang w:val="en-GB"/>
        </w:rPr>
        <w:t xml:space="preserve">, </w:t>
      </w:r>
      <w:r w:rsidRPr="00711E25">
        <w:rPr>
          <w:sz w:val="24"/>
          <w:szCs w:val="24"/>
          <w:lang w:val="en-GB"/>
        </w:rPr>
        <w:t>3</w:t>
      </w:r>
      <w:r w:rsidRPr="00F70C6D">
        <w:rPr>
          <w:sz w:val="24"/>
          <w:szCs w:val="24"/>
          <w:lang w:val="en-GB"/>
        </w:rPr>
        <w:t>.</w:t>
      </w:r>
      <w:r w:rsidRPr="00711E25">
        <w:rPr>
          <w:sz w:val="24"/>
          <w:szCs w:val="24"/>
          <w:lang w:val="en-GB"/>
        </w:rPr>
        <w:t>5</w:t>
      </w:r>
      <w:r w:rsidRPr="00F70C6D">
        <w:rPr>
          <w:sz w:val="24"/>
          <w:szCs w:val="24"/>
          <w:lang w:val="en-GB"/>
        </w:rPr>
        <w:t>.</w:t>
      </w:r>
      <w:r w:rsidRPr="00711E25">
        <w:rPr>
          <w:sz w:val="24"/>
          <w:szCs w:val="24"/>
          <w:lang w:val="en-GB"/>
        </w:rPr>
        <w:t>2023</w:t>
      </w:r>
      <w:r w:rsidRPr="00F70C6D">
        <w:rPr>
          <w:sz w:val="24"/>
          <w:szCs w:val="24"/>
          <w:lang w:val="en-GB"/>
        </w:rPr>
        <w:t xml:space="preserve">., str. </w:t>
      </w:r>
      <w:r w:rsidRPr="00711E25">
        <w:rPr>
          <w:sz w:val="24"/>
          <w:szCs w:val="24"/>
          <w:lang w:val="en-GB"/>
        </w:rPr>
        <w:t>82</w:t>
      </w:r>
      <w:r w:rsidRPr="00F70C6D">
        <w:rPr>
          <w:sz w:val="24"/>
          <w:szCs w:val="24"/>
          <w:lang w:val="hr-H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HR"/>
    <w:docVar w:name="dvnumam" w:val="164"/>
    <w:docVar w:name="dvpe" w:val="745.282"/>
    <w:docVar w:name="dvrapporteur" w:val="Izvjestitelj: "/>
    <w:docVar w:name="dvstar" w:val="***I"/>
    <w:docVar w:name="dvtitre" w:val="Zakonodavna rezolucija Europskog parlamenta od .... 2024. o Prijedlogu uredbe Europskog parlamenta i Vijeća o izmjeni uredaba (EU) 2016/424, (EU) 2016/425, (EU) 2016/426, (EU) 2019/1009 i (EU) br. 305/2011 u pogledu izvanrednih postupaka za ocjenjivanje sukladnosti, donošenje zajedničkih specifikacija i nadzor tržišta zbog izvanrednih okolnosti na jedinstvenom tržištu(COM(2022)0461 – C9-0314/2022 – 2022/0279(COD))"/>
  </w:docVars>
  <w:rsids>
    <w:rsidRoot w:val="00E678CF"/>
    <w:rsid w:val="00002272"/>
    <w:rsid w:val="00027EA2"/>
    <w:rsid w:val="00064002"/>
    <w:rsid w:val="000677B9"/>
    <w:rsid w:val="000831BA"/>
    <w:rsid w:val="00083CD5"/>
    <w:rsid w:val="000A42CC"/>
    <w:rsid w:val="000E509E"/>
    <w:rsid w:val="000E7DD9"/>
    <w:rsid w:val="0010095E"/>
    <w:rsid w:val="00125B37"/>
    <w:rsid w:val="00187494"/>
    <w:rsid w:val="001D7250"/>
    <w:rsid w:val="001F32AE"/>
    <w:rsid w:val="0023633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24DB"/>
    <w:rsid w:val="006F74FA"/>
    <w:rsid w:val="00711E2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06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5DA"/>
    <w:rsid w:val="00AB441E"/>
    <w:rsid w:val="00AB4DB5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257"/>
    <w:rsid w:val="00D56C11"/>
    <w:rsid w:val="00D834A0"/>
    <w:rsid w:val="00D872DF"/>
    <w:rsid w:val="00D91E21"/>
    <w:rsid w:val="00DA7FCD"/>
    <w:rsid w:val="00DE765E"/>
    <w:rsid w:val="00E365E1"/>
    <w:rsid w:val="00E678C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C6D"/>
    <w:rsid w:val="00F74202"/>
    <w:rsid w:val="00F87713"/>
    <w:rsid w:val="00F949E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C07FA"/>
  <w15:chartTrackingRefBased/>
  <w15:docId w15:val="{266D3941-2EEF-4CBC-9182-1063F5F7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65D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A865D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A865D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A865D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865D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865DA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A865DA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A865DA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A865DA"/>
    <w:rPr>
      <w:rFonts w:ascii="Arial" w:hAnsi="Arial"/>
      <w:b/>
      <w:i/>
      <w:sz w:val="18"/>
      <w:lang w:val="hr-HR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TOCHeading">
    <w:name w:val="TOC Heading"/>
    <w:basedOn w:val="Normal"/>
    <w:next w:val="Normal"/>
    <w:uiPriority w:val="39"/>
    <w:unhideWhenUsed/>
    <w:qFormat/>
    <w:rsid w:val="00A865D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865D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865D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865DA"/>
    <w:pPr>
      <w:spacing w:after="120"/>
    </w:pPr>
  </w:style>
  <w:style w:type="paragraph" w:customStyle="1" w:styleId="PageHeading">
    <w:name w:val="PageHeading"/>
    <w:basedOn w:val="Normal"/>
    <w:rsid w:val="00A865D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865D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865DA"/>
    <w:rPr>
      <w:b/>
      <w:sz w:val="24"/>
      <w:lang w:val="hr-HR"/>
    </w:rPr>
  </w:style>
  <w:style w:type="paragraph" w:customStyle="1" w:styleId="NormalBold12a">
    <w:name w:val="NormalBold12a"/>
    <w:basedOn w:val="Normal"/>
    <w:rsid w:val="00A865DA"/>
    <w:pPr>
      <w:spacing w:after="240"/>
    </w:pPr>
    <w:rPr>
      <w:b/>
    </w:rPr>
  </w:style>
  <w:style w:type="paragraph" w:customStyle="1" w:styleId="AmJustText">
    <w:name w:val="AmJustText"/>
    <w:basedOn w:val="Normal"/>
    <w:rsid w:val="00A865D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865D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865DA"/>
    <w:pPr>
      <w:spacing w:after="480"/>
      <w:ind w:left="1417"/>
    </w:pPr>
  </w:style>
  <w:style w:type="paragraph" w:customStyle="1" w:styleId="CoverNormal">
    <w:name w:val="CoverNormal"/>
    <w:basedOn w:val="Normal"/>
    <w:rsid w:val="00A865DA"/>
    <w:pPr>
      <w:ind w:left="1418"/>
    </w:pPr>
  </w:style>
  <w:style w:type="paragraph" w:customStyle="1" w:styleId="AmCrossRef">
    <w:name w:val="AmCrossRef"/>
    <w:basedOn w:val="Normal"/>
    <w:rsid w:val="00A865D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865D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865D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865D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865D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865DA"/>
    <w:pPr>
      <w:spacing w:before="240" w:after="1200"/>
    </w:pPr>
  </w:style>
  <w:style w:type="paragraph" w:styleId="Header">
    <w:name w:val="header"/>
    <w:basedOn w:val="Normal"/>
    <w:link w:val="HeaderChar"/>
    <w:rsid w:val="00A865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865DA"/>
    <w:rPr>
      <w:sz w:val="24"/>
      <w:lang w:val="hr-HR"/>
    </w:rPr>
  </w:style>
  <w:style w:type="paragraph" w:customStyle="1" w:styleId="AmOrLang">
    <w:name w:val="AmOrLang"/>
    <w:basedOn w:val="Normal"/>
    <w:rsid w:val="00A865D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865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865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865DA"/>
    <w:pPr>
      <w:spacing w:before="240"/>
    </w:pPr>
    <w:rPr>
      <w:b/>
    </w:rPr>
  </w:style>
  <w:style w:type="paragraph" w:customStyle="1" w:styleId="EPBody">
    <w:name w:val="EPBody"/>
    <w:basedOn w:val="Normal"/>
    <w:rsid w:val="00A865D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865D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865DA"/>
    <w:pPr>
      <w:spacing w:before="480" w:after="240"/>
    </w:pPr>
  </w:style>
  <w:style w:type="paragraph" w:customStyle="1" w:styleId="Lgendesigne">
    <w:name w:val="Légende signe"/>
    <w:basedOn w:val="Normal"/>
    <w:rsid w:val="00A865D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865D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865DA"/>
    <w:rPr>
      <w:sz w:val="18"/>
    </w:rPr>
  </w:style>
  <w:style w:type="paragraph" w:customStyle="1" w:styleId="msonormal0">
    <w:name w:val="msonormal"/>
    <w:basedOn w:val="Normal"/>
    <w:rsid w:val="00A865DA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A865DA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r-HR"/>
    </w:rPr>
  </w:style>
  <w:style w:type="character" w:customStyle="1" w:styleId="FooterChar">
    <w:name w:val="Footer Char"/>
    <w:basedOn w:val="DefaultParagraphFont"/>
    <w:link w:val="Footer"/>
    <w:rsid w:val="00A865DA"/>
    <w:rPr>
      <w:sz w:val="22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A865DA"/>
    <w:rPr>
      <w:noProof/>
      <w:sz w:val="24"/>
    </w:rPr>
  </w:style>
  <w:style w:type="paragraph" w:customStyle="1" w:styleId="Normal12">
    <w:name w:val="Normal12"/>
    <w:basedOn w:val="Normal"/>
    <w:link w:val="Normal12Char"/>
    <w:rsid w:val="00A865D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865DA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865DA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865DA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865DA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865DA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A865DA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865DA"/>
    <w:pPr>
      <w:spacing w:after="120"/>
    </w:pPr>
  </w:style>
  <w:style w:type="paragraph" w:customStyle="1" w:styleId="Normal12Italic">
    <w:name w:val="Normal12Italic"/>
    <w:basedOn w:val="Normal12"/>
    <w:rsid w:val="00A865DA"/>
    <w:rPr>
      <w:i/>
    </w:rPr>
  </w:style>
  <w:style w:type="paragraph" w:customStyle="1" w:styleId="JustificationTitle">
    <w:name w:val="JustificationTitle"/>
    <w:basedOn w:val="Normal"/>
    <w:next w:val="Normal12"/>
    <w:rsid w:val="00A865DA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865DA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865D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865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865DA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A865D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A865D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865DA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A86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65DA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rsid w:val="00A865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65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65D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86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65DA"/>
    <w:rPr>
      <w:b/>
      <w:bCs/>
      <w:lang w:val="hr-HR"/>
    </w:rPr>
  </w:style>
  <w:style w:type="paragraph" w:customStyle="1" w:styleId="Normal12a">
    <w:name w:val="Normal12a"/>
    <w:basedOn w:val="Normal"/>
    <w:rsid w:val="00A865DA"/>
    <w:pPr>
      <w:spacing w:after="240"/>
    </w:pPr>
  </w:style>
  <w:style w:type="paragraph" w:customStyle="1" w:styleId="RollCallVotes">
    <w:name w:val="RollCallVotes"/>
    <w:basedOn w:val="Normal"/>
    <w:rsid w:val="00A865D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865D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865D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865DA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F70C6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70C6D"/>
    <w:pPr>
      <w:spacing w:after="240"/>
      <w:jc w:val="center"/>
    </w:pPr>
  </w:style>
  <w:style w:type="paragraph" w:customStyle="1" w:styleId="AmDateTab">
    <w:name w:val="AmDateTab"/>
    <w:basedOn w:val="Normal"/>
    <w:rsid w:val="00F70C6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70C6D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F70C6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F70C6D"/>
    <w:rPr>
      <w:color w:val="954F72" w:themeColor="followedHyperlink"/>
      <w:u w:val="single"/>
    </w:rPr>
  </w:style>
  <w:style w:type="paragraph" w:customStyle="1" w:styleId="SignaturePersonne">
    <w:name w:val="Signature Personne"/>
    <w:basedOn w:val="Normal"/>
    <w:rsid w:val="00F70C6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F70C6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F70C6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F70C6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F70C6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F70C6D"/>
    <w:pPr>
      <w:keepLines/>
      <w:widowControl w:val="0"/>
      <w:ind w:left="850" w:hanging="850"/>
    </w:pPr>
    <w:rPr>
      <w:sz w:val="24"/>
      <w:lang w:val="hr-HR" w:eastAsia="en-US"/>
    </w:rPr>
  </w:style>
  <w:style w:type="paragraph" w:customStyle="1" w:styleId="Applicationdirecte">
    <w:name w:val="Application directe"/>
    <w:basedOn w:val="Normal"/>
    <w:next w:val="Normal"/>
    <w:rsid w:val="00F70C6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F70C6D"/>
    <w:pPr>
      <w:widowControl w:val="0"/>
      <w:spacing w:before="120" w:after="120" w:line="360" w:lineRule="auto"/>
    </w:pPr>
    <w:rPr>
      <w:sz w:val="24"/>
      <w:lang w:val="hr-HR" w:eastAsia="en-US"/>
    </w:rPr>
  </w:style>
  <w:style w:type="paragraph" w:customStyle="1" w:styleId="Formuledadoption">
    <w:name w:val="Formule d'adoption"/>
    <w:basedOn w:val="Normal"/>
    <w:next w:val="Normal"/>
    <w:rsid w:val="00F70C6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F70C6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F70C6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F70C6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F70C6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F70C6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F70C6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F70C6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HeadingDocType24a">
    <w:name w:val="HeadingDocType24a"/>
    <w:basedOn w:val="Normal"/>
    <w:rsid w:val="0023633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3633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3633F"/>
    <w:pPr>
      <w:jc w:val="center"/>
    </w:pPr>
  </w:style>
  <w:style w:type="paragraph" w:customStyle="1" w:styleId="Normal24a">
    <w:name w:val="Normal24a"/>
    <w:basedOn w:val="Normal"/>
    <w:rsid w:val="0023633F"/>
    <w:pPr>
      <w:spacing w:after="480"/>
    </w:pPr>
  </w:style>
  <w:style w:type="paragraph" w:customStyle="1" w:styleId="LineSingle">
    <w:name w:val="LineSingle"/>
    <w:basedOn w:val="Normal"/>
    <w:next w:val="Normal"/>
    <w:rsid w:val="0023633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3633F"/>
    <w:pPr>
      <w:spacing w:before="240" w:after="240"/>
    </w:pPr>
  </w:style>
  <w:style w:type="paragraph" w:styleId="Revision">
    <w:name w:val="Revision"/>
    <w:uiPriority w:val="99"/>
    <w:semiHidden/>
    <w:rsid w:val="0023633F"/>
    <w:rPr>
      <w:sz w:val="24"/>
      <w:lang w:val="hr-HR"/>
    </w:rPr>
  </w:style>
  <w:style w:type="paragraph" w:styleId="ListParagraph">
    <w:name w:val="List Paragraph"/>
    <w:basedOn w:val="Normal"/>
    <w:uiPriority w:val="34"/>
    <w:qFormat/>
    <w:rsid w:val="0023633F"/>
    <w:pPr>
      <w:ind w:left="720"/>
      <w:contextualSpacing/>
    </w:pPr>
  </w:style>
  <w:style w:type="paragraph" w:customStyle="1" w:styleId="ManualNumPar1">
    <w:name w:val="Manual NumPar 1"/>
    <w:basedOn w:val="Normal"/>
    <w:next w:val="Normal"/>
    <w:rsid w:val="0023633F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C4B51-8750-401B-81E8-653188D1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2025-03-20T13:50:00Z</dcterms:created>
  <dcterms:modified xsi:type="dcterms:W3CDTF">2025-03-20T13:50:00Z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