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7533D" w:rsidRPr="002550D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7533D" w:rsidRPr="002550D3" w:rsidRDefault="00C15FE2">
            <w:pPr>
              <w:pStyle w:val="EPName"/>
            </w:pPr>
            <w:r w:rsidRPr="002550D3">
              <w:t>Európsky parlament</w:t>
            </w:r>
          </w:p>
          <w:p w:rsidR="00D7533D" w:rsidRPr="002550D3" w:rsidRDefault="00C15FE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19B5">
              <w:t>2019</w:t>
            </w:r>
            <w:r w:rsidRPr="002550D3">
              <w:t>-</w:t>
            </w:r>
            <w:r w:rsidRPr="00A019B5">
              <w:t>2024</w:t>
            </w:r>
          </w:p>
        </w:tc>
        <w:tc>
          <w:tcPr>
            <w:tcW w:w="2268" w:type="dxa"/>
            <w:shd w:val="clear" w:color="auto" w:fill="auto"/>
          </w:tcPr>
          <w:p w:rsidR="00D7533D" w:rsidRPr="002550D3" w:rsidRDefault="00C15FE2">
            <w:pPr>
              <w:pStyle w:val="EPLogo"/>
            </w:pPr>
            <w:r w:rsidRPr="002550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533D" w:rsidRPr="002550D3" w:rsidRDefault="00D7533D">
      <w:pPr>
        <w:pStyle w:val="LineTop"/>
      </w:pPr>
    </w:p>
    <w:p w:rsidR="00D7533D" w:rsidRPr="002550D3" w:rsidRDefault="00C15FE2">
      <w:pPr>
        <w:pStyle w:val="EPBodyTA1"/>
      </w:pPr>
      <w:r w:rsidRPr="002550D3">
        <w:t>PRIJATÉ TEXTY</w:t>
      </w:r>
    </w:p>
    <w:p w:rsidR="00D7533D" w:rsidRPr="002550D3" w:rsidRDefault="00D7533D">
      <w:pPr>
        <w:pStyle w:val="LineBottom"/>
      </w:pPr>
    </w:p>
    <w:p w:rsidR="00D7533D" w:rsidRPr="002550D3" w:rsidRDefault="00C15FE2">
      <w:pPr>
        <w:pStyle w:val="ATHeading1"/>
      </w:pPr>
      <w:bookmarkStart w:id="0" w:name="TANumber"/>
      <w:r w:rsidRPr="002550D3">
        <w:t>P</w:t>
      </w:r>
      <w:r w:rsidRPr="00A019B5">
        <w:t>9</w:t>
      </w:r>
      <w:r w:rsidRPr="002550D3">
        <w:t>_TA(</w:t>
      </w:r>
      <w:r w:rsidRPr="00A019B5">
        <w:t>2024</w:t>
      </w:r>
      <w:r w:rsidRPr="002550D3">
        <w:t>)</w:t>
      </w:r>
      <w:r w:rsidRPr="00A019B5">
        <w:t>0</w:t>
      </w:r>
      <w:r w:rsidR="004D2D78" w:rsidRPr="00A019B5">
        <w:t>32</w:t>
      </w:r>
      <w:r w:rsidR="003456FD" w:rsidRPr="00A019B5">
        <w:t>1</w:t>
      </w:r>
      <w:bookmarkEnd w:id="0"/>
    </w:p>
    <w:p w:rsidR="00D7533D" w:rsidRPr="002550D3" w:rsidRDefault="00C15FE2">
      <w:pPr>
        <w:pStyle w:val="ATHeading2"/>
      </w:pPr>
      <w:bookmarkStart w:id="1" w:name="title"/>
      <w:r w:rsidRPr="002550D3">
        <w:t>Zmena určitých nariadení, pokiaľ ide o zriadenie nástroja núdzovej pomoci pre jednotný trh</w:t>
      </w:r>
      <w:bookmarkEnd w:id="1"/>
    </w:p>
    <w:p w:rsidR="00D7533D" w:rsidRPr="002550D3" w:rsidRDefault="00C15FE2">
      <w:pPr>
        <w:rPr>
          <w:i/>
          <w:vanish/>
        </w:rPr>
      </w:pPr>
      <w:r w:rsidRPr="002550D3">
        <w:rPr>
          <w:i/>
        </w:rPr>
        <w:fldChar w:fldCharType="begin"/>
      </w:r>
      <w:r w:rsidRPr="002550D3">
        <w:rPr>
          <w:i/>
        </w:rPr>
        <w:instrText xml:space="preserve"> TC"(</w:instrText>
      </w:r>
      <w:bookmarkStart w:id="2" w:name="DocNumber"/>
      <w:r w:rsidRPr="002550D3">
        <w:rPr>
          <w:i/>
        </w:rPr>
        <w:instrText>A</w:instrText>
      </w:r>
      <w:r w:rsidRPr="00A019B5">
        <w:rPr>
          <w:i/>
        </w:rPr>
        <w:instrText>9</w:instrText>
      </w:r>
      <w:r w:rsidRPr="002550D3">
        <w:rPr>
          <w:i/>
        </w:rPr>
        <w:instrText>-</w:instrText>
      </w:r>
      <w:r w:rsidRPr="00A019B5">
        <w:rPr>
          <w:i/>
        </w:rPr>
        <w:instrText>0244</w:instrText>
      </w:r>
      <w:r w:rsidRPr="002550D3">
        <w:rPr>
          <w:i/>
        </w:rPr>
        <w:instrText>/</w:instrText>
      </w:r>
      <w:r w:rsidRPr="00A019B5">
        <w:rPr>
          <w:i/>
        </w:rPr>
        <w:instrText>2023</w:instrText>
      </w:r>
      <w:bookmarkEnd w:id="2"/>
      <w:r w:rsidRPr="002550D3">
        <w:rPr>
          <w:i/>
        </w:rPr>
        <w:instrText xml:space="preserve"> - Spravodajca: Andreas Schwab)"\l</w:instrText>
      </w:r>
      <w:r w:rsidRPr="00A019B5">
        <w:rPr>
          <w:i/>
        </w:rPr>
        <w:instrText>3</w:instrText>
      </w:r>
      <w:r w:rsidRPr="002550D3">
        <w:rPr>
          <w:i/>
        </w:rPr>
        <w:instrText xml:space="preserve"> \n&gt; \* MERGEFORMAT </w:instrText>
      </w:r>
      <w:r w:rsidRPr="002550D3">
        <w:rPr>
          <w:i/>
        </w:rPr>
        <w:fldChar w:fldCharType="end"/>
      </w:r>
    </w:p>
    <w:p w:rsidR="00D7533D" w:rsidRPr="002550D3" w:rsidRDefault="00C15FE2">
      <w:pPr>
        <w:rPr>
          <w:vanish/>
        </w:rPr>
      </w:pPr>
      <w:bookmarkStart w:id="3" w:name="Commission"/>
      <w:r w:rsidRPr="002550D3">
        <w:rPr>
          <w:vanish/>
        </w:rPr>
        <w:t>Výbor pre vnútorný trh a ochranu spotrebiteľa</w:t>
      </w:r>
      <w:bookmarkEnd w:id="3"/>
    </w:p>
    <w:p w:rsidR="00D7533D" w:rsidRPr="002550D3" w:rsidRDefault="00C15FE2">
      <w:pPr>
        <w:rPr>
          <w:vanish/>
        </w:rPr>
      </w:pPr>
      <w:bookmarkStart w:id="4" w:name="PE"/>
      <w:r w:rsidRPr="002550D3">
        <w:rPr>
          <w:vanish/>
        </w:rPr>
        <w:t>PE</w:t>
      </w:r>
      <w:r w:rsidRPr="00A019B5">
        <w:rPr>
          <w:vanish/>
        </w:rPr>
        <w:t>745</w:t>
      </w:r>
      <w:r w:rsidRPr="002550D3">
        <w:rPr>
          <w:vanish/>
        </w:rPr>
        <w:t>.</w:t>
      </w:r>
      <w:r w:rsidRPr="00A019B5">
        <w:rPr>
          <w:vanish/>
        </w:rPr>
        <w:t>282</w:t>
      </w:r>
      <w:bookmarkEnd w:id="4"/>
    </w:p>
    <w:p w:rsidR="00D7533D" w:rsidRPr="002550D3" w:rsidRDefault="00C15FE2">
      <w:pPr>
        <w:pStyle w:val="ATHeading3"/>
      </w:pPr>
      <w:bookmarkStart w:id="5" w:name="Sujet"/>
      <w:r w:rsidRPr="002550D3">
        <w:t xml:space="preserve">Legislatívne uznesenie Európskeho parlamentu z </w:t>
      </w:r>
      <w:r w:rsidRPr="00A019B5">
        <w:t>24</w:t>
      </w:r>
      <w:r w:rsidRPr="002550D3">
        <w:t xml:space="preserve">. apríla </w:t>
      </w:r>
      <w:r w:rsidRPr="00A019B5">
        <w:t>2024</w:t>
      </w:r>
      <w:r w:rsidRPr="002550D3">
        <w:t xml:space="preserve"> o návrhu nariadenia Európskeho parlamentu a Rady, ktorým sa menia nariadenia (EÚ) </w:t>
      </w:r>
      <w:r w:rsidRPr="00A019B5">
        <w:t>2016</w:t>
      </w:r>
      <w:r w:rsidRPr="002550D3">
        <w:t>/</w:t>
      </w:r>
      <w:r w:rsidRPr="00A019B5">
        <w:t>424</w:t>
      </w:r>
      <w:r w:rsidRPr="002550D3">
        <w:t xml:space="preserve">, (EÚ) </w:t>
      </w:r>
      <w:r w:rsidRPr="00A019B5">
        <w:t>2016</w:t>
      </w:r>
      <w:r w:rsidRPr="002550D3">
        <w:t>/</w:t>
      </w:r>
      <w:r w:rsidRPr="00A019B5">
        <w:t>425</w:t>
      </w:r>
      <w:r w:rsidRPr="002550D3">
        <w:t xml:space="preserve">, (EÚ) </w:t>
      </w:r>
      <w:r w:rsidRPr="00A019B5">
        <w:t>2016</w:t>
      </w:r>
      <w:r w:rsidRPr="002550D3">
        <w:t>/</w:t>
      </w:r>
      <w:r w:rsidRPr="00A019B5">
        <w:t>426</w:t>
      </w:r>
      <w:r w:rsidRPr="002550D3">
        <w:t xml:space="preserve">, (EÚ) </w:t>
      </w:r>
      <w:r w:rsidRPr="00A019B5">
        <w:t>2019</w:t>
      </w:r>
      <w:r w:rsidRPr="002550D3">
        <w:t>/</w:t>
      </w:r>
      <w:r w:rsidRPr="00A019B5">
        <w:t>1009</w:t>
      </w:r>
      <w:r w:rsidRPr="002550D3">
        <w:t xml:space="preserve"> a (EÚ) č. </w:t>
      </w:r>
      <w:r w:rsidRPr="00A019B5">
        <w:t>305</w:t>
      </w:r>
      <w:r w:rsidRPr="002550D3">
        <w:t>/</w:t>
      </w:r>
      <w:r w:rsidRPr="00A019B5">
        <w:t>2011</w:t>
      </w:r>
      <w:r w:rsidRPr="002550D3">
        <w:t>, pokiaľ ide o núdzové postupy posudzovania zhody, prijímanie spoločných špecifikácií a dohľad nad trhom v dôsledku núdzovej situácie na jednotnom trhu</w:t>
      </w:r>
      <w:bookmarkEnd w:id="5"/>
      <w:r w:rsidRPr="002550D3">
        <w:t xml:space="preserve"> </w:t>
      </w:r>
      <w:bookmarkStart w:id="6" w:name="References"/>
      <w:r w:rsidRPr="002550D3">
        <w:t>(COM(</w:t>
      </w:r>
      <w:r w:rsidRPr="00A019B5">
        <w:t>2022</w:t>
      </w:r>
      <w:r w:rsidRPr="002550D3">
        <w:t>)</w:t>
      </w:r>
      <w:r w:rsidRPr="00A019B5">
        <w:t>0461</w:t>
      </w:r>
      <w:r w:rsidRPr="002550D3">
        <w:t xml:space="preserve"> – C</w:t>
      </w:r>
      <w:r w:rsidRPr="00A019B5">
        <w:t>9</w:t>
      </w:r>
      <w:r w:rsidRPr="002550D3">
        <w:t>-</w:t>
      </w:r>
      <w:r w:rsidRPr="00A019B5">
        <w:t>0314</w:t>
      </w:r>
      <w:r w:rsidRPr="002550D3">
        <w:t>/</w:t>
      </w:r>
      <w:r w:rsidRPr="00A019B5">
        <w:t>2022</w:t>
      </w:r>
      <w:r w:rsidRPr="002550D3">
        <w:t xml:space="preserve"> – </w:t>
      </w:r>
      <w:r w:rsidRPr="00A019B5">
        <w:t>2022</w:t>
      </w:r>
      <w:r w:rsidRPr="002550D3">
        <w:t>/</w:t>
      </w:r>
      <w:r w:rsidRPr="00A019B5">
        <w:t>0279</w:t>
      </w:r>
      <w:r w:rsidRPr="002550D3">
        <w:t>(COD))</w:t>
      </w:r>
      <w:bookmarkEnd w:id="6"/>
    </w:p>
    <w:p w:rsidR="00D7533D" w:rsidRPr="002550D3" w:rsidRDefault="00D7533D"/>
    <w:p w:rsidR="00D7533D" w:rsidRPr="002550D3" w:rsidRDefault="00C15FE2">
      <w:pPr>
        <w:pStyle w:val="NormalBold"/>
      </w:pPr>
      <w:bookmarkStart w:id="7" w:name="TextBodyBegin"/>
      <w:bookmarkEnd w:id="7"/>
      <w:r w:rsidRPr="002550D3">
        <w:t>(Riadny legislatívny postup: prvé čítanie)</w:t>
      </w:r>
    </w:p>
    <w:p w:rsidR="00D7533D" w:rsidRPr="002550D3" w:rsidRDefault="00C15FE2">
      <w:pPr>
        <w:pStyle w:val="EPComma"/>
      </w:pPr>
      <w:r w:rsidRPr="002550D3">
        <w:rPr>
          <w:i/>
          <w:iCs/>
        </w:rPr>
        <w:t>Európsky parlament,</w:t>
      </w:r>
    </w:p>
    <w:p w:rsidR="00D7533D" w:rsidRPr="002550D3" w:rsidRDefault="00C15FE2">
      <w:pPr>
        <w:pStyle w:val="NormalHanging12a"/>
      </w:pPr>
      <w:r w:rsidRPr="002550D3">
        <w:t>–</w:t>
      </w:r>
      <w:r w:rsidRPr="002550D3">
        <w:tab/>
        <w:t>so zreteľom na návrh Komisie pre Európsky parlament a Radu (COM(</w:t>
      </w:r>
      <w:r w:rsidRPr="00A019B5">
        <w:t>2022</w:t>
      </w:r>
      <w:r w:rsidRPr="002550D3">
        <w:t>)</w:t>
      </w:r>
      <w:r w:rsidRPr="00A019B5">
        <w:t>0461</w:t>
      </w:r>
      <w:r w:rsidRPr="002550D3">
        <w:t>),</w:t>
      </w:r>
    </w:p>
    <w:p w:rsidR="00D7533D" w:rsidRPr="002550D3" w:rsidRDefault="00C15FE2">
      <w:pPr>
        <w:pStyle w:val="NormalHanging12a"/>
      </w:pPr>
      <w:r w:rsidRPr="002550D3">
        <w:t>–</w:t>
      </w:r>
      <w:r w:rsidRPr="002550D3">
        <w:tab/>
        <w:t xml:space="preserve">so zreteľom na článok </w:t>
      </w:r>
      <w:r w:rsidRPr="00A019B5">
        <w:t>294</w:t>
      </w:r>
      <w:r w:rsidRPr="002550D3">
        <w:t xml:space="preserve"> ods. </w:t>
      </w:r>
      <w:r w:rsidRPr="00A019B5">
        <w:t>2</w:t>
      </w:r>
      <w:r w:rsidRPr="002550D3">
        <w:t xml:space="preserve"> a článok </w:t>
      </w:r>
      <w:r w:rsidRPr="00A019B5">
        <w:t>114</w:t>
      </w:r>
      <w:r w:rsidRPr="002550D3">
        <w:t xml:space="preserve"> Zmluvy o fungovaní Európskej únie, v súlade s ktorými Komisia predložila návrh Európskemu parlamentu (C</w:t>
      </w:r>
      <w:r w:rsidRPr="00A019B5">
        <w:t>9</w:t>
      </w:r>
      <w:r w:rsidRPr="002550D3">
        <w:noBreakHyphen/>
      </w:r>
      <w:r w:rsidRPr="00A019B5">
        <w:t>0314</w:t>
      </w:r>
      <w:r w:rsidRPr="002550D3">
        <w:t>/</w:t>
      </w:r>
      <w:r w:rsidRPr="00A019B5">
        <w:t>2022</w:t>
      </w:r>
      <w:r w:rsidRPr="002550D3">
        <w:t>),</w:t>
      </w:r>
    </w:p>
    <w:p w:rsidR="00D7533D" w:rsidRPr="002550D3" w:rsidRDefault="00C15FE2">
      <w:pPr>
        <w:pStyle w:val="NormalHanging12a"/>
      </w:pPr>
      <w:r w:rsidRPr="002550D3">
        <w:t>–</w:t>
      </w:r>
      <w:r w:rsidRPr="002550D3">
        <w:tab/>
        <w:t xml:space="preserve">so zreteľom na článok </w:t>
      </w:r>
      <w:r w:rsidRPr="00A019B5">
        <w:t>294</w:t>
      </w:r>
      <w:r w:rsidRPr="002550D3">
        <w:t xml:space="preserve"> ods. </w:t>
      </w:r>
      <w:r w:rsidRPr="00A019B5">
        <w:t>3</w:t>
      </w:r>
      <w:r w:rsidRPr="002550D3">
        <w:t xml:space="preserve"> Zmluvy o fungovaní Európskej únie,</w:t>
      </w:r>
    </w:p>
    <w:p w:rsidR="00D7533D" w:rsidRPr="002550D3" w:rsidRDefault="00C15FE2">
      <w:pPr>
        <w:pStyle w:val="NormalHanging12a"/>
      </w:pPr>
      <w:r w:rsidRPr="002550D3">
        <w:t>–</w:t>
      </w:r>
      <w:r w:rsidRPr="002550D3">
        <w:tab/>
        <w:t>so zreteľom na stanovisko Európskeho hospodárskeho a sociálneho výboru z </w:t>
      </w:r>
      <w:r w:rsidRPr="00A019B5">
        <w:t>14</w:t>
      </w:r>
      <w:r w:rsidRPr="002550D3">
        <w:t xml:space="preserve">. decembra </w:t>
      </w:r>
      <w:r w:rsidRPr="00A019B5">
        <w:t>2022</w:t>
      </w:r>
      <w:r w:rsidRPr="002550D3">
        <w:rPr>
          <w:vertAlign w:val="superscript"/>
        </w:rPr>
        <w:footnoteReference w:id="1"/>
      </w:r>
      <w:r w:rsidRPr="002550D3">
        <w:t>,</w:t>
      </w:r>
    </w:p>
    <w:p w:rsidR="00D7533D" w:rsidRPr="002550D3" w:rsidRDefault="00C15FE2">
      <w:pPr>
        <w:pStyle w:val="NormalHanging12a"/>
      </w:pPr>
      <w:r w:rsidRPr="002550D3">
        <w:t>–</w:t>
      </w:r>
      <w:r w:rsidRPr="002550D3">
        <w:tab/>
        <w:t>so zreteľom na stanovisko Výboru regiónov z </w:t>
      </w:r>
      <w:r w:rsidRPr="00A019B5">
        <w:t>8</w:t>
      </w:r>
      <w:r w:rsidRPr="002550D3">
        <w:t xml:space="preserve">. februára </w:t>
      </w:r>
      <w:r w:rsidRPr="00A019B5">
        <w:t>2023</w:t>
      </w:r>
      <w:r w:rsidRPr="002550D3">
        <w:rPr>
          <w:vertAlign w:val="superscript"/>
        </w:rPr>
        <w:footnoteReference w:id="2"/>
      </w:r>
      <w:r w:rsidRPr="002550D3">
        <w:t>,</w:t>
      </w:r>
    </w:p>
    <w:p w:rsidR="00D7533D" w:rsidRPr="002550D3" w:rsidRDefault="00C15FE2">
      <w:pPr>
        <w:pStyle w:val="NormalHanging12a"/>
      </w:pPr>
      <w:r w:rsidRPr="002550D3">
        <w:t>–</w:t>
      </w:r>
      <w:r w:rsidRPr="002550D3">
        <w:tab/>
        <w:t xml:space="preserve">so zreteľom na predbežnú dohodu schválenú gestorským výborom podľa článku </w:t>
      </w:r>
      <w:r w:rsidRPr="00A019B5">
        <w:t>74</w:t>
      </w:r>
      <w:r w:rsidRPr="002550D3">
        <w:t xml:space="preserve"> ods. </w:t>
      </w:r>
      <w:r w:rsidRPr="00A019B5">
        <w:t>4</w:t>
      </w:r>
      <w:r w:rsidRPr="002550D3">
        <w:t xml:space="preserve"> rokovacieho poriadku, a na záväzok zástupcu Rady, vyjadrený v liste zo </w:t>
      </w:r>
      <w:r w:rsidRPr="00A019B5">
        <w:t>16</w:t>
      </w:r>
      <w:r w:rsidRPr="002550D3">
        <w:t>. februára </w:t>
      </w:r>
      <w:r w:rsidRPr="00A019B5">
        <w:t>2024</w:t>
      </w:r>
      <w:r w:rsidRPr="002550D3">
        <w:t xml:space="preserve">, schváliť pozíciu Európskeho parlamentu v súlade s článkom </w:t>
      </w:r>
      <w:r w:rsidRPr="00A019B5">
        <w:t>294</w:t>
      </w:r>
      <w:r w:rsidRPr="002550D3">
        <w:t xml:space="preserve"> ods. </w:t>
      </w:r>
      <w:r w:rsidRPr="00A019B5">
        <w:t>4</w:t>
      </w:r>
      <w:r w:rsidRPr="002550D3">
        <w:t xml:space="preserve"> Zmluvy o fungovaní Európskej únie,</w:t>
      </w:r>
    </w:p>
    <w:p w:rsidR="00D7533D" w:rsidRPr="002550D3" w:rsidRDefault="00C15FE2">
      <w:pPr>
        <w:pStyle w:val="NormalHanging12a"/>
      </w:pPr>
      <w:r w:rsidRPr="002550D3">
        <w:t>–</w:t>
      </w:r>
      <w:r w:rsidRPr="002550D3">
        <w:tab/>
        <w:t xml:space="preserve">zo zreteľom na článok </w:t>
      </w:r>
      <w:r w:rsidRPr="00A019B5">
        <w:t>59</w:t>
      </w:r>
      <w:r w:rsidRPr="002550D3">
        <w:t xml:space="preserve"> rokovacieho poriadku,</w:t>
      </w:r>
    </w:p>
    <w:p w:rsidR="00D7533D" w:rsidRPr="002550D3" w:rsidRDefault="00C15FE2">
      <w:pPr>
        <w:pStyle w:val="NormalHanging12a"/>
      </w:pPr>
      <w:r w:rsidRPr="002550D3">
        <w:lastRenderedPageBreak/>
        <w:t>–</w:t>
      </w:r>
      <w:r w:rsidRPr="002550D3">
        <w:tab/>
        <w:t>so zreteľom na správu Výboru pre vnútorný trh a ochranu spotrebiteľa (A</w:t>
      </w:r>
      <w:r w:rsidRPr="00A019B5">
        <w:t>9</w:t>
      </w:r>
      <w:r w:rsidRPr="002550D3">
        <w:t>-</w:t>
      </w:r>
      <w:r w:rsidRPr="00A019B5">
        <w:t>0244</w:t>
      </w:r>
      <w:r w:rsidRPr="002550D3">
        <w:t>/</w:t>
      </w:r>
      <w:r w:rsidRPr="00A019B5">
        <w:t>2023</w:t>
      </w:r>
      <w:r w:rsidRPr="002550D3">
        <w:t>),</w:t>
      </w:r>
    </w:p>
    <w:p w:rsidR="00D7533D" w:rsidRPr="002550D3" w:rsidRDefault="00C15FE2">
      <w:pPr>
        <w:pStyle w:val="NormalHanging12a"/>
      </w:pPr>
      <w:r w:rsidRPr="00A019B5">
        <w:t>1</w:t>
      </w:r>
      <w:r w:rsidRPr="002550D3">
        <w:t>.</w:t>
      </w:r>
      <w:r w:rsidRPr="002550D3">
        <w:tab/>
        <w:t>prijíma nasledujúcu pozíciu v prvom čítaní;</w:t>
      </w:r>
    </w:p>
    <w:p w:rsidR="00D7533D" w:rsidRPr="002550D3" w:rsidRDefault="00C15FE2">
      <w:pPr>
        <w:pStyle w:val="NormalHanging12a"/>
      </w:pPr>
      <w:r w:rsidRPr="00A019B5">
        <w:t>2</w:t>
      </w:r>
      <w:r w:rsidRPr="002550D3">
        <w:t>.</w:t>
      </w:r>
      <w:r w:rsidRPr="002550D3">
        <w:tab/>
        <w:t>žiada Komisiu, aby mu vec znovu predložila, ak nahrádza, podstatne mení alebo má v úmysle podstatne zmeniť svoj návrh;</w:t>
      </w:r>
    </w:p>
    <w:p w:rsidR="00D7533D" w:rsidRPr="002550D3" w:rsidRDefault="00C15FE2">
      <w:pPr>
        <w:pStyle w:val="NormalHanging12a"/>
      </w:pPr>
      <w:r w:rsidRPr="00A019B5">
        <w:t>3</w:t>
      </w:r>
      <w:r w:rsidRPr="002550D3">
        <w:t>.</w:t>
      </w:r>
      <w:r w:rsidRPr="002550D3">
        <w:tab/>
        <w:t>poveruje svoju predsedníčku, aby postúpila túto pozíciu Rade, Komisii a národným parlamentom.</w:t>
      </w:r>
    </w:p>
    <w:p w:rsidR="00D7533D" w:rsidRPr="002550D3" w:rsidRDefault="00D7533D">
      <w:pPr>
        <w:sectPr w:rsidR="00D7533D" w:rsidRPr="002550D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92008" w:rsidRPr="002550D3" w:rsidRDefault="00492008" w:rsidP="00492008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2550D3">
        <w:rPr>
          <w:b/>
        </w:rPr>
        <w:t>P</w:t>
      </w:r>
      <w:r w:rsidRPr="00A019B5">
        <w:rPr>
          <w:b/>
        </w:rPr>
        <w:t>9</w:t>
      </w:r>
      <w:r w:rsidRPr="002550D3">
        <w:rPr>
          <w:b/>
        </w:rPr>
        <w:t>_TC</w:t>
      </w:r>
      <w:r w:rsidRPr="00A019B5">
        <w:rPr>
          <w:b/>
        </w:rPr>
        <w:t>1</w:t>
      </w:r>
      <w:r w:rsidRPr="002550D3">
        <w:rPr>
          <w:b/>
        </w:rPr>
        <w:t>-COD(</w:t>
      </w:r>
      <w:r w:rsidRPr="00A019B5">
        <w:rPr>
          <w:b/>
        </w:rPr>
        <w:t>2022</w:t>
      </w:r>
      <w:r w:rsidRPr="002550D3">
        <w:rPr>
          <w:b/>
        </w:rPr>
        <w:t>)</w:t>
      </w:r>
      <w:r w:rsidRPr="00A019B5">
        <w:rPr>
          <w:b/>
        </w:rPr>
        <w:t>0279</w:t>
      </w:r>
    </w:p>
    <w:p w:rsidR="00D7533D" w:rsidRPr="00F2417E" w:rsidRDefault="00492008" w:rsidP="00492008">
      <w:pPr>
        <w:pStyle w:val="AmNumberTabs"/>
        <w:rPr>
          <w:szCs w:val="24"/>
          <w:lang w:eastAsia="en-US"/>
        </w:rPr>
      </w:pPr>
      <w:r w:rsidRPr="002550D3">
        <w:t xml:space="preserve">Pozícia Európskeho parlamentu prijatá v prvom čítaní </w:t>
      </w:r>
      <w:r w:rsidRPr="00A019B5">
        <w:t>24</w:t>
      </w:r>
      <w:r w:rsidRPr="002550D3">
        <w:t xml:space="preserve">. apríla </w:t>
      </w:r>
      <w:r w:rsidRPr="00A019B5">
        <w:t>2024</w:t>
      </w:r>
      <w:r w:rsidRPr="002550D3">
        <w:t xml:space="preserve"> na účely prijatia nariadenia Európskeho parlamentu a Rady (EÚ) </w:t>
      </w:r>
      <w:r w:rsidRPr="00A019B5">
        <w:t>2024</w:t>
      </w:r>
      <w:r w:rsidRPr="00F2417E">
        <w:t xml:space="preserve">/..., </w:t>
      </w:r>
      <w:r w:rsidRPr="00F2417E">
        <w:rPr>
          <w:szCs w:val="24"/>
          <w:lang w:eastAsia="en-US"/>
        </w:rPr>
        <w:t>ktorým sa menia nariadenia (EÚ) č. 305/2011, (EÚ) 2016/424, (EÚ) 2016/425, (EÚ) 2016/426, (EÚ) 2023/988 a (EÚ) 2023/1230, pokiaľ ide o núdzové postupy posudzovania zhody, predpoklad zhody, prijímanie spoločných špecifikácií a dohľad nad trhom v dôsledku núdzovej situácie na vnútornom trhu</w:t>
      </w:r>
    </w:p>
    <w:p w:rsidR="00F2417E" w:rsidRDefault="00F2417E" w:rsidP="00492008">
      <w:pPr>
        <w:pStyle w:val="AmNumberTabs"/>
        <w:rPr>
          <w:szCs w:val="24"/>
          <w:lang w:eastAsia="en-US"/>
        </w:rPr>
      </w:pPr>
    </w:p>
    <w:p w:rsidR="00F2417E" w:rsidRPr="00F2417E" w:rsidRDefault="00F2417E" w:rsidP="00492008">
      <w:pPr>
        <w:pStyle w:val="AmNumberTabs"/>
        <w:rPr>
          <w:b w:val="0"/>
          <w:szCs w:val="24"/>
          <w:lang w:eastAsia="en-US"/>
        </w:rPr>
      </w:pPr>
      <w:r w:rsidRPr="00F2417E">
        <w:rPr>
          <w:b w:val="0"/>
          <w:i/>
          <w:iCs/>
        </w:rPr>
        <w:t>(Keďže bola dosiahnutá dohoda medzi Európskym parlamentom a Radou, pozícia Európskeho parlamentu zodpovedá záverečnému legislatívnemu aktu, nariadeniu (EÚ) 202</w:t>
      </w:r>
      <w:r>
        <w:rPr>
          <w:b w:val="0"/>
          <w:i/>
          <w:iCs/>
        </w:rPr>
        <w:t>4</w:t>
      </w:r>
      <w:r w:rsidRPr="00F2417E">
        <w:rPr>
          <w:b w:val="0"/>
          <w:i/>
          <w:iCs/>
        </w:rPr>
        <w:t>/</w:t>
      </w:r>
      <w:r>
        <w:rPr>
          <w:b w:val="0"/>
          <w:i/>
          <w:iCs/>
        </w:rPr>
        <w:t>2748</w:t>
      </w:r>
      <w:bookmarkStart w:id="8" w:name="_GoBack"/>
      <w:bookmarkEnd w:id="8"/>
      <w:r w:rsidRPr="00F2417E">
        <w:rPr>
          <w:b w:val="0"/>
          <w:i/>
          <w:iCs/>
        </w:rPr>
        <w:t>.)</w:t>
      </w:r>
    </w:p>
    <w:p w:rsidR="00F2417E" w:rsidRDefault="00F2417E" w:rsidP="00492008">
      <w:pPr>
        <w:pStyle w:val="AmNumberTabs"/>
        <w:rPr>
          <w:szCs w:val="24"/>
          <w:lang w:eastAsia="en-US"/>
        </w:rPr>
      </w:pPr>
    </w:p>
    <w:sectPr w:rsidR="00F2417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33D" w:rsidRDefault="00C15FE2">
      <w:r>
        <w:separator/>
      </w:r>
    </w:p>
  </w:endnote>
  <w:endnote w:type="continuationSeparator" w:id="0">
    <w:p w:rsidR="00D7533D" w:rsidRDefault="00C1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33D" w:rsidRDefault="00D7533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33D" w:rsidRDefault="00D7533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33D" w:rsidRDefault="00D7533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33D" w:rsidRDefault="00C15FE2">
      <w:r>
        <w:separator/>
      </w:r>
    </w:p>
  </w:footnote>
  <w:footnote w:type="continuationSeparator" w:id="0">
    <w:p w:rsidR="00D7533D" w:rsidRDefault="00C15FE2">
      <w:r>
        <w:continuationSeparator/>
      </w:r>
    </w:p>
  </w:footnote>
  <w:footnote w:id="1">
    <w:p w:rsidR="00D7533D" w:rsidRDefault="00C15FE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C </w:t>
      </w:r>
      <w:r w:rsidRPr="00A019B5">
        <w:rPr>
          <w:sz w:val="24"/>
          <w:lang w:val="sk-SK"/>
        </w:rPr>
        <w:t>100</w:t>
      </w:r>
      <w:r>
        <w:rPr>
          <w:sz w:val="24"/>
          <w:lang w:val="sk-SK"/>
        </w:rPr>
        <w:t xml:space="preserve">, </w:t>
      </w:r>
      <w:r w:rsidRPr="00A019B5">
        <w:rPr>
          <w:sz w:val="24"/>
          <w:lang w:val="sk-SK"/>
        </w:rPr>
        <w:t>16</w:t>
      </w:r>
      <w:r>
        <w:rPr>
          <w:sz w:val="24"/>
          <w:lang w:val="sk-SK"/>
        </w:rPr>
        <w:t>.</w:t>
      </w:r>
      <w:r w:rsidRPr="00A019B5">
        <w:rPr>
          <w:sz w:val="24"/>
          <w:lang w:val="sk-SK"/>
        </w:rPr>
        <w:t>3</w:t>
      </w:r>
      <w:r>
        <w:rPr>
          <w:sz w:val="24"/>
          <w:lang w:val="sk-SK"/>
        </w:rPr>
        <w:t>.</w:t>
      </w:r>
      <w:r w:rsidRPr="00A019B5">
        <w:rPr>
          <w:sz w:val="24"/>
          <w:lang w:val="sk-SK"/>
        </w:rPr>
        <w:t>2023</w:t>
      </w:r>
      <w:r>
        <w:rPr>
          <w:sz w:val="24"/>
          <w:lang w:val="sk-SK"/>
        </w:rPr>
        <w:t xml:space="preserve">, s. </w:t>
      </w:r>
      <w:r w:rsidRPr="00A019B5">
        <w:rPr>
          <w:sz w:val="24"/>
          <w:lang w:val="sk-SK"/>
        </w:rPr>
        <w:t>95</w:t>
      </w:r>
      <w:r>
        <w:rPr>
          <w:sz w:val="24"/>
          <w:lang w:val="sk-SK"/>
        </w:rPr>
        <w:t>.</w:t>
      </w:r>
    </w:p>
  </w:footnote>
  <w:footnote w:id="2">
    <w:p w:rsidR="00D7533D" w:rsidRDefault="00C15FE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C </w:t>
      </w:r>
      <w:r w:rsidRPr="00A019B5">
        <w:rPr>
          <w:sz w:val="24"/>
          <w:lang w:val="sk-SK"/>
        </w:rPr>
        <w:t>157</w:t>
      </w:r>
      <w:r>
        <w:rPr>
          <w:sz w:val="24"/>
          <w:lang w:val="sk-SK"/>
        </w:rPr>
        <w:t xml:space="preserve">, </w:t>
      </w:r>
      <w:r w:rsidRPr="00A019B5">
        <w:rPr>
          <w:sz w:val="24"/>
          <w:lang w:val="sk-SK"/>
        </w:rPr>
        <w:t>3</w:t>
      </w:r>
      <w:r>
        <w:rPr>
          <w:sz w:val="24"/>
          <w:lang w:val="sk-SK"/>
        </w:rPr>
        <w:t>.</w:t>
      </w:r>
      <w:r w:rsidRPr="00A019B5">
        <w:rPr>
          <w:sz w:val="24"/>
          <w:lang w:val="sk-SK"/>
        </w:rPr>
        <w:t>5</w:t>
      </w:r>
      <w:r>
        <w:rPr>
          <w:sz w:val="24"/>
          <w:lang w:val="sk-SK"/>
        </w:rPr>
        <w:t>.</w:t>
      </w:r>
      <w:r w:rsidRPr="00A019B5">
        <w:rPr>
          <w:sz w:val="24"/>
          <w:lang w:val="sk-SK"/>
        </w:rPr>
        <w:t>2023</w:t>
      </w:r>
      <w:r>
        <w:rPr>
          <w:sz w:val="24"/>
          <w:lang w:val="sk-SK"/>
        </w:rPr>
        <w:t xml:space="preserve">, s. </w:t>
      </w:r>
      <w:r w:rsidRPr="00A019B5">
        <w:rPr>
          <w:sz w:val="24"/>
          <w:lang w:val="sk-SK"/>
        </w:rPr>
        <w:t>82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33D" w:rsidRDefault="00D753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33D" w:rsidRDefault="00D7533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33D" w:rsidRDefault="00D7533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SK"/>
    <w:docVar w:name="dvnumam" w:val="164"/>
    <w:docVar w:name="dvpe" w:val="745.282"/>
    <w:docVar w:name="dvrapporteur" w:val="Spravodajca: "/>
    <w:docVar w:name="dvstar" w:val="***I"/>
    <w:docVar w:name="dvtitre" w:val="Legislatívne uznesenie Európskeho parlamentu z xx. apríla 2024 o návrhu nariadenia Európskeho parlamentu a Rady, ktorým sa menia nariadenia (EÚ) 2016/424, (EÚ) 2016/425, (EÚ) 2016/426, (EÚ) 2019/1009 a (EÚ) č. 305/2011, pokiaľ ide o núdzové postupy posudzovania zhody, prijímanie spoločných špecifikácií a dohľad nad trhom v dôsledku núdzovej situácie na jednotnom trhu(COM(2022)0461 – C9-0314/2022 – 2022/0279(COD))"/>
  </w:docVars>
  <w:rsids>
    <w:rsidRoot w:val="00D7533D"/>
    <w:rsid w:val="00046062"/>
    <w:rsid w:val="000F7CD1"/>
    <w:rsid w:val="001354D5"/>
    <w:rsid w:val="002550D3"/>
    <w:rsid w:val="003456FD"/>
    <w:rsid w:val="00412071"/>
    <w:rsid w:val="00492008"/>
    <w:rsid w:val="004D2D78"/>
    <w:rsid w:val="005A1C19"/>
    <w:rsid w:val="00784F62"/>
    <w:rsid w:val="008C0BBE"/>
    <w:rsid w:val="00A019B5"/>
    <w:rsid w:val="00B674F0"/>
    <w:rsid w:val="00C15FE2"/>
    <w:rsid w:val="00D7533D"/>
    <w:rsid w:val="00ED68FC"/>
    <w:rsid w:val="00F2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75069"/>
  <w15:chartTrackingRefBased/>
  <w15:docId w15:val="{4C35A3DB-B3BD-4E2A-8B0E-0D62BFB2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k-SK"/>
    </w:rPr>
  </w:style>
  <w:style w:type="character" w:customStyle="1" w:styleId="FooterChar">
    <w:name w:val="Footer Char"/>
    <w:basedOn w:val="DefaultParagraphFont"/>
    <w:link w:val="Footer"/>
    <w:rPr>
      <w:sz w:val="22"/>
      <w:lang w:val="sk-SK"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12Italic">
    <w:name w:val="Normal12Italic"/>
    <w:basedOn w:val="Normal12"/>
    <w:rPr>
      <w:i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492008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AmDocTypeTab">
    <w:name w:val="AmDocTypeTab"/>
    <w:basedOn w:val="Normal"/>
    <w:rsid w:val="0049200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92008"/>
    <w:pPr>
      <w:spacing w:after="240"/>
      <w:jc w:val="center"/>
    </w:pPr>
  </w:style>
  <w:style w:type="paragraph" w:customStyle="1" w:styleId="AmDateTab">
    <w:name w:val="AmDateTab"/>
    <w:basedOn w:val="Normal"/>
    <w:rsid w:val="0049200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9200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92008"/>
  </w:style>
  <w:style w:type="paragraph" w:customStyle="1" w:styleId="SignaturePersonne">
    <w:name w:val="Signature Personne"/>
    <w:basedOn w:val="Normal"/>
    <w:rsid w:val="00492008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492008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492008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492008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492008"/>
    <w:pPr>
      <w:keepLines/>
      <w:widowControl w:val="0"/>
      <w:ind w:left="850" w:hanging="850"/>
    </w:pPr>
    <w:rPr>
      <w:sz w:val="24"/>
      <w:lang w:val="sk-SK" w:eastAsia="en-US"/>
    </w:rPr>
  </w:style>
  <w:style w:type="paragraph" w:customStyle="1" w:styleId="Applicationdirecte">
    <w:name w:val="Application directe"/>
    <w:basedOn w:val="Normal"/>
    <w:next w:val="Normal"/>
    <w:rsid w:val="00492008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492008"/>
    <w:pPr>
      <w:widowControl w:val="0"/>
      <w:spacing w:before="120" w:after="120" w:line="360" w:lineRule="auto"/>
    </w:pPr>
    <w:rPr>
      <w:sz w:val="24"/>
      <w:lang w:val="sk-SK" w:eastAsia="en-US"/>
    </w:rPr>
  </w:style>
  <w:style w:type="paragraph" w:customStyle="1" w:styleId="Formuledadoption">
    <w:name w:val="Formule d'adoption"/>
    <w:basedOn w:val="Normal"/>
    <w:next w:val="Normal"/>
    <w:rsid w:val="00492008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492008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492008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492008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492008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492008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492008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492008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492008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492008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492008"/>
    <w:rPr>
      <w:color w:val="800080"/>
      <w:u w:val="single"/>
    </w:rPr>
  </w:style>
  <w:style w:type="character" w:styleId="Hyperlink">
    <w:name w:val="Hyperlink"/>
    <w:basedOn w:val="DefaultParagraphFont"/>
    <w:rsid w:val="0049200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92008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8C0BBE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C0BBE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C0BBE"/>
    <w:pPr>
      <w:jc w:val="center"/>
    </w:pPr>
  </w:style>
  <w:style w:type="paragraph" w:customStyle="1" w:styleId="Normal24a">
    <w:name w:val="Normal24a"/>
    <w:basedOn w:val="Normal"/>
    <w:rsid w:val="008C0BBE"/>
    <w:pPr>
      <w:spacing w:after="480"/>
    </w:pPr>
  </w:style>
  <w:style w:type="paragraph" w:customStyle="1" w:styleId="LineSingle">
    <w:name w:val="LineSingle"/>
    <w:basedOn w:val="Normal"/>
    <w:next w:val="Normal"/>
    <w:rsid w:val="008C0BBE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C0BBE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0B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8ACF0-60BA-41D0-BF0E-91FDB0CCE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2025-03-12T15:47:00Z</dcterms:created>
  <dcterms:modified xsi:type="dcterms:W3CDTF">2025-03-12T15:47:00Z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