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40A2E" w14:paraId="2150C02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88533B2" w14:textId="77777777" w:rsidR="00751A4A" w:rsidRPr="00540A2E" w:rsidRDefault="00AC68A9" w:rsidP="0010095E">
            <w:pPr>
              <w:pStyle w:val="EPName"/>
            </w:pPr>
            <w:r>
              <w:t>Е</w:t>
            </w:r>
            <w:r w:rsidR="00091082" w:rsidRPr="00540A2E">
              <w:t>вропейски парламент</w:t>
            </w:r>
          </w:p>
          <w:p w14:paraId="191CF634" w14:textId="77777777" w:rsidR="00751A4A" w:rsidRPr="00540A2E" w:rsidRDefault="00AC68A9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A6E2F">
              <w:t>2019</w:t>
            </w:r>
            <w:r>
              <w:t> – </w:t>
            </w:r>
            <w:r w:rsidR="00817416" w:rsidRPr="00AA6E2F">
              <w:t>2024</w:t>
            </w:r>
          </w:p>
        </w:tc>
        <w:tc>
          <w:tcPr>
            <w:tcW w:w="2268" w:type="dxa"/>
            <w:shd w:val="clear" w:color="auto" w:fill="auto"/>
          </w:tcPr>
          <w:p w14:paraId="071DE7C2" w14:textId="77777777" w:rsidR="00751A4A" w:rsidRPr="00540A2E" w:rsidRDefault="00187494" w:rsidP="0010095E">
            <w:pPr>
              <w:pStyle w:val="EPLogo"/>
            </w:pPr>
            <w:r w:rsidRPr="00540A2E">
              <w:rPr>
                <w:noProof/>
                <w:lang w:val="en-GB"/>
              </w:rPr>
              <w:drawing>
                <wp:inline distT="0" distB="0" distL="0" distR="0" wp14:anchorId="6E54C65D" wp14:editId="454AC31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E8D80F" w14:textId="77777777" w:rsidR="00D058B8" w:rsidRPr="00540A2E" w:rsidRDefault="00D058B8" w:rsidP="004C5D52">
      <w:pPr>
        <w:pStyle w:val="LineTop"/>
      </w:pPr>
    </w:p>
    <w:p w14:paraId="4CB59842" w14:textId="77777777" w:rsidR="00680577" w:rsidRPr="00540A2E" w:rsidRDefault="00091082" w:rsidP="00680577">
      <w:pPr>
        <w:pStyle w:val="EPBodyTA1"/>
      </w:pPr>
      <w:r w:rsidRPr="00540A2E">
        <w:t>ПРИЕТИ ТЕКСТОВЕ</w:t>
      </w:r>
    </w:p>
    <w:p w14:paraId="6D9EE986" w14:textId="77777777" w:rsidR="00D058B8" w:rsidRPr="00540A2E" w:rsidRDefault="00D058B8" w:rsidP="00D058B8">
      <w:pPr>
        <w:pStyle w:val="LineBottom"/>
      </w:pPr>
    </w:p>
    <w:p w14:paraId="0471B9D0" w14:textId="3559A52D" w:rsidR="00091082" w:rsidRPr="00540A2E" w:rsidRDefault="00091082" w:rsidP="00091082">
      <w:pPr>
        <w:pStyle w:val="ATHeading1"/>
      </w:pPr>
      <w:bookmarkStart w:id="0" w:name="TANumber"/>
      <w:r w:rsidRPr="00540A2E">
        <w:t>P</w:t>
      </w:r>
      <w:r w:rsidRPr="00AA6E2F">
        <w:t>9</w:t>
      </w:r>
      <w:r w:rsidRPr="00540A2E">
        <w:t>_TA(</w:t>
      </w:r>
      <w:r w:rsidRPr="00AA6E2F">
        <w:t>2024</w:t>
      </w:r>
      <w:r w:rsidRPr="00540A2E">
        <w:t>)</w:t>
      </w:r>
      <w:r w:rsidRPr="00AA6E2F">
        <w:t>0</w:t>
      </w:r>
      <w:r w:rsidR="00F036FF" w:rsidRPr="00AA6E2F">
        <w:t>322</w:t>
      </w:r>
      <w:bookmarkEnd w:id="0"/>
    </w:p>
    <w:p w14:paraId="19F2050E" w14:textId="77777777" w:rsidR="00091082" w:rsidRPr="00540A2E" w:rsidRDefault="00091082" w:rsidP="00091082">
      <w:pPr>
        <w:pStyle w:val="ATHeading2"/>
      </w:pPr>
      <w:bookmarkStart w:id="1" w:name="title"/>
      <w:r w:rsidRPr="00540A2E">
        <w:t xml:space="preserve">Изменение на някои директиви по отношение на </w:t>
      </w:r>
      <w:r w:rsidR="00072B9B">
        <w:t xml:space="preserve">създаването на </w:t>
      </w:r>
      <w:r w:rsidRPr="00540A2E">
        <w:t>инструмента в подкрепа на единния пазар в извънредни ситуации</w:t>
      </w:r>
      <w:bookmarkEnd w:id="1"/>
    </w:p>
    <w:p w14:paraId="74B8AF2B" w14:textId="77777777" w:rsidR="00091082" w:rsidRPr="00540A2E" w:rsidRDefault="00091082" w:rsidP="00091082">
      <w:pPr>
        <w:rPr>
          <w:i/>
          <w:vanish/>
        </w:rPr>
      </w:pPr>
      <w:r w:rsidRPr="00540A2E">
        <w:rPr>
          <w:i/>
        </w:rPr>
        <w:fldChar w:fldCharType="begin"/>
      </w:r>
      <w:r w:rsidRPr="00540A2E">
        <w:rPr>
          <w:i/>
        </w:rPr>
        <w:instrText xml:space="preserve"> TC"(</w:instrText>
      </w:r>
      <w:bookmarkStart w:id="2" w:name="DocNumber"/>
      <w:r w:rsidRPr="00540A2E">
        <w:rPr>
          <w:i/>
        </w:rPr>
        <w:instrText>A</w:instrText>
      </w:r>
      <w:r w:rsidRPr="00AA6E2F">
        <w:rPr>
          <w:i/>
        </w:rPr>
        <w:instrText>9</w:instrText>
      </w:r>
      <w:r w:rsidRPr="00540A2E">
        <w:rPr>
          <w:i/>
        </w:rPr>
        <w:instrText>-</w:instrText>
      </w:r>
      <w:r w:rsidRPr="00AA6E2F">
        <w:rPr>
          <w:i/>
        </w:rPr>
        <w:instrText>0245</w:instrText>
      </w:r>
      <w:r w:rsidRPr="00540A2E">
        <w:rPr>
          <w:i/>
        </w:rPr>
        <w:instrText>/</w:instrText>
      </w:r>
      <w:r w:rsidRPr="00AA6E2F">
        <w:rPr>
          <w:i/>
        </w:rPr>
        <w:instrText>2023</w:instrText>
      </w:r>
      <w:bookmarkEnd w:id="2"/>
      <w:r w:rsidRPr="00540A2E">
        <w:rPr>
          <w:i/>
        </w:rPr>
        <w:instrText xml:space="preserve"> - Докладчик: Андреас </w:instrText>
      </w:r>
      <w:proofErr w:type="spellStart"/>
      <w:r w:rsidRPr="00540A2E">
        <w:rPr>
          <w:i/>
        </w:rPr>
        <w:instrText>Шваб</w:instrText>
      </w:r>
      <w:proofErr w:type="spellEnd"/>
      <w:r w:rsidRPr="00540A2E">
        <w:rPr>
          <w:i/>
        </w:rPr>
        <w:instrText>)"\l</w:instrText>
      </w:r>
      <w:r w:rsidRPr="00AA6E2F">
        <w:rPr>
          <w:i/>
        </w:rPr>
        <w:instrText>3</w:instrText>
      </w:r>
      <w:r w:rsidRPr="00540A2E">
        <w:rPr>
          <w:i/>
        </w:rPr>
        <w:instrText xml:space="preserve"> \n&gt; \* MERGEFORMAT </w:instrText>
      </w:r>
      <w:r w:rsidRPr="00540A2E">
        <w:rPr>
          <w:i/>
        </w:rPr>
        <w:fldChar w:fldCharType="end"/>
      </w:r>
    </w:p>
    <w:p w14:paraId="6C24F097" w14:textId="77777777" w:rsidR="00091082" w:rsidRPr="00540A2E" w:rsidRDefault="00091082" w:rsidP="00091082">
      <w:pPr>
        <w:rPr>
          <w:vanish/>
        </w:rPr>
      </w:pPr>
      <w:bookmarkStart w:id="3" w:name="Commission"/>
      <w:r w:rsidRPr="00540A2E">
        <w:rPr>
          <w:vanish/>
        </w:rPr>
        <w:t>Комисия по вътрешния пазар и защита на потребителите</w:t>
      </w:r>
      <w:bookmarkEnd w:id="3"/>
    </w:p>
    <w:p w14:paraId="602EC751" w14:textId="77777777" w:rsidR="00091082" w:rsidRPr="00540A2E" w:rsidRDefault="00091082" w:rsidP="00091082">
      <w:pPr>
        <w:rPr>
          <w:vanish/>
        </w:rPr>
      </w:pPr>
      <w:bookmarkStart w:id="4" w:name="PE"/>
      <w:r w:rsidRPr="00540A2E">
        <w:rPr>
          <w:vanish/>
        </w:rPr>
        <w:t>PE</w:t>
      </w:r>
      <w:r w:rsidRPr="00AA6E2F">
        <w:rPr>
          <w:vanish/>
        </w:rPr>
        <w:t>745</w:t>
      </w:r>
      <w:r w:rsidRPr="00540A2E">
        <w:rPr>
          <w:vanish/>
        </w:rPr>
        <w:t>.</w:t>
      </w:r>
      <w:r w:rsidRPr="00AA6E2F">
        <w:rPr>
          <w:vanish/>
        </w:rPr>
        <w:t>256</w:t>
      </w:r>
      <w:bookmarkEnd w:id="4"/>
    </w:p>
    <w:p w14:paraId="7DA14F01" w14:textId="284AA934" w:rsidR="00091082" w:rsidRPr="00540A2E" w:rsidRDefault="00091082" w:rsidP="00091082">
      <w:pPr>
        <w:pStyle w:val="ATHeading3"/>
      </w:pPr>
      <w:bookmarkStart w:id="5" w:name="Sujet"/>
      <w:r w:rsidRPr="00540A2E">
        <w:t xml:space="preserve">Законодателна резолюция на Европейския парламент от </w:t>
      </w:r>
      <w:r w:rsidR="00072B9B" w:rsidRPr="00AA6E2F">
        <w:t>24</w:t>
      </w:r>
      <w:r w:rsidR="00561E9A">
        <w:t xml:space="preserve"> април</w:t>
      </w:r>
      <w:r w:rsidR="00561E9A" w:rsidRPr="00540A2E">
        <w:t xml:space="preserve"> </w:t>
      </w:r>
      <w:r w:rsidRPr="00AA6E2F">
        <w:t>2024</w:t>
      </w:r>
      <w:r w:rsidRPr="00540A2E">
        <w:t xml:space="preserve"> г. относно предложението за директива на Европейския парламент и на Съвета за изменение на директиви </w:t>
      </w:r>
      <w:r w:rsidRPr="00AA6E2F">
        <w:t>2000</w:t>
      </w:r>
      <w:r w:rsidRPr="00540A2E">
        <w:t>/</w:t>
      </w:r>
      <w:r w:rsidRPr="00AA6E2F">
        <w:t>14</w:t>
      </w:r>
      <w:r w:rsidRPr="00540A2E">
        <w:t xml:space="preserve">/ЕО, </w:t>
      </w:r>
      <w:r w:rsidRPr="00AA6E2F">
        <w:t>2006</w:t>
      </w:r>
      <w:r w:rsidRPr="00540A2E">
        <w:t>/</w:t>
      </w:r>
      <w:r w:rsidRPr="00AA6E2F">
        <w:t>42</w:t>
      </w:r>
      <w:r w:rsidRPr="00540A2E">
        <w:t xml:space="preserve">/ЕО, </w:t>
      </w:r>
      <w:r w:rsidRPr="00AA6E2F">
        <w:t>2010</w:t>
      </w:r>
      <w:r w:rsidRPr="00540A2E">
        <w:t>/</w:t>
      </w:r>
      <w:r w:rsidRPr="00AA6E2F">
        <w:t>35</w:t>
      </w:r>
      <w:r w:rsidRPr="00540A2E">
        <w:t xml:space="preserve">/ЕС, </w:t>
      </w:r>
      <w:r w:rsidRPr="00AA6E2F">
        <w:t>2013</w:t>
      </w:r>
      <w:r w:rsidRPr="00540A2E">
        <w:t>/</w:t>
      </w:r>
      <w:r w:rsidRPr="00AA6E2F">
        <w:t>29</w:t>
      </w:r>
      <w:r w:rsidRPr="00540A2E">
        <w:t xml:space="preserve">/ЕС, </w:t>
      </w:r>
      <w:r w:rsidRPr="00AA6E2F">
        <w:t>2014</w:t>
      </w:r>
      <w:r w:rsidRPr="00540A2E">
        <w:t>/</w:t>
      </w:r>
      <w:r w:rsidRPr="00AA6E2F">
        <w:t>28</w:t>
      </w:r>
      <w:r w:rsidRPr="00540A2E">
        <w:t xml:space="preserve">/ЕС, </w:t>
      </w:r>
      <w:r w:rsidRPr="00AA6E2F">
        <w:t>2014</w:t>
      </w:r>
      <w:r w:rsidRPr="00540A2E">
        <w:t>/</w:t>
      </w:r>
      <w:r w:rsidRPr="00AA6E2F">
        <w:t>29</w:t>
      </w:r>
      <w:r w:rsidRPr="00540A2E">
        <w:t xml:space="preserve">/ЕС, </w:t>
      </w:r>
      <w:r w:rsidRPr="00AA6E2F">
        <w:t>2014</w:t>
      </w:r>
      <w:r w:rsidRPr="00540A2E">
        <w:t>/</w:t>
      </w:r>
      <w:r w:rsidRPr="00AA6E2F">
        <w:t>30</w:t>
      </w:r>
      <w:r w:rsidRPr="00540A2E">
        <w:t xml:space="preserve">/ЕС, </w:t>
      </w:r>
      <w:r w:rsidRPr="00AA6E2F">
        <w:t>2014</w:t>
      </w:r>
      <w:r w:rsidRPr="00540A2E">
        <w:t>/</w:t>
      </w:r>
      <w:r w:rsidRPr="00AA6E2F">
        <w:t>31</w:t>
      </w:r>
      <w:r w:rsidRPr="00540A2E">
        <w:t xml:space="preserve">/ЕС, </w:t>
      </w:r>
      <w:r w:rsidRPr="00AA6E2F">
        <w:t>2014</w:t>
      </w:r>
      <w:r w:rsidRPr="00540A2E">
        <w:t>/</w:t>
      </w:r>
      <w:r w:rsidRPr="00AA6E2F">
        <w:t>32</w:t>
      </w:r>
      <w:r w:rsidRPr="00540A2E">
        <w:t xml:space="preserve">/ЕС, </w:t>
      </w:r>
      <w:r w:rsidRPr="00AA6E2F">
        <w:t>2014</w:t>
      </w:r>
      <w:r w:rsidRPr="00540A2E">
        <w:t>/</w:t>
      </w:r>
      <w:r w:rsidRPr="00AA6E2F">
        <w:t>33</w:t>
      </w:r>
      <w:r w:rsidRPr="00540A2E">
        <w:t xml:space="preserve">/ЕС, </w:t>
      </w:r>
      <w:r w:rsidRPr="00AA6E2F">
        <w:t>2014</w:t>
      </w:r>
      <w:r w:rsidRPr="00540A2E">
        <w:t>/</w:t>
      </w:r>
      <w:r w:rsidRPr="00AA6E2F">
        <w:t>34</w:t>
      </w:r>
      <w:r w:rsidRPr="00540A2E">
        <w:t xml:space="preserve">/ЕС, </w:t>
      </w:r>
      <w:r w:rsidRPr="00AA6E2F">
        <w:t>2014</w:t>
      </w:r>
      <w:r w:rsidRPr="00540A2E">
        <w:t>/</w:t>
      </w:r>
      <w:r w:rsidRPr="00AA6E2F">
        <w:t>35</w:t>
      </w:r>
      <w:r w:rsidRPr="00540A2E">
        <w:t xml:space="preserve">/ЕС, </w:t>
      </w:r>
      <w:r w:rsidRPr="00AA6E2F">
        <w:t>2014</w:t>
      </w:r>
      <w:r w:rsidRPr="00540A2E">
        <w:t>/</w:t>
      </w:r>
      <w:r w:rsidRPr="00AA6E2F">
        <w:t>53</w:t>
      </w:r>
      <w:r w:rsidRPr="00540A2E">
        <w:t xml:space="preserve">/ЕС и </w:t>
      </w:r>
      <w:r w:rsidRPr="00AA6E2F">
        <w:t>2014</w:t>
      </w:r>
      <w:r w:rsidRPr="00540A2E">
        <w:t>/</w:t>
      </w:r>
      <w:r w:rsidRPr="00AA6E2F">
        <w:t>68</w:t>
      </w:r>
      <w:r w:rsidRPr="00540A2E">
        <w:t>/ЕС по отношение на спешните процедури за оценяване на съответствието, приемане на общи спецификации и надзор на пазара поради извънредна ситуация в рамките на единния пазар</w:t>
      </w:r>
      <w:bookmarkEnd w:id="5"/>
      <w:r w:rsidRPr="00540A2E">
        <w:t xml:space="preserve"> </w:t>
      </w:r>
      <w:bookmarkStart w:id="6" w:name="References"/>
      <w:r w:rsidRPr="00540A2E">
        <w:t>(COM(</w:t>
      </w:r>
      <w:r w:rsidRPr="00AA6E2F">
        <w:t>2022</w:t>
      </w:r>
      <w:r w:rsidRPr="00540A2E">
        <w:t>)</w:t>
      </w:r>
      <w:r w:rsidRPr="00AA6E2F">
        <w:t>0462</w:t>
      </w:r>
      <w:r w:rsidRPr="00540A2E">
        <w:t xml:space="preserve"> – C</w:t>
      </w:r>
      <w:r w:rsidRPr="00AA6E2F">
        <w:t>9</w:t>
      </w:r>
      <w:r w:rsidRPr="00540A2E">
        <w:t>-</w:t>
      </w:r>
      <w:r w:rsidRPr="00AA6E2F">
        <w:t>0313</w:t>
      </w:r>
      <w:r w:rsidRPr="00540A2E">
        <w:t>/</w:t>
      </w:r>
      <w:r w:rsidRPr="00AA6E2F">
        <w:t>2022</w:t>
      </w:r>
      <w:r w:rsidRPr="00540A2E">
        <w:t xml:space="preserve"> – </w:t>
      </w:r>
      <w:r w:rsidRPr="00AA6E2F">
        <w:t>2022</w:t>
      </w:r>
      <w:r w:rsidRPr="00540A2E">
        <w:t>/</w:t>
      </w:r>
      <w:r w:rsidRPr="00AA6E2F">
        <w:t>0280</w:t>
      </w:r>
      <w:r w:rsidRPr="00540A2E">
        <w:t>(COD))</w:t>
      </w:r>
      <w:bookmarkEnd w:id="6"/>
    </w:p>
    <w:p w14:paraId="3060DEBD" w14:textId="77777777" w:rsidR="00091082" w:rsidRPr="00540A2E" w:rsidRDefault="00091082" w:rsidP="00091082"/>
    <w:p w14:paraId="0F4DB86D" w14:textId="4284E612" w:rsidR="0079201D" w:rsidRPr="00540A2E" w:rsidRDefault="0079201D" w:rsidP="0079201D">
      <w:pPr>
        <w:pStyle w:val="NormalBold"/>
      </w:pPr>
      <w:bookmarkStart w:id="7" w:name="TextBodyBegin"/>
      <w:bookmarkEnd w:id="7"/>
      <w:r w:rsidRPr="00540A2E">
        <w:t>(Обикновена законодателна процедура</w:t>
      </w:r>
      <w:r w:rsidR="00561E9A">
        <w:t>:</w:t>
      </w:r>
      <w:r w:rsidRPr="00540A2E">
        <w:t xml:space="preserve"> първо четене)</w:t>
      </w:r>
    </w:p>
    <w:p w14:paraId="33A8F72E" w14:textId="77777777" w:rsidR="0079201D" w:rsidRPr="00540A2E" w:rsidRDefault="0079201D" w:rsidP="0079201D">
      <w:pPr>
        <w:pStyle w:val="EPComma"/>
      </w:pPr>
      <w:r w:rsidRPr="00540A2E">
        <w:rPr>
          <w:i/>
        </w:rPr>
        <w:t>Европейският парламент</w:t>
      </w:r>
      <w:r w:rsidRPr="00540A2E">
        <w:t>,</w:t>
      </w:r>
    </w:p>
    <w:p w14:paraId="741F616C" w14:textId="7F7B0BD7" w:rsidR="0079201D" w:rsidRPr="00540A2E" w:rsidRDefault="0079201D" w:rsidP="0079201D">
      <w:pPr>
        <w:pStyle w:val="NormalHanging12a"/>
      </w:pPr>
      <w:r w:rsidRPr="00540A2E">
        <w:t>–</w:t>
      </w:r>
      <w:r w:rsidRPr="00540A2E">
        <w:tab/>
        <w:t xml:space="preserve">като взе предвид предложението на Комисията до </w:t>
      </w:r>
      <w:r w:rsidR="00561E9A">
        <w:t>П</w:t>
      </w:r>
      <w:r w:rsidRPr="00540A2E">
        <w:t>арламент</w:t>
      </w:r>
      <w:r w:rsidR="00561E9A">
        <w:t>а</w:t>
      </w:r>
      <w:r w:rsidRPr="00540A2E">
        <w:t xml:space="preserve"> и до Съвета (COM(</w:t>
      </w:r>
      <w:r w:rsidRPr="00AA6E2F">
        <w:t>2022</w:t>
      </w:r>
      <w:r w:rsidRPr="00540A2E">
        <w:t>)</w:t>
      </w:r>
      <w:r w:rsidRPr="00AA6E2F">
        <w:t>0462</w:t>
      </w:r>
      <w:r w:rsidRPr="00540A2E">
        <w:t>),</w:t>
      </w:r>
    </w:p>
    <w:p w14:paraId="72E95189" w14:textId="77777777" w:rsidR="0079201D" w:rsidRPr="00540A2E" w:rsidRDefault="0079201D" w:rsidP="0079201D">
      <w:pPr>
        <w:pStyle w:val="NormalHanging12a"/>
      </w:pPr>
      <w:r w:rsidRPr="00540A2E">
        <w:t>–</w:t>
      </w:r>
      <w:r w:rsidRPr="00540A2E">
        <w:tab/>
        <w:t>като взе предвид член </w:t>
      </w:r>
      <w:r w:rsidRPr="00AA6E2F">
        <w:t>294</w:t>
      </w:r>
      <w:r w:rsidRPr="00540A2E">
        <w:t>, параграф </w:t>
      </w:r>
      <w:r w:rsidRPr="00AA6E2F">
        <w:t>2</w:t>
      </w:r>
      <w:r w:rsidRPr="00540A2E">
        <w:t xml:space="preserve"> и членове </w:t>
      </w:r>
      <w:r w:rsidRPr="00AA6E2F">
        <w:t>91</w:t>
      </w:r>
      <w:r w:rsidRPr="00540A2E">
        <w:t xml:space="preserve"> и </w:t>
      </w:r>
      <w:r w:rsidRPr="00AA6E2F">
        <w:t>114</w:t>
      </w:r>
      <w:r w:rsidRPr="00540A2E">
        <w:t xml:space="preserve"> от Договора за функционирането на Европейския съюз, съгласно които Комисията е внесла предложението в Парламента (C</w:t>
      </w:r>
      <w:r w:rsidRPr="00AA6E2F">
        <w:t>9</w:t>
      </w:r>
      <w:r w:rsidRPr="00540A2E">
        <w:noBreakHyphen/>
      </w:r>
      <w:r w:rsidRPr="00AA6E2F">
        <w:t>0313</w:t>
      </w:r>
      <w:r w:rsidRPr="00540A2E">
        <w:t>/</w:t>
      </w:r>
      <w:r w:rsidRPr="00AA6E2F">
        <w:t>2022</w:t>
      </w:r>
      <w:r w:rsidRPr="00540A2E">
        <w:t>),</w:t>
      </w:r>
    </w:p>
    <w:p w14:paraId="7BE9E4C9" w14:textId="77777777" w:rsidR="0079201D" w:rsidRPr="00540A2E" w:rsidRDefault="0079201D" w:rsidP="0079201D">
      <w:pPr>
        <w:pStyle w:val="NormalHanging12a"/>
      </w:pPr>
      <w:r w:rsidRPr="00540A2E">
        <w:t>–</w:t>
      </w:r>
      <w:r w:rsidRPr="00540A2E">
        <w:tab/>
        <w:t>като взе предвид член </w:t>
      </w:r>
      <w:r w:rsidRPr="00AA6E2F">
        <w:t>294</w:t>
      </w:r>
      <w:r w:rsidRPr="00540A2E">
        <w:t xml:space="preserve">, параграф </w:t>
      </w:r>
      <w:r w:rsidRPr="00AA6E2F">
        <w:t>3</w:t>
      </w:r>
      <w:r w:rsidRPr="00540A2E">
        <w:t xml:space="preserve"> от Договора за функционирането на Европейския съюз,</w:t>
      </w:r>
    </w:p>
    <w:p w14:paraId="56FAE223" w14:textId="77777777" w:rsidR="0079201D" w:rsidRPr="00540A2E" w:rsidRDefault="0079201D" w:rsidP="0079201D">
      <w:pPr>
        <w:pStyle w:val="NormalHanging12a"/>
      </w:pPr>
      <w:r w:rsidRPr="00540A2E">
        <w:t>–</w:t>
      </w:r>
      <w:r w:rsidRPr="00540A2E">
        <w:tab/>
        <w:t xml:space="preserve">като взе предвид становището на Европейския икономически и социален комитет от </w:t>
      </w:r>
      <w:r w:rsidRPr="00AA6E2F">
        <w:t>14</w:t>
      </w:r>
      <w:r w:rsidRPr="00540A2E">
        <w:t xml:space="preserve"> декември </w:t>
      </w:r>
      <w:r w:rsidRPr="00AA6E2F">
        <w:t>2022</w:t>
      </w:r>
      <w:r w:rsidRPr="00540A2E">
        <w:t> г.</w:t>
      </w:r>
      <w:r w:rsidRPr="00540A2E">
        <w:rPr>
          <w:vertAlign w:val="superscript"/>
        </w:rPr>
        <w:footnoteReference w:id="1"/>
      </w:r>
      <w:r w:rsidRPr="00540A2E">
        <w:t>,</w:t>
      </w:r>
    </w:p>
    <w:p w14:paraId="71C240F0" w14:textId="77777777" w:rsidR="0079201D" w:rsidRDefault="0079201D" w:rsidP="0079201D">
      <w:pPr>
        <w:pStyle w:val="NormalHanging12a"/>
      </w:pPr>
      <w:r w:rsidRPr="00540A2E">
        <w:t>–</w:t>
      </w:r>
      <w:r w:rsidRPr="00540A2E">
        <w:tab/>
        <w:t xml:space="preserve">като взе предвид становището на Комитета на регионите от </w:t>
      </w:r>
      <w:r w:rsidRPr="00AA6E2F">
        <w:t>8</w:t>
      </w:r>
      <w:r w:rsidRPr="00540A2E">
        <w:t xml:space="preserve"> февруари </w:t>
      </w:r>
      <w:r w:rsidRPr="00AA6E2F">
        <w:t>2023</w:t>
      </w:r>
      <w:r w:rsidRPr="00540A2E">
        <w:t> г.</w:t>
      </w:r>
      <w:r w:rsidRPr="00540A2E">
        <w:rPr>
          <w:vertAlign w:val="superscript"/>
        </w:rPr>
        <w:footnoteReference w:id="2"/>
      </w:r>
      <w:r w:rsidRPr="00540A2E">
        <w:t>,</w:t>
      </w:r>
    </w:p>
    <w:p w14:paraId="44422A6D" w14:textId="77777777" w:rsidR="00072B9B" w:rsidRPr="00540A2E" w:rsidRDefault="00072B9B" w:rsidP="0079201D">
      <w:pPr>
        <w:pStyle w:val="NormalHanging12a"/>
      </w:pPr>
      <w:r>
        <w:t>–</w:t>
      </w:r>
      <w:r>
        <w:tab/>
      </w:r>
      <w:r w:rsidRPr="00072B9B">
        <w:t xml:space="preserve">като взе предвид временното споразумение, одобрено от компетентната комисия съгласно член </w:t>
      </w:r>
      <w:r w:rsidRPr="00AA6E2F">
        <w:t>74</w:t>
      </w:r>
      <w:r w:rsidRPr="00072B9B">
        <w:t xml:space="preserve">, параграф </w:t>
      </w:r>
      <w:r w:rsidRPr="00AA6E2F">
        <w:t>4</w:t>
      </w:r>
      <w:r w:rsidRPr="00072B9B">
        <w:t xml:space="preserve"> от своя Правилник за дейността, и поетия с писмо от </w:t>
      </w:r>
      <w:r w:rsidRPr="00AA6E2F">
        <w:lastRenderedPageBreak/>
        <w:t>16</w:t>
      </w:r>
      <w:r w:rsidRPr="00072B9B">
        <w:t xml:space="preserve"> </w:t>
      </w:r>
      <w:r>
        <w:t>февруари</w:t>
      </w:r>
      <w:r w:rsidRPr="00072B9B">
        <w:t xml:space="preserve"> </w:t>
      </w:r>
      <w:r w:rsidRPr="00AA6E2F">
        <w:t>2024</w:t>
      </w:r>
      <w:r w:rsidRPr="00072B9B">
        <w:t xml:space="preserve"> г. ангажимент на представителя на Съвета за одобряване на позицията на Парламента в съответствие с член </w:t>
      </w:r>
      <w:r w:rsidRPr="00AA6E2F">
        <w:t>294</w:t>
      </w:r>
      <w:r w:rsidRPr="00072B9B">
        <w:t xml:space="preserve">, параграф </w:t>
      </w:r>
      <w:r w:rsidRPr="00AA6E2F">
        <w:t>4</w:t>
      </w:r>
      <w:r w:rsidRPr="00072B9B">
        <w:t xml:space="preserve"> от Договора за функционирането на Европейския съюз,</w:t>
      </w:r>
    </w:p>
    <w:p w14:paraId="39627F86" w14:textId="77777777" w:rsidR="0079201D" w:rsidRPr="00540A2E" w:rsidRDefault="0079201D" w:rsidP="0079201D">
      <w:pPr>
        <w:pStyle w:val="NormalHanging12a"/>
      </w:pPr>
      <w:r w:rsidRPr="00540A2E">
        <w:t>–</w:t>
      </w:r>
      <w:r w:rsidRPr="00540A2E">
        <w:tab/>
        <w:t>като взе предвид член </w:t>
      </w:r>
      <w:r w:rsidRPr="00AA6E2F">
        <w:t>59</w:t>
      </w:r>
      <w:r w:rsidRPr="00540A2E">
        <w:t xml:space="preserve"> от своя Правилник за дейността,</w:t>
      </w:r>
    </w:p>
    <w:p w14:paraId="12C30F0D" w14:textId="77777777" w:rsidR="0079201D" w:rsidRPr="00540A2E" w:rsidRDefault="0079201D" w:rsidP="0079201D">
      <w:pPr>
        <w:pStyle w:val="NormalHanging12a"/>
      </w:pPr>
      <w:r w:rsidRPr="00540A2E">
        <w:t>–</w:t>
      </w:r>
      <w:r w:rsidRPr="00540A2E">
        <w:tab/>
        <w:t>като взе предвид доклада на комисията по вътрешния пазар и защита на потребителите (A</w:t>
      </w:r>
      <w:r w:rsidRPr="00AA6E2F">
        <w:t>9</w:t>
      </w:r>
      <w:r w:rsidRPr="00540A2E">
        <w:t>-</w:t>
      </w:r>
      <w:r w:rsidRPr="00AA6E2F">
        <w:t>0245</w:t>
      </w:r>
      <w:r w:rsidRPr="00540A2E">
        <w:t>/</w:t>
      </w:r>
      <w:r w:rsidRPr="00AA6E2F">
        <w:t>2023</w:t>
      </w:r>
      <w:r w:rsidRPr="00540A2E">
        <w:t>),</w:t>
      </w:r>
    </w:p>
    <w:p w14:paraId="60251141" w14:textId="77777777" w:rsidR="0079201D" w:rsidRPr="00540A2E" w:rsidRDefault="0079201D" w:rsidP="0079201D">
      <w:pPr>
        <w:pStyle w:val="NormalHanging12a"/>
      </w:pPr>
      <w:r w:rsidRPr="00AA6E2F">
        <w:t>1</w:t>
      </w:r>
      <w:r w:rsidRPr="00540A2E">
        <w:t>.</w:t>
      </w:r>
      <w:r w:rsidRPr="00540A2E">
        <w:tab/>
        <w:t>приема изложената по-долу позиция на първо четене;</w:t>
      </w:r>
    </w:p>
    <w:p w14:paraId="0913D8E9" w14:textId="65900601" w:rsidR="0079201D" w:rsidRPr="00540A2E" w:rsidRDefault="0079201D" w:rsidP="0079201D">
      <w:pPr>
        <w:pStyle w:val="NormalHanging12a"/>
      </w:pPr>
      <w:r w:rsidRPr="00AA6E2F">
        <w:t>2</w:t>
      </w:r>
      <w:r w:rsidRPr="00540A2E">
        <w:t>.</w:t>
      </w:r>
      <w:r w:rsidRPr="00540A2E">
        <w:tab/>
        <w:t>приканва Комисията да се отнесе до него отново, в случай че замени своето предложение с друг текст</w:t>
      </w:r>
      <w:r w:rsidR="00561E9A">
        <w:t>,</w:t>
      </w:r>
      <w:r w:rsidRPr="00540A2E">
        <w:t xml:space="preserve"> внесе или възнамерява да внесе съществени промени в това предложение;</w:t>
      </w:r>
    </w:p>
    <w:p w14:paraId="59752481" w14:textId="77777777" w:rsidR="0079201D" w:rsidRPr="00540A2E" w:rsidRDefault="0079201D" w:rsidP="0079201D">
      <w:pPr>
        <w:pStyle w:val="NormalHanging12a"/>
      </w:pPr>
      <w:r w:rsidRPr="00AA6E2F">
        <w:t>3</w:t>
      </w:r>
      <w:r w:rsidRPr="00540A2E">
        <w:t>.</w:t>
      </w:r>
      <w:r w:rsidRPr="00540A2E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7E065C19" w14:textId="77777777" w:rsidR="00F71936" w:rsidRDefault="00F71936" w:rsidP="00AC68A9">
      <w:pPr>
        <w:pStyle w:val="AmNumberTabs"/>
        <w:sectPr w:rsidR="00F71936" w:rsidSect="00540A2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5083938" w14:textId="77777777" w:rsidR="00F71936" w:rsidRDefault="00F71936" w:rsidP="00F7193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31473F">
        <w:rPr>
          <w:rFonts w:eastAsia="Calibri"/>
          <w:b/>
          <w:bCs/>
          <w:color w:val="000000"/>
          <w:szCs w:val="24"/>
        </w:rPr>
        <w:lastRenderedPageBreak/>
        <w:t>P</w:t>
      </w:r>
      <w:r w:rsidRPr="00AA6E2F">
        <w:rPr>
          <w:rFonts w:eastAsia="Calibri"/>
          <w:b/>
          <w:bCs/>
          <w:color w:val="000000"/>
          <w:szCs w:val="24"/>
        </w:rPr>
        <w:t>9</w:t>
      </w:r>
      <w:r w:rsidRPr="0031473F">
        <w:rPr>
          <w:rFonts w:eastAsia="Calibri"/>
          <w:b/>
          <w:bCs/>
          <w:color w:val="000000"/>
          <w:szCs w:val="24"/>
        </w:rPr>
        <w:t>_TC</w:t>
      </w:r>
      <w:r w:rsidRPr="00AA6E2F">
        <w:rPr>
          <w:rFonts w:eastAsia="Calibri"/>
          <w:b/>
          <w:bCs/>
          <w:color w:val="000000"/>
          <w:szCs w:val="24"/>
        </w:rPr>
        <w:t>1</w:t>
      </w:r>
      <w:r w:rsidRPr="0031473F">
        <w:rPr>
          <w:rFonts w:eastAsia="Calibri"/>
          <w:b/>
          <w:bCs/>
          <w:color w:val="000000"/>
          <w:szCs w:val="24"/>
        </w:rPr>
        <w:t>-COD(</w:t>
      </w:r>
      <w:r w:rsidRPr="00AA6E2F">
        <w:rPr>
          <w:rFonts w:eastAsia="Calibri"/>
          <w:b/>
          <w:bCs/>
          <w:color w:val="000000"/>
          <w:szCs w:val="24"/>
        </w:rPr>
        <w:t>2022</w:t>
      </w:r>
      <w:r w:rsidRPr="0031473F">
        <w:rPr>
          <w:rFonts w:eastAsia="Calibri"/>
          <w:b/>
          <w:bCs/>
          <w:color w:val="000000"/>
          <w:szCs w:val="24"/>
        </w:rPr>
        <w:t>)</w:t>
      </w:r>
      <w:r w:rsidRPr="00AA6E2F">
        <w:rPr>
          <w:rFonts w:eastAsia="Calibri"/>
          <w:b/>
          <w:bCs/>
          <w:color w:val="000000"/>
          <w:szCs w:val="24"/>
        </w:rPr>
        <w:t>0280</w:t>
      </w:r>
    </w:p>
    <w:p w14:paraId="1D8FDCB3" w14:textId="3F1FADEA" w:rsidR="00426623" w:rsidRPr="001C2BB9" w:rsidRDefault="00F71936" w:rsidP="00426623">
      <w:pPr>
        <w:autoSpaceDE w:val="0"/>
        <w:autoSpaceDN w:val="0"/>
        <w:adjustRightInd w:val="0"/>
        <w:spacing w:after="240"/>
        <w:rPr>
          <w:b/>
          <w:szCs w:val="24"/>
          <w:lang w:eastAsia="en-US"/>
        </w:rPr>
      </w:pPr>
      <w:r w:rsidRPr="00900F1D">
        <w:rPr>
          <w:b/>
          <w:szCs w:val="24"/>
        </w:rPr>
        <w:t>Позиция на Европейския парламе</w:t>
      </w:r>
      <w:r w:rsidRPr="00F71936">
        <w:rPr>
          <w:b/>
          <w:szCs w:val="24"/>
        </w:rPr>
        <w:t xml:space="preserve">нт, приета на първо четене на </w:t>
      </w:r>
      <w:r w:rsidRPr="00AA6E2F">
        <w:rPr>
          <w:b/>
          <w:szCs w:val="24"/>
        </w:rPr>
        <w:t>24</w:t>
      </w:r>
      <w:r>
        <w:rPr>
          <w:b/>
          <w:szCs w:val="24"/>
        </w:rPr>
        <w:t xml:space="preserve"> април</w:t>
      </w:r>
      <w:r w:rsidRPr="00F71936">
        <w:rPr>
          <w:b/>
          <w:szCs w:val="24"/>
        </w:rPr>
        <w:t xml:space="preserve"> </w:t>
      </w:r>
      <w:r w:rsidRPr="00AA6E2F">
        <w:rPr>
          <w:b/>
          <w:szCs w:val="24"/>
        </w:rPr>
        <w:t>2024</w:t>
      </w:r>
      <w:r w:rsidRPr="00F71936">
        <w:rPr>
          <w:b/>
          <w:szCs w:val="24"/>
        </w:rPr>
        <w:t xml:space="preserve"> г. с оглед на приемането на Директива (ЕС) </w:t>
      </w:r>
      <w:r w:rsidRPr="00AA6E2F">
        <w:rPr>
          <w:b/>
          <w:szCs w:val="24"/>
        </w:rPr>
        <w:t>2024</w:t>
      </w:r>
      <w:r w:rsidRPr="00F71936">
        <w:rPr>
          <w:b/>
          <w:szCs w:val="24"/>
        </w:rPr>
        <w:t>/... на Ев</w:t>
      </w:r>
      <w:r w:rsidRPr="00900F1D">
        <w:rPr>
          <w:b/>
          <w:szCs w:val="24"/>
        </w:rPr>
        <w:t xml:space="preserve">ропейския парламент и на Съвета </w:t>
      </w:r>
      <w:r w:rsidR="00426623" w:rsidRPr="00426623">
        <w:rPr>
          <w:b/>
          <w:szCs w:val="24"/>
          <w:lang w:eastAsia="en-US"/>
        </w:rPr>
        <w:t xml:space="preserve">за </w:t>
      </w:r>
      <w:r w:rsidR="00426623" w:rsidRPr="001C2BB9">
        <w:rPr>
          <w:b/>
          <w:szCs w:val="24"/>
          <w:lang w:eastAsia="en-US"/>
        </w:rPr>
        <w:t>изменение на директиви 2000/14/EО, 2006/42/EО, 2010/3</w:t>
      </w:r>
      <w:r w:rsidR="001C2BB9" w:rsidRPr="001C2BB9">
        <w:rPr>
          <w:b/>
          <w:szCs w:val="24"/>
          <w:lang w:eastAsia="en-US"/>
        </w:rPr>
        <w:t xml:space="preserve">5/EС, 2014/29/EС, 2014/30/EС, </w:t>
      </w:r>
      <w:r w:rsidR="00426623" w:rsidRPr="001C2BB9">
        <w:rPr>
          <w:b/>
          <w:szCs w:val="24"/>
          <w:lang w:eastAsia="en-US"/>
        </w:rPr>
        <w:t>2014/33/EС, 2014/34/EС, 2014/35/EС, 2014/53/EС и 2014/68/EС по отношение на процедурите при извънредни ситуации за оценяване на съответствието, презумпцията за съответствие, приемането на общи спецификации и надзора на пазара поради извънредна ситуация на вътрешния пазар</w:t>
      </w:r>
    </w:p>
    <w:p w14:paraId="5185C19D" w14:textId="606ACDE3" w:rsidR="001C2BB9" w:rsidRDefault="001C2BB9" w:rsidP="001C2BB9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 xml:space="preserve">Тъй като беше постигнато споразумение между Парламента и </w:t>
      </w:r>
      <w:r w:rsidRPr="001C2BB9">
        <w:rPr>
          <w:i/>
        </w:rPr>
        <w:t xml:space="preserve">Съвета, позицията на Парламента съответства на окончателния законодателен акт, Директива (ЕС) </w:t>
      </w:r>
      <w:r w:rsidRPr="001C2BB9">
        <w:rPr>
          <w:i/>
          <w:lang w:val="fr-FR"/>
        </w:rPr>
        <w:t>202</w:t>
      </w:r>
      <w:r w:rsidRPr="001C2BB9">
        <w:rPr>
          <w:i/>
        </w:rPr>
        <w:t>4</w:t>
      </w:r>
      <w:r w:rsidRPr="001C2BB9">
        <w:rPr>
          <w:i/>
        </w:rPr>
        <w:t>/2749</w:t>
      </w:r>
      <w:r w:rsidRPr="001C2BB9">
        <w:rPr>
          <w:i/>
        </w:rPr>
        <w:t>.)</w:t>
      </w:r>
      <w:bookmarkStart w:id="8" w:name="_GoBack"/>
      <w:bookmarkEnd w:id="8"/>
    </w:p>
    <w:p w14:paraId="13618C90" w14:textId="77777777" w:rsidR="001C2BB9" w:rsidRDefault="001C2BB9" w:rsidP="001C2BB9">
      <w:pPr>
        <w:rPr>
          <w:i/>
        </w:rPr>
      </w:pPr>
    </w:p>
    <w:p w14:paraId="0A111E73" w14:textId="4DC9CB36" w:rsidR="001C2BB9" w:rsidRPr="0031473F" w:rsidRDefault="001C2BB9" w:rsidP="001C2BB9">
      <w:pPr>
        <w:widowControl/>
        <w:spacing w:line="360" w:lineRule="auto"/>
        <w:rPr>
          <w:rFonts w:eastAsia="Calibri"/>
          <w:b/>
          <w:bCs/>
          <w:color w:val="000000"/>
          <w:szCs w:val="24"/>
        </w:rPr>
      </w:pPr>
    </w:p>
    <w:sectPr w:rsidR="001C2BB9" w:rsidRPr="0031473F" w:rsidSect="00F7193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1A8C98" w14:textId="77777777" w:rsidR="00F71936" w:rsidRPr="00540A2E" w:rsidRDefault="00F71936">
      <w:r w:rsidRPr="00540A2E">
        <w:separator/>
      </w:r>
    </w:p>
  </w:endnote>
  <w:endnote w:type="continuationSeparator" w:id="0">
    <w:p w14:paraId="5BEF050A" w14:textId="77777777" w:rsidR="00F71936" w:rsidRPr="00540A2E" w:rsidRDefault="00F71936">
      <w:r w:rsidRPr="00540A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89D7E7" w14:textId="77777777" w:rsidR="00F71936" w:rsidRPr="00540A2E" w:rsidRDefault="00F7193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E77B16" w14:textId="77777777" w:rsidR="00F71936" w:rsidRPr="00540A2E" w:rsidRDefault="00F7193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5AE4A7" w14:textId="77777777" w:rsidR="00F71936" w:rsidRPr="00540A2E" w:rsidRDefault="00F7193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AC7F8C" w14:textId="77777777" w:rsidR="00F71936" w:rsidRPr="00540A2E" w:rsidRDefault="00F71936">
      <w:r w:rsidRPr="00540A2E">
        <w:separator/>
      </w:r>
    </w:p>
  </w:footnote>
  <w:footnote w:type="continuationSeparator" w:id="0">
    <w:p w14:paraId="730345E7" w14:textId="77777777" w:rsidR="00F71936" w:rsidRPr="00540A2E" w:rsidRDefault="00F71936">
      <w:r w:rsidRPr="00540A2E">
        <w:continuationSeparator/>
      </w:r>
    </w:p>
  </w:footnote>
  <w:footnote w:id="1">
    <w:p w14:paraId="130A0A3F" w14:textId="77777777" w:rsidR="00F71936" w:rsidRPr="00F71936" w:rsidRDefault="00F71936" w:rsidP="00F71936">
      <w:pPr>
        <w:pStyle w:val="FootnoteText"/>
        <w:ind w:left="851" w:hanging="851"/>
        <w:rPr>
          <w:sz w:val="24"/>
          <w:szCs w:val="24"/>
          <w:lang w:val="bg-BG"/>
        </w:rPr>
      </w:pPr>
      <w:r w:rsidRPr="00F71936">
        <w:rPr>
          <w:rStyle w:val="FootnoteReference"/>
          <w:sz w:val="24"/>
          <w:szCs w:val="24"/>
          <w:lang w:val="bg-BG"/>
        </w:rPr>
        <w:footnoteRef/>
      </w:r>
      <w:r w:rsidRPr="00F71936">
        <w:rPr>
          <w:sz w:val="24"/>
          <w:szCs w:val="24"/>
          <w:lang w:val="bg-BG"/>
        </w:rPr>
        <w:t xml:space="preserve"> </w:t>
      </w:r>
      <w:r w:rsidRPr="00F71936">
        <w:rPr>
          <w:sz w:val="24"/>
          <w:szCs w:val="24"/>
          <w:lang w:val="bg-BG"/>
        </w:rPr>
        <w:tab/>
        <w:t>ОВ C </w:t>
      </w:r>
      <w:r w:rsidRPr="00AA6E2F">
        <w:rPr>
          <w:sz w:val="24"/>
          <w:szCs w:val="24"/>
          <w:lang w:val="bg-BG"/>
        </w:rPr>
        <w:t>100</w:t>
      </w:r>
      <w:r w:rsidRPr="00F71936">
        <w:rPr>
          <w:sz w:val="24"/>
          <w:szCs w:val="24"/>
          <w:lang w:val="bg-BG"/>
        </w:rPr>
        <w:t xml:space="preserve">, </w:t>
      </w:r>
      <w:r w:rsidRPr="00AA6E2F">
        <w:rPr>
          <w:sz w:val="24"/>
          <w:szCs w:val="24"/>
          <w:lang w:val="bg-BG"/>
        </w:rPr>
        <w:t>16</w:t>
      </w:r>
      <w:r w:rsidRPr="00F71936">
        <w:rPr>
          <w:sz w:val="24"/>
          <w:szCs w:val="24"/>
          <w:lang w:val="bg-BG"/>
        </w:rPr>
        <w:t>.</w:t>
      </w:r>
      <w:r w:rsidRPr="00AA6E2F">
        <w:rPr>
          <w:sz w:val="24"/>
          <w:szCs w:val="24"/>
          <w:lang w:val="bg-BG"/>
        </w:rPr>
        <w:t>3</w:t>
      </w:r>
      <w:r w:rsidRPr="00F71936">
        <w:rPr>
          <w:sz w:val="24"/>
          <w:szCs w:val="24"/>
          <w:lang w:val="bg-BG"/>
        </w:rPr>
        <w:t>.</w:t>
      </w:r>
      <w:r w:rsidRPr="00AA6E2F">
        <w:rPr>
          <w:sz w:val="24"/>
          <w:szCs w:val="24"/>
          <w:lang w:val="bg-BG"/>
        </w:rPr>
        <w:t>2023</w:t>
      </w:r>
      <w:r w:rsidRPr="00F71936">
        <w:rPr>
          <w:sz w:val="24"/>
          <w:szCs w:val="24"/>
          <w:lang w:val="bg-BG"/>
        </w:rPr>
        <w:t> г., стр. </w:t>
      </w:r>
      <w:r w:rsidRPr="00AA6E2F">
        <w:rPr>
          <w:sz w:val="24"/>
          <w:szCs w:val="24"/>
          <w:lang w:val="bg-BG"/>
        </w:rPr>
        <w:t>95</w:t>
      </w:r>
      <w:r w:rsidRPr="00F71936">
        <w:rPr>
          <w:sz w:val="24"/>
          <w:szCs w:val="24"/>
          <w:lang w:val="bg-BG"/>
        </w:rPr>
        <w:t>.</w:t>
      </w:r>
    </w:p>
  </w:footnote>
  <w:footnote w:id="2">
    <w:p w14:paraId="0337CADD" w14:textId="77777777" w:rsidR="00F71936" w:rsidRPr="00F71936" w:rsidRDefault="00F71936" w:rsidP="00F71936">
      <w:pPr>
        <w:pStyle w:val="FootnoteText"/>
        <w:ind w:left="851" w:hanging="851"/>
        <w:rPr>
          <w:sz w:val="24"/>
          <w:szCs w:val="24"/>
          <w:lang w:val="bg-BG"/>
        </w:rPr>
      </w:pPr>
      <w:r w:rsidRPr="00F71936">
        <w:rPr>
          <w:rStyle w:val="FootnoteReference"/>
          <w:sz w:val="24"/>
          <w:szCs w:val="24"/>
          <w:lang w:val="bg-BG"/>
        </w:rPr>
        <w:footnoteRef/>
      </w:r>
      <w:r w:rsidRPr="00F71936">
        <w:rPr>
          <w:sz w:val="24"/>
          <w:szCs w:val="24"/>
          <w:lang w:val="bg-BG"/>
        </w:rPr>
        <w:t xml:space="preserve"> </w:t>
      </w:r>
      <w:r w:rsidRPr="00F71936">
        <w:rPr>
          <w:sz w:val="24"/>
          <w:szCs w:val="24"/>
          <w:lang w:val="bg-BG"/>
        </w:rPr>
        <w:tab/>
        <w:t>ОВ С </w:t>
      </w:r>
      <w:r w:rsidRPr="00AA6E2F">
        <w:rPr>
          <w:sz w:val="24"/>
          <w:szCs w:val="24"/>
          <w:lang w:val="bg-BG"/>
        </w:rPr>
        <w:t>157</w:t>
      </w:r>
      <w:r w:rsidRPr="00F71936">
        <w:rPr>
          <w:sz w:val="24"/>
          <w:szCs w:val="24"/>
          <w:lang w:val="bg-BG"/>
        </w:rPr>
        <w:t xml:space="preserve">, </w:t>
      </w:r>
      <w:r w:rsidRPr="00AA6E2F">
        <w:rPr>
          <w:sz w:val="24"/>
          <w:szCs w:val="24"/>
          <w:lang w:val="bg-BG"/>
        </w:rPr>
        <w:t>3</w:t>
      </w:r>
      <w:r w:rsidRPr="00F71936">
        <w:rPr>
          <w:sz w:val="24"/>
          <w:szCs w:val="24"/>
          <w:lang w:val="bg-BG"/>
        </w:rPr>
        <w:t>.</w:t>
      </w:r>
      <w:r w:rsidRPr="00AA6E2F">
        <w:rPr>
          <w:sz w:val="24"/>
          <w:szCs w:val="24"/>
          <w:lang w:val="bg-BG"/>
        </w:rPr>
        <w:t>5</w:t>
      </w:r>
      <w:r w:rsidRPr="00F71936">
        <w:rPr>
          <w:sz w:val="24"/>
          <w:szCs w:val="24"/>
          <w:lang w:val="bg-BG"/>
        </w:rPr>
        <w:t>.</w:t>
      </w:r>
      <w:r w:rsidRPr="00AA6E2F">
        <w:rPr>
          <w:sz w:val="24"/>
          <w:szCs w:val="24"/>
          <w:lang w:val="bg-BG"/>
        </w:rPr>
        <w:t>2023</w:t>
      </w:r>
      <w:r w:rsidRPr="00F71936">
        <w:rPr>
          <w:sz w:val="24"/>
          <w:szCs w:val="24"/>
          <w:lang w:val="bg-BG"/>
        </w:rPr>
        <w:t> г., стр. </w:t>
      </w:r>
      <w:r w:rsidRPr="00AA6E2F">
        <w:rPr>
          <w:sz w:val="24"/>
          <w:szCs w:val="24"/>
          <w:lang w:val="bg-BG"/>
        </w:rPr>
        <w:t>82</w:t>
      </w:r>
      <w:r w:rsidRPr="00F71936">
        <w:rPr>
          <w:sz w:val="24"/>
          <w:szCs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AA55D0" w14:textId="77777777" w:rsidR="00F71936" w:rsidRPr="00540A2E" w:rsidRDefault="00F7193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91A9EC" w14:textId="77777777" w:rsidR="00F71936" w:rsidRPr="00540A2E" w:rsidRDefault="00F7193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D014DB" w14:textId="77777777" w:rsidR="00F71936" w:rsidRPr="00540A2E" w:rsidRDefault="00F7193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5/2023"/>
    <w:docVar w:name="dvlangue" w:val="BG"/>
    <w:docVar w:name="dvnumam" w:val="328"/>
    <w:docVar w:name="dvpe" w:val="745.256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директива на Европейския парламент и на Съвета за изменение на директиви 2000/14/ЕО, 2006/42/ЕО, 2010/35/ЕС, 2013/29/ЕС, 2014/28/ЕС, 2014/29/ЕС, 2014/30/ЕС, 2014/31/ЕС, 2014/32/ЕС, 2014/33/ЕС, 2014/34/ЕС, 2014/35/ЕС, 2014/53/ЕС и 2014/68/ЕС по отношение на спешните процедури за оценяване на съответствието, приемане на общи спецификации и надзор на пазара поради извънредна ситуация в рамките на единния пазар(COM(2022)0462 – C9-0313/2022 – 2022/0280(COD))"/>
  </w:docVars>
  <w:rsids>
    <w:rsidRoot w:val="00091082"/>
    <w:rsid w:val="00002272"/>
    <w:rsid w:val="00064002"/>
    <w:rsid w:val="000677B9"/>
    <w:rsid w:val="00072B9B"/>
    <w:rsid w:val="000831BA"/>
    <w:rsid w:val="00091082"/>
    <w:rsid w:val="000A42CC"/>
    <w:rsid w:val="000E7DD9"/>
    <w:rsid w:val="0010095E"/>
    <w:rsid w:val="00125B37"/>
    <w:rsid w:val="00187494"/>
    <w:rsid w:val="001C2BB9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6623"/>
    <w:rsid w:val="00471C19"/>
    <w:rsid w:val="004867E3"/>
    <w:rsid w:val="00494A28"/>
    <w:rsid w:val="004C0004"/>
    <w:rsid w:val="004C5D52"/>
    <w:rsid w:val="0050519A"/>
    <w:rsid w:val="005072A1"/>
    <w:rsid w:val="00514517"/>
    <w:rsid w:val="00540A2E"/>
    <w:rsid w:val="00545827"/>
    <w:rsid w:val="00560270"/>
    <w:rsid w:val="00561E9A"/>
    <w:rsid w:val="005C2568"/>
    <w:rsid w:val="006037C0"/>
    <w:rsid w:val="006631B6"/>
    <w:rsid w:val="00680577"/>
    <w:rsid w:val="006E098E"/>
    <w:rsid w:val="006F74FA"/>
    <w:rsid w:val="00731ADD"/>
    <w:rsid w:val="00734777"/>
    <w:rsid w:val="00747932"/>
    <w:rsid w:val="00751A4A"/>
    <w:rsid w:val="00756632"/>
    <w:rsid w:val="00762C74"/>
    <w:rsid w:val="00786EC0"/>
    <w:rsid w:val="0079201D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6E2F"/>
    <w:rsid w:val="00AB441E"/>
    <w:rsid w:val="00AB6293"/>
    <w:rsid w:val="00AC68A9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36FF"/>
    <w:rsid w:val="00F04346"/>
    <w:rsid w:val="00F075DC"/>
    <w:rsid w:val="00F10522"/>
    <w:rsid w:val="00F149E9"/>
    <w:rsid w:val="00F5134D"/>
    <w:rsid w:val="00F71936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D0DC53"/>
  <w15:chartTrackingRefBased/>
  <w15:docId w15:val="{26CD8B33-EBDE-433C-B388-73D339B0E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79201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79201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79201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79201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79201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79201D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semiHidden/>
    <w:rsid w:val="0079201D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79201D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79201D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79201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9201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9201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9201D"/>
    <w:pPr>
      <w:spacing w:after="120"/>
    </w:pPr>
  </w:style>
  <w:style w:type="paragraph" w:customStyle="1" w:styleId="PageHeading">
    <w:name w:val="PageHeading"/>
    <w:basedOn w:val="Normal"/>
    <w:rsid w:val="0079201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9201D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79201D"/>
    <w:rPr>
      <w:b/>
      <w:sz w:val="24"/>
      <w:lang w:val="bg-BG"/>
    </w:rPr>
  </w:style>
  <w:style w:type="paragraph" w:customStyle="1" w:styleId="NormalBold12a">
    <w:name w:val="NormalBold12a"/>
    <w:basedOn w:val="Normal"/>
    <w:rsid w:val="0079201D"/>
    <w:pPr>
      <w:spacing w:after="240"/>
    </w:pPr>
    <w:rPr>
      <w:b/>
    </w:rPr>
  </w:style>
  <w:style w:type="paragraph" w:customStyle="1" w:styleId="AmJustText">
    <w:name w:val="AmJustText"/>
    <w:basedOn w:val="Normal"/>
    <w:rsid w:val="0079201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9201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9201D"/>
    <w:pPr>
      <w:spacing w:after="480"/>
      <w:ind w:left="1417"/>
    </w:pPr>
  </w:style>
  <w:style w:type="paragraph" w:customStyle="1" w:styleId="CoverNormal">
    <w:name w:val="CoverNormal"/>
    <w:basedOn w:val="Normal"/>
    <w:rsid w:val="0079201D"/>
    <w:pPr>
      <w:ind w:left="1418"/>
    </w:pPr>
  </w:style>
  <w:style w:type="paragraph" w:customStyle="1" w:styleId="AmCrossRef">
    <w:name w:val="AmCrossRef"/>
    <w:basedOn w:val="Normal"/>
    <w:rsid w:val="0079201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9201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9201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9201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9201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9201D"/>
    <w:pPr>
      <w:spacing w:before="240" w:after="1200"/>
    </w:pPr>
  </w:style>
  <w:style w:type="paragraph" w:styleId="Header">
    <w:name w:val="header"/>
    <w:basedOn w:val="Normal"/>
    <w:link w:val="HeaderChar"/>
    <w:rsid w:val="0079201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9201D"/>
    <w:rPr>
      <w:sz w:val="24"/>
      <w:lang w:val="bg-BG"/>
    </w:rPr>
  </w:style>
  <w:style w:type="paragraph" w:customStyle="1" w:styleId="AmOrLang">
    <w:name w:val="AmOrLang"/>
    <w:basedOn w:val="Normal"/>
    <w:rsid w:val="0079201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9201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79201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79201D"/>
    <w:pPr>
      <w:spacing w:before="240"/>
    </w:pPr>
    <w:rPr>
      <w:b/>
    </w:rPr>
  </w:style>
  <w:style w:type="paragraph" w:customStyle="1" w:styleId="EPBody">
    <w:name w:val="EPBody"/>
    <w:basedOn w:val="Normal"/>
    <w:rsid w:val="0079201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9201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9201D"/>
    <w:pPr>
      <w:spacing w:before="480" w:after="240"/>
    </w:pPr>
  </w:style>
  <w:style w:type="paragraph" w:customStyle="1" w:styleId="Lgendesigne">
    <w:name w:val="Légende signe"/>
    <w:basedOn w:val="Normal"/>
    <w:rsid w:val="0079201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9201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9201D"/>
    <w:rPr>
      <w:sz w:val="18"/>
    </w:rPr>
  </w:style>
  <w:style w:type="paragraph" w:styleId="BalloonText">
    <w:name w:val="Balloon Text"/>
    <w:basedOn w:val="Normal"/>
    <w:link w:val="BalloonTextChar"/>
    <w:unhideWhenUsed/>
    <w:rsid w:val="007920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9201D"/>
    <w:rPr>
      <w:rFonts w:ascii="Segoe UI" w:hAnsi="Segoe UI" w:cs="Segoe UI"/>
      <w:sz w:val="18"/>
      <w:szCs w:val="18"/>
      <w:lang w:val="bg-BG"/>
    </w:rPr>
  </w:style>
  <w:style w:type="character" w:customStyle="1" w:styleId="FooterChar">
    <w:name w:val="Footer Char"/>
    <w:basedOn w:val="DefaultParagraphFont"/>
    <w:link w:val="Footer"/>
    <w:rsid w:val="0079201D"/>
    <w:rPr>
      <w:sz w:val="22"/>
    </w:rPr>
  </w:style>
  <w:style w:type="paragraph" w:styleId="Footer">
    <w:name w:val="footer"/>
    <w:link w:val="FooterChar"/>
    <w:unhideWhenUsed/>
    <w:rsid w:val="0079201D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79201D"/>
    <w:rPr>
      <w:sz w:val="24"/>
      <w:lang w:val="bg-BG"/>
    </w:rPr>
  </w:style>
  <w:style w:type="character" w:customStyle="1" w:styleId="Normal12Char">
    <w:name w:val="Normal12 Char"/>
    <w:basedOn w:val="DefaultParagraphFont"/>
    <w:link w:val="Normal12"/>
    <w:locked/>
    <w:rsid w:val="0079201D"/>
    <w:rPr>
      <w:noProof/>
      <w:sz w:val="24"/>
    </w:rPr>
  </w:style>
  <w:style w:type="paragraph" w:customStyle="1" w:styleId="Normal12">
    <w:name w:val="Normal12"/>
    <w:basedOn w:val="Normal"/>
    <w:link w:val="Normal12Char"/>
    <w:rsid w:val="0079201D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79201D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79201D"/>
    <w:pPr>
      <w:spacing w:after="120"/>
    </w:pPr>
  </w:style>
  <w:style w:type="paragraph" w:customStyle="1" w:styleId="Normal12Italic">
    <w:name w:val="Normal12Italic"/>
    <w:basedOn w:val="Normal12"/>
    <w:rsid w:val="0079201D"/>
    <w:rPr>
      <w:i/>
    </w:rPr>
  </w:style>
  <w:style w:type="paragraph" w:customStyle="1" w:styleId="Footer2">
    <w:name w:val="Footer2"/>
    <w:basedOn w:val="Normal12"/>
    <w:rsid w:val="0079201D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79201D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79201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79201D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79201D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79201D"/>
    <w:pPr>
      <w:keepNext/>
      <w:spacing w:before="240" w:after="240"/>
      <w:jc w:val="center"/>
    </w:pPr>
    <w:rPr>
      <w:i/>
      <w:noProof/>
    </w:rPr>
  </w:style>
  <w:style w:type="character" w:styleId="CommentReference">
    <w:name w:val="annotation reference"/>
    <w:basedOn w:val="DefaultParagraphFont"/>
    <w:rsid w:val="0079201D"/>
    <w:rPr>
      <w:sz w:val="16"/>
      <w:szCs w:val="16"/>
    </w:rPr>
  </w:style>
  <w:style w:type="paragraph" w:styleId="CommentText">
    <w:name w:val="annotation text"/>
    <w:basedOn w:val="Normal"/>
    <w:link w:val="CommentTextChar"/>
    <w:rsid w:val="0079201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9201D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920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9201D"/>
    <w:rPr>
      <w:b/>
      <w:bCs/>
      <w:lang w:val="bg-BG"/>
    </w:rPr>
  </w:style>
  <w:style w:type="paragraph" w:styleId="Revision">
    <w:name w:val="Revision"/>
    <w:hidden/>
    <w:uiPriority w:val="99"/>
    <w:semiHidden/>
    <w:rsid w:val="0079201D"/>
    <w:rPr>
      <w:sz w:val="24"/>
      <w:lang w:val="bg-BG"/>
    </w:rPr>
  </w:style>
  <w:style w:type="character" w:customStyle="1" w:styleId="AmNumberTabsChar">
    <w:name w:val="AmNumberTabs Char"/>
    <w:basedOn w:val="DefaultParagraphFont"/>
    <w:link w:val="AmNumberTabs"/>
    <w:rsid w:val="0079201D"/>
    <w:rPr>
      <w:b/>
      <w:sz w:val="24"/>
      <w:lang w:val="bg-BG"/>
    </w:rPr>
  </w:style>
  <w:style w:type="character" w:customStyle="1" w:styleId="NormalBold12bChar">
    <w:name w:val="NormalBold12b Char"/>
    <w:basedOn w:val="AmNumberTabsChar"/>
    <w:link w:val="NormalBold12b"/>
    <w:rsid w:val="0079201D"/>
    <w:rPr>
      <w:b/>
      <w:sz w:val="24"/>
      <w:lang w:val="bg-BG"/>
    </w:rPr>
  </w:style>
  <w:style w:type="paragraph" w:customStyle="1" w:styleId="ManualNumPar1">
    <w:name w:val="Manual NumPar 1"/>
    <w:basedOn w:val="Normal"/>
    <w:next w:val="Normal"/>
    <w:rsid w:val="0079201D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styleId="Hyperlink">
    <w:name w:val="Hyperlink"/>
    <w:basedOn w:val="DefaultParagraphFont"/>
    <w:rsid w:val="0079201D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79201D"/>
    <w:pPr>
      <w:spacing w:after="240"/>
    </w:pPr>
  </w:style>
  <w:style w:type="paragraph" w:customStyle="1" w:styleId="RollCallVotes">
    <w:name w:val="RollCallVotes"/>
    <w:basedOn w:val="Normal"/>
    <w:rsid w:val="0079201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79201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79201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79201D"/>
    <w:pPr>
      <w:spacing w:before="120" w:after="120"/>
    </w:pPr>
    <w:rPr>
      <w:snapToGrid w:val="0"/>
      <w:sz w:val="16"/>
      <w:lang w:eastAsia="en-US"/>
    </w:rPr>
  </w:style>
  <w:style w:type="paragraph" w:customStyle="1" w:styleId="exemple">
    <w:name w:val="exemple"/>
    <w:basedOn w:val="Normal"/>
    <w:rsid w:val="0079201D"/>
    <w:pPr>
      <w:tabs>
        <w:tab w:val="left" w:pos="-1440"/>
        <w:tab w:val="left" w:pos="-720"/>
        <w:tab w:val="left" w:pos="0"/>
        <w:tab w:val="left" w:pos="336"/>
        <w:tab w:val="left" w:pos="720"/>
        <w:tab w:val="left" w:pos="1008"/>
        <w:tab w:val="left" w:pos="1440"/>
        <w:tab w:val="left" w:pos="177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uppressAutoHyphens/>
      <w:spacing w:before="20"/>
      <w:ind w:left="2041" w:hanging="340"/>
    </w:pPr>
    <w:rPr>
      <w:sz w:val="20"/>
      <w:lang w:eastAsia="fr-BE"/>
    </w:rPr>
  </w:style>
  <w:style w:type="paragraph" w:customStyle="1" w:styleId="AmDocTypeTab">
    <w:name w:val="AmDocTypeTab"/>
    <w:basedOn w:val="Normal"/>
    <w:rsid w:val="00F71936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F71936"/>
    <w:pPr>
      <w:spacing w:after="240"/>
      <w:jc w:val="center"/>
    </w:pPr>
  </w:style>
  <w:style w:type="paragraph" w:customStyle="1" w:styleId="AmDateTab">
    <w:name w:val="AmDateTab"/>
    <w:basedOn w:val="Normal"/>
    <w:rsid w:val="00F71936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F71936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F71936"/>
  </w:style>
  <w:style w:type="paragraph" w:customStyle="1" w:styleId="SignaturePersonne">
    <w:name w:val="Signature Personne"/>
    <w:basedOn w:val="Normal"/>
    <w:rsid w:val="00F71936"/>
    <w:pPr>
      <w:widowControl/>
      <w:tabs>
        <w:tab w:val="left" w:pos="4252"/>
      </w:tabs>
      <w:spacing w:line="360" w:lineRule="auto"/>
    </w:pPr>
    <w:rPr>
      <w:i/>
      <w:szCs w:val="24"/>
      <w:lang w:val="en-US" w:eastAsia="en-US"/>
    </w:rPr>
  </w:style>
  <w:style w:type="paragraph" w:customStyle="1" w:styleId="Considrant">
    <w:name w:val="Considérant"/>
    <w:basedOn w:val="Normal"/>
    <w:rsid w:val="00F71936"/>
    <w:pPr>
      <w:spacing w:before="120" w:after="120" w:line="360" w:lineRule="auto"/>
      <w:ind w:left="850" w:hanging="850"/>
    </w:pPr>
    <w:rPr>
      <w:szCs w:val="24"/>
      <w:lang w:val="en-US" w:eastAsia="en-US"/>
    </w:rPr>
  </w:style>
  <w:style w:type="paragraph" w:customStyle="1" w:styleId="Institutionquiagit">
    <w:name w:val="Institution qui agit"/>
    <w:basedOn w:val="Normal"/>
    <w:next w:val="Normal"/>
    <w:rsid w:val="00F71936"/>
    <w:pPr>
      <w:keepNext/>
      <w:spacing w:before="600" w:after="120" w:line="360" w:lineRule="auto"/>
    </w:pPr>
    <w:rPr>
      <w:szCs w:val="24"/>
      <w:lang w:val="en-US" w:eastAsia="en-US"/>
    </w:rPr>
  </w:style>
  <w:style w:type="paragraph" w:customStyle="1" w:styleId="Institutionquisigne">
    <w:name w:val="Institution qui signe"/>
    <w:basedOn w:val="Normal"/>
    <w:next w:val="Normal"/>
    <w:rsid w:val="00F71936"/>
    <w:pPr>
      <w:keepNext/>
      <w:tabs>
        <w:tab w:val="left" w:pos="4252"/>
      </w:tabs>
      <w:spacing w:before="720" w:line="360" w:lineRule="auto"/>
    </w:pPr>
    <w:rPr>
      <w:i/>
      <w:szCs w:val="24"/>
      <w:lang w:val="en-US" w:eastAsia="en-US"/>
    </w:rPr>
  </w:style>
  <w:style w:type="paragraph" w:customStyle="1" w:styleId="Fait">
    <w:name w:val="Fait à"/>
    <w:basedOn w:val="Normal"/>
    <w:rsid w:val="00F71936"/>
    <w:pPr>
      <w:keepNext/>
      <w:widowControl/>
      <w:spacing w:before="120" w:line="360" w:lineRule="auto"/>
    </w:pPr>
    <w:rPr>
      <w:szCs w:val="24"/>
      <w:lang w:val="en-US" w:eastAsia="en-US"/>
    </w:rPr>
  </w:style>
  <w:style w:type="paragraph" w:customStyle="1" w:styleId="FootnoteTextForceStyle">
    <w:name w:val="Footnote Text ForceStyle"/>
    <w:rsid w:val="00F71936"/>
    <w:pPr>
      <w:keepLines/>
      <w:widowControl w:val="0"/>
      <w:ind w:left="850" w:hanging="850"/>
    </w:pPr>
    <w:rPr>
      <w:sz w:val="24"/>
      <w:lang w:val="en-US" w:eastAsia="en-US"/>
    </w:rPr>
  </w:style>
  <w:style w:type="paragraph" w:customStyle="1" w:styleId="Applicationdirecte">
    <w:name w:val="Application directe"/>
    <w:basedOn w:val="Normal"/>
    <w:next w:val="Normal"/>
    <w:rsid w:val="00F71936"/>
    <w:pPr>
      <w:spacing w:before="120" w:after="120" w:line="360" w:lineRule="auto"/>
    </w:pPr>
    <w:rPr>
      <w:szCs w:val="24"/>
      <w:lang w:val="en-US" w:eastAsia="en-US"/>
    </w:rPr>
  </w:style>
  <w:style w:type="paragraph" w:customStyle="1" w:styleId="Normale">
    <w:name w:val="Normale"/>
    <w:rsid w:val="00F71936"/>
    <w:pPr>
      <w:widowControl w:val="0"/>
      <w:spacing w:before="120" w:after="120" w:line="360" w:lineRule="auto"/>
    </w:pPr>
    <w:rPr>
      <w:sz w:val="24"/>
      <w:lang w:val="en-US" w:eastAsia="en-US"/>
    </w:rPr>
  </w:style>
  <w:style w:type="paragraph" w:customStyle="1" w:styleId="Formuledadoption">
    <w:name w:val="Formule d'adoption"/>
    <w:basedOn w:val="Normal"/>
    <w:next w:val="Normal"/>
    <w:rsid w:val="00F71936"/>
    <w:pPr>
      <w:keepNext/>
      <w:widowControl/>
      <w:spacing w:before="120" w:after="120" w:line="360" w:lineRule="auto"/>
    </w:pPr>
    <w:rPr>
      <w:szCs w:val="24"/>
      <w:lang w:val="en-US" w:eastAsia="en-US"/>
    </w:rPr>
  </w:style>
  <w:style w:type="paragraph" w:customStyle="1" w:styleId="Rfrenceinstitutionnelle">
    <w:name w:val="Référence institutionnelle"/>
    <w:basedOn w:val="Normal"/>
    <w:next w:val="Normal"/>
    <w:rsid w:val="00F71936"/>
    <w:pPr>
      <w:widowControl/>
      <w:spacing w:after="240" w:line="360" w:lineRule="auto"/>
      <w:ind w:left="5102"/>
    </w:pPr>
    <w:rPr>
      <w:szCs w:val="24"/>
      <w:lang w:val="en-US" w:eastAsia="en-US"/>
    </w:rPr>
  </w:style>
  <w:style w:type="paragraph" w:customStyle="1" w:styleId="Footer1">
    <w:name w:val="Footer1"/>
    <w:basedOn w:val="Normal"/>
    <w:rsid w:val="00F71936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val="en-US" w:eastAsia="en-US"/>
    </w:rPr>
  </w:style>
  <w:style w:type="paragraph" w:customStyle="1" w:styleId="SignatureInstitution">
    <w:name w:val="Signature Institution"/>
    <w:basedOn w:val="Normal"/>
    <w:rsid w:val="00F71936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val="en-US" w:eastAsia="en-US"/>
    </w:rPr>
  </w:style>
  <w:style w:type="paragraph" w:customStyle="1" w:styleId="Statut">
    <w:name w:val="Statut"/>
    <w:basedOn w:val="Normal"/>
    <w:next w:val="Normal"/>
    <w:rsid w:val="00F71936"/>
    <w:pPr>
      <w:widowControl/>
      <w:spacing w:before="840" w:line="360" w:lineRule="auto"/>
      <w:jc w:val="center"/>
    </w:pPr>
    <w:rPr>
      <w:szCs w:val="24"/>
      <w:lang w:val="en-US" w:eastAsia="en-US"/>
    </w:rPr>
  </w:style>
  <w:style w:type="paragraph" w:customStyle="1" w:styleId="Typedudocument">
    <w:name w:val="Type du document"/>
    <w:basedOn w:val="Normal"/>
    <w:next w:val="Normal"/>
    <w:rsid w:val="00F71936"/>
    <w:pPr>
      <w:widowControl/>
      <w:spacing w:before="360" w:line="360" w:lineRule="auto"/>
      <w:jc w:val="center"/>
    </w:pPr>
    <w:rPr>
      <w:b/>
      <w:szCs w:val="24"/>
      <w:lang w:val="en-US" w:eastAsia="en-US"/>
    </w:rPr>
  </w:style>
  <w:style w:type="paragraph" w:customStyle="1" w:styleId="Titreobjet">
    <w:name w:val="Titre objet"/>
    <w:basedOn w:val="Normal"/>
    <w:next w:val="Normal"/>
    <w:rsid w:val="00F71936"/>
    <w:pPr>
      <w:widowControl/>
      <w:spacing w:before="360" w:after="360" w:line="360" w:lineRule="auto"/>
      <w:jc w:val="center"/>
    </w:pPr>
    <w:rPr>
      <w:b/>
      <w:szCs w:val="24"/>
      <w:lang w:val="en-US" w:eastAsia="en-US"/>
    </w:rPr>
  </w:style>
  <w:style w:type="paragraph" w:customStyle="1" w:styleId="IntrtEEE">
    <w:name w:val="Intérêt EEE"/>
    <w:basedOn w:val="Normal"/>
    <w:next w:val="Normal"/>
    <w:rsid w:val="00F71936"/>
    <w:pPr>
      <w:widowControl/>
      <w:spacing w:before="360" w:after="240" w:line="360" w:lineRule="auto"/>
      <w:jc w:val="center"/>
    </w:pPr>
    <w:rPr>
      <w:szCs w:val="24"/>
      <w:lang w:val="en-US" w:eastAsia="en-US"/>
    </w:rPr>
  </w:style>
  <w:style w:type="character" w:customStyle="1" w:styleId="Hyperlink1">
    <w:name w:val="Hyperlink1"/>
    <w:basedOn w:val="DefaultParagraphFont"/>
    <w:unhideWhenUsed/>
    <w:rsid w:val="00F71936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71936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F71936"/>
    <w:rPr>
      <w:color w:val="800080"/>
      <w:u w:val="single"/>
    </w:rPr>
  </w:style>
  <w:style w:type="character" w:styleId="FollowedHyperlink">
    <w:name w:val="FollowedHyperlink"/>
    <w:basedOn w:val="DefaultParagraphFont"/>
    <w:rsid w:val="00F71936"/>
    <w:rPr>
      <w:color w:val="954F72" w:themeColor="followedHyperlink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F71936"/>
  </w:style>
  <w:style w:type="paragraph" w:customStyle="1" w:styleId="HeadingDocType24a">
    <w:name w:val="HeadingDocType24a"/>
    <w:basedOn w:val="Normal"/>
    <w:rsid w:val="00426623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426623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426623"/>
    <w:pPr>
      <w:jc w:val="center"/>
    </w:pPr>
  </w:style>
  <w:style w:type="paragraph" w:customStyle="1" w:styleId="Normal24a">
    <w:name w:val="Normal24a"/>
    <w:basedOn w:val="Normal"/>
    <w:rsid w:val="00426623"/>
    <w:pPr>
      <w:spacing w:after="480"/>
    </w:pPr>
  </w:style>
  <w:style w:type="paragraph" w:customStyle="1" w:styleId="LineSingle">
    <w:name w:val="LineSingle"/>
    <w:basedOn w:val="Normal"/>
    <w:next w:val="Normal"/>
    <w:rsid w:val="00426623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426623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66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8B5340-A7D6-4D99-B08D-8B314DEDE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Maria Minkova</cp:lastModifiedBy>
  <cp:revision>2</cp:revision>
  <cp:lastPrinted>2004-11-19T15:42:00Z</cp:lastPrinted>
  <dcterms:created xsi:type="dcterms:W3CDTF">2025-03-13T10:17:00Z</dcterms:created>
  <dcterms:modified xsi:type="dcterms:W3CDTF">2025-03-13T10:17:00Z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P9_TA(2024)0322_</vt:lpwstr>
  </property>
  <property fmtid="{D5CDD505-2E9C-101B-9397-08002B2CF9AE}" pid="4" name="&lt;Type&gt;">
    <vt:lpwstr>RR</vt:lpwstr>
  </property>
</Properties>
</file>