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6D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6D36" w:rsidRDefault="009F57B8" w:rsidP="0010095E">
            <w:pPr>
              <w:pStyle w:val="EPName"/>
            </w:pPr>
            <w:r w:rsidRPr="002F6D36">
              <w:t>Europäisches Parlament</w:t>
            </w:r>
          </w:p>
          <w:p w:rsidR="00751A4A" w:rsidRPr="002F6D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4BED">
              <w:t>2019</w:t>
            </w:r>
            <w:r w:rsidRPr="002F6D36">
              <w:t>-</w:t>
            </w:r>
            <w:r w:rsidRPr="00F54BE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F6D36" w:rsidRDefault="00187494" w:rsidP="0010095E">
            <w:pPr>
              <w:pStyle w:val="EPLogo"/>
            </w:pPr>
            <w:r w:rsidRPr="002F6D3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6D36" w:rsidRDefault="00D058B8" w:rsidP="004C5D52">
      <w:pPr>
        <w:pStyle w:val="LineTop"/>
      </w:pPr>
    </w:p>
    <w:p w:rsidR="00680577" w:rsidRPr="002F6D36" w:rsidRDefault="009F57B8" w:rsidP="00680577">
      <w:pPr>
        <w:pStyle w:val="EPBodyTA1"/>
      </w:pPr>
      <w:r w:rsidRPr="002F6D36">
        <w:t>ANGENOMMENE TEXTE</w:t>
      </w:r>
    </w:p>
    <w:p w:rsidR="00D058B8" w:rsidRPr="002F6D36" w:rsidRDefault="00D058B8" w:rsidP="00D058B8">
      <w:pPr>
        <w:pStyle w:val="LineBottom"/>
      </w:pPr>
    </w:p>
    <w:p w:rsidR="009F57B8" w:rsidRPr="00616E0A" w:rsidRDefault="009F57B8" w:rsidP="009F57B8">
      <w:pPr>
        <w:pStyle w:val="ATHeading1"/>
      </w:pPr>
      <w:bookmarkStart w:id="0" w:name="TANumber"/>
      <w:r w:rsidRPr="00616E0A">
        <w:t>P</w:t>
      </w:r>
      <w:r w:rsidRPr="00F54BED">
        <w:t>9</w:t>
      </w:r>
      <w:r w:rsidRPr="00616E0A">
        <w:t>_TA(</w:t>
      </w:r>
      <w:r w:rsidRPr="00F54BED">
        <w:t>2024</w:t>
      </w:r>
      <w:r w:rsidRPr="00616E0A">
        <w:t>)</w:t>
      </w:r>
      <w:r w:rsidRPr="00F54BED">
        <w:t>0</w:t>
      </w:r>
      <w:bookmarkEnd w:id="0"/>
      <w:r w:rsidR="00616E0A" w:rsidRPr="00F54BED">
        <w:t>322</w:t>
      </w:r>
    </w:p>
    <w:p w:rsidR="009F57B8" w:rsidRPr="00616E0A" w:rsidRDefault="009F57B8" w:rsidP="009F57B8">
      <w:pPr>
        <w:pStyle w:val="ATHeading2"/>
      </w:pPr>
      <w:bookmarkStart w:id="1" w:name="title"/>
      <w:r w:rsidRPr="00616E0A">
        <w:t>Änderung bestimmter Richtlinien im Hinblick auf die Schaffung des Notfallinstruments für den Binnenmarkt</w:t>
      </w:r>
      <w:bookmarkEnd w:id="1"/>
    </w:p>
    <w:p w:rsidR="009F57B8" w:rsidRPr="00616E0A" w:rsidRDefault="009F57B8" w:rsidP="009F57B8">
      <w:pPr>
        <w:rPr>
          <w:i/>
          <w:vanish/>
        </w:rPr>
      </w:pPr>
      <w:r w:rsidRPr="00616E0A">
        <w:rPr>
          <w:i/>
        </w:rPr>
        <w:fldChar w:fldCharType="begin"/>
      </w:r>
      <w:r w:rsidRPr="00616E0A">
        <w:rPr>
          <w:i/>
        </w:rPr>
        <w:instrText xml:space="preserve"> TC"(</w:instrText>
      </w:r>
      <w:bookmarkStart w:id="2" w:name="DocNumber"/>
      <w:r w:rsidRPr="00616E0A">
        <w:rPr>
          <w:i/>
        </w:rPr>
        <w:instrText>A</w:instrText>
      </w:r>
      <w:r w:rsidRPr="00F54BED">
        <w:rPr>
          <w:i/>
        </w:rPr>
        <w:instrText>9</w:instrText>
      </w:r>
      <w:r w:rsidRPr="00616E0A">
        <w:rPr>
          <w:i/>
        </w:rPr>
        <w:instrText>-</w:instrText>
      </w:r>
      <w:r w:rsidRPr="00F54BED">
        <w:rPr>
          <w:i/>
        </w:rPr>
        <w:instrText>0245</w:instrText>
      </w:r>
      <w:r w:rsidRPr="00616E0A">
        <w:rPr>
          <w:i/>
        </w:rPr>
        <w:instrText>/</w:instrText>
      </w:r>
      <w:r w:rsidRPr="00F54BED">
        <w:rPr>
          <w:i/>
        </w:rPr>
        <w:instrText>2023</w:instrText>
      </w:r>
      <w:bookmarkEnd w:id="2"/>
      <w:r w:rsidRPr="00616E0A">
        <w:rPr>
          <w:i/>
        </w:rPr>
        <w:instrText xml:space="preserve"> - Berichterstatter: Andreas Schwab)"\l</w:instrText>
      </w:r>
      <w:r w:rsidRPr="00F54BED">
        <w:rPr>
          <w:i/>
        </w:rPr>
        <w:instrText>3</w:instrText>
      </w:r>
      <w:r w:rsidRPr="00616E0A">
        <w:rPr>
          <w:i/>
        </w:rPr>
        <w:instrText xml:space="preserve"> \n&gt; \* MERGEFORMAT </w:instrText>
      </w:r>
      <w:r w:rsidRPr="00616E0A">
        <w:rPr>
          <w:i/>
        </w:rPr>
        <w:fldChar w:fldCharType="end"/>
      </w:r>
    </w:p>
    <w:p w:rsidR="009F57B8" w:rsidRPr="00616E0A" w:rsidRDefault="009F57B8" w:rsidP="009F57B8">
      <w:pPr>
        <w:rPr>
          <w:vanish/>
        </w:rPr>
      </w:pPr>
      <w:bookmarkStart w:id="3" w:name="Commission"/>
      <w:r w:rsidRPr="00616E0A">
        <w:rPr>
          <w:vanish/>
        </w:rPr>
        <w:t>Ausschuss für Binnenmarkt und Verbraucherschutz</w:t>
      </w:r>
      <w:bookmarkEnd w:id="3"/>
    </w:p>
    <w:p w:rsidR="009F57B8" w:rsidRPr="00616E0A" w:rsidRDefault="009F57B8" w:rsidP="009F57B8">
      <w:pPr>
        <w:rPr>
          <w:vanish/>
        </w:rPr>
      </w:pPr>
      <w:bookmarkStart w:id="4" w:name="PE"/>
      <w:r w:rsidRPr="00616E0A">
        <w:rPr>
          <w:vanish/>
        </w:rPr>
        <w:t>PE</w:t>
      </w:r>
      <w:r w:rsidRPr="00F54BED">
        <w:rPr>
          <w:vanish/>
        </w:rPr>
        <w:t>745</w:t>
      </w:r>
      <w:r w:rsidRPr="00616E0A">
        <w:rPr>
          <w:vanish/>
        </w:rPr>
        <w:t>.</w:t>
      </w:r>
      <w:r w:rsidRPr="00F54BED">
        <w:rPr>
          <w:vanish/>
        </w:rPr>
        <w:t>256</w:t>
      </w:r>
      <w:bookmarkEnd w:id="4"/>
    </w:p>
    <w:p w:rsidR="009F57B8" w:rsidRDefault="009F57B8" w:rsidP="009F57B8">
      <w:pPr>
        <w:pStyle w:val="ATHeading3"/>
      </w:pPr>
      <w:bookmarkStart w:id="5" w:name="Sujet"/>
      <w:r w:rsidRPr="00616E0A">
        <w:t xml:space="preserve">Legislative Entschließung des Europäischen Parlaments vom </w:t>
      </w:r>
      <w:r w:rsidR="007703A8" w:rsidRPr="00F54BED">
        <w:t>24</w:t>
      </w:r>
      <w:r w:rsidRPr="00616E0A">
        <w:t xml:space="preserve">. </w:t>
      </w:r>
      <w:r w:rsidR="003C3D80" w:rsidRPr="00616E0A">
        <w:t>April</w:t>
      </w:r>
      <w:r w:rsidRPr="00616E0A">
        <w:t xml:space="preserve"> </w:t>
      </w:r>
      <w:r w:rsidRPr="00F54BED">
        <w:t>2024</w:t>
      </w:r>
      <w:r w:rsidRPr="00616E0A">
        <w:t xml:space="preserve"> </w:t>
      </w:r>
      <w:r w:rsidR="003C3D80" w:rsidRPr="00616E0A">
        <w:t>zu dem</w:t>
      </w:r>
      <w:r w:rsidRPr="00616E0A">
        <w:t xml:space="preserve"> Vorschlag für eine Richtlinie des Europäischen Parlaments und des Rates zur Änderung der Richtlinien </w:t>
      </w:r>
      <w:r w:rsidRPr="00F54BED">
        <w:t>2000</w:t>
      </w:r>
      <w:r w:rsidRPr="00616E0A">
        <w:t>/</w:t>
      </w:r>
      <w:r w:rsidRPr="00F54BED">
        <w:t>14</w:t>
      </w:r>
      <w:r w:rsidRPr="00616E0A">
        <w:t xml:space="preserve">/EG, </w:t>
      </w:r>
      <w:r w:rsidRPr="00F54BED">
        <w:t>2006</w:t>
      </w:r>
      <w:r w:rsidRPr="00616E0A">
        <w:t>/</w:t>
      </w:r>
      <w:r w:rsidRPr="00F54BED">
        <w:t>42</w:t>
      </w:r>
      <w:r w:rsidRPr="00616E0A">
        <w:t xml:space="preserve">/EG, </w:t>
      </w:r>
      <w:r w:rsidRPr="00F54BED">
        <w:t>2010</w:t>
      </w:r>
      <w:r w:rsidRPr="00616E0A">
        <w:t>/</w:t>
      </w:r>
      <w:r w:rsidRPr="00F54BED">
        <w:t>35</w:t>
      </w:r>
      <w:r w:rsidRPr="00616E0A">
        <w:t xml:space="preserve">/EU, </w:t>
      </w:r>
      <w:r w:rsidRPr="00F54BED">
        <w:t>2013</w:t>
      </w:r>
      <w:r w:rsidRPr="00616E0A">
        <w:t>/</w:t>
      </w:r>
      <w:r w:rsidRPr="00F54BED">
        <w:t>29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28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29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30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31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32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33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34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35</w:t>
      </w:r>
      <w:r w:rsidRPr="00616E0A">
        <w:t xml:space="preserve">/EU, </w:t>
      </w:r>
      <w:r w:rsidRPr="00F54BED">
        <w:t>2014</w:t>
      </w:r>
      <w:r w:rsidRPr="00616E0A">
        <w:t>/</w:t>
      </w:r>
      <w:r w:rsidRPr="00F54BED">
        <w:t>53</w:t>
      </w:r>
      <w:r w:rsidRPr="00616E0A">
        <w:t xml:space="preserve">/EU und </w:t>
      </w:r>
      <w:r w:rsidRPr="00F54BED">
        <w:t>2014</w:t>
      </w:r>
      <w:r w:rsidRPr="00616E0A">
        <w:t>/</w:t>
      </w:r>
      <w:r w:rsidRPr="00F54BED">
        <w:t>68</w:t>
      </w:r>
      <w:r w:rsidRPr="00616E0A">
        <w:t>/EU in Bezug auf Notfallverfahren für die Konformitätsbewertung, die Annahme gemeinsamer Spezifikationen und die Marktüberwachung aufgrund eines Binnenmarkt-Notfalls</w:t>
      </w:r>
      <w:bookmarkEnd w:id="5"/>
      <w:r w:rsidRPr="00616E0A">
        <w:t xml:space="preserve"> </w:t>
      </w:r>
      <w:bookmarkStart w:id="6" w:name="References"/>
      <w:r w:rsidRPr="00616E0A">
        <w:t>(COM(</w:t>
      </w:r>
      <w:r w:rsidRPr="00F54BED">
        <w:t>2022</w:t>
      </w:r>
      <w:r w:rsidRPr="00616E0A">
        <w:t>)</w:t>
      </w:r>
      <w:r w:rsidRPr="00F54BED">
        <w:t>0462</w:t>
      </w:r>
      <w:r w:rsidRPr="00616E0A">
        <w:t xml:space="preserve"> – C</w:t>
      </w:r>
      <w:r w:rsidRPr="00F54BED">
        <w:t>9</w:t>
      </w:r>
      <w:r w:rsidRPr="00616E0A">
        <w:t>-</w:t>
      </w:r>
      <w:r w:rsidRPr="00F54BED">
        <w:t>0313</w:t>
      </w:r>
      <w:r w:rsidRPr="00616E0A">
        <w:t>/</w:t>
      </w:r>
      <w:r w:rsidRPr="00F54BED">
        <w:t>2022</w:t>
      </w:r>
      <w:r w:rsidRPr="00616E0A">
        <w:t xml:space="preserve"> – </w:t>
      </w:r>
      <w:r w:rsidRPr="00F54BED">
        <w:t>2022</w:t>
      </w:r>
      <w:r w:rsidRPr="00616E0A">
        <w:t>/</w:t>
      </w:r>
      <w:r w:rsidRPr="00F54BED">
        <w:t>0280</w:t>
      </w:r>
      <w:r w:rsidRPr="00616E0A">
        <w:t>(COD))</w:t>
      </w:r>
      <w:bookmarkEnd w:id="6"/>
    </w:p>
    <w:p w:rsidR="00D959B1" w:rsidRPr="00D959B1" w:rsidRDefault="00D959B1" w:rsidP="00D959B1">
      <w:pPr>
        <w:rPr>
          <w:lang w:eastAsia="fr-FR"/>
        </w:rPr>
      </w:pPr>
    </w:p>
    <w:p w:rsidR="00D959B1" w:rsidRPr="00B957C9" w:rsidRDefault="00D959B1" w:rsidP="00D959B1">
      <w:pPr>
        <w:pStyle w:val="NormalBold"/>
      </w:pPr>
      <w:r w:rsidRPr="00B957C9">
        <w:t>(Ordentliches Gesetzgebungsverfahren: erste Lesung)</w:t>
      </w:r>
    </w:p>
    <w:p w:rsidR="00447FC0" w:rsidRPr="00616E0A" w:rsidRDefault="00447FC0" w:rsidP="00447FC0">
      <w:pPr>
        <w:pStyle w:val="EPComma"/>
      </w:pPr>
      <w:bookmarkStart w:id="7" w:name="TextBodyBegin"/>
      <w:bookmarkEnd w:id="7"/>
      <w:r w:rsidRPr="00616E0A">
        <w:rPr>
          <w:i/>
        </w:rPr>
        <w:t>Das Europäische Parlament</w:t>
      </w:r>
      <w:r w:rsidRPr="00616E0A">
        <w:t>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>unter Hinweis auf den Vorschlag der Kommission an das Europäische Parlament und den Rat (COM(</w:t>
      </w:r>
      <w:r w:rsidRPr="00F54BED">
        <w:t>2022</w:t>
      </w:r>
      <w:r w:rsidRPr="00616E0A">
        <w:t>)</w:t>
      </w:r>
      <w:r w:rsidRPr="00F54BED">
        <w:t>0462</w:t>
      </w:r>
      <w:r w:rsidRPr="00616E0A">
        <w:t>),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>gestützt auf Artikel </w:t>
      </w:r>
      <w:r w:rsidRPr="00F54BED">
        <w:t>294</w:t>
      </w:r>
      <w:r w:rsidRPr="00616E0A">
        <w:t xml:space="preserve"> Absatz </w:t>
      </w:r>
      <w:r w:rsidRPr="00F54BED">
        <w:t>2</w:t>
      </w:r>
      <w:r w:rsidRPr="00616E0A">
        <w:t xml:space="preserve"> und die Artikel </w:t>
      </w:r>
      <w:r w:rsidRPr="00F54BED">
        <w:t>91</w:t>
      </w:r>
      <w:r w:rsidRPr="00616E0A">
        <w:t xml:space="preserve"> und </w:t>
      </w:r>
      <w:r w:rsidRPr="00F54BED">
        <w:t>114</w:t>
      </w:r>
      <w:r w:rsidRPr="00616E0A">
        <w:t xml:space="preserve"> des Vertrags über die Arbeitsweise der Europäischen Union, auf deren Grundlage ihm der Vorschlag der Kommission unterbreitet wurde (C</w:t>
      </w:r>
      <w:r w:rsidRPr="00F54BED">
        <w:t>9</w:t>
      </w:r>
      <w:r w:rsidRPr="00616E0A">
        <w:noBreakHyphen/>
      </w:r>
      <w:r w:rsidRPr="00F54BED">
        <w:t>0313</w:t>
      </w:r>
      <w:r w:rsidRPr="00616E0A">
        <w:t>/</w:t>
      </w:r>
      <w:r w:rsidRPr="00F54BED">
        <w:t>2022</w:t>
      </w:r>
      <w:r w:rsidRPr="00616E0A">
        <w:t>),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>gestützt auf Artikel </w:t>
      </w:r>
      <w:r w:rsidRPr="00F54BED">
        <w:t>294</w:t>
      </w:r>
      <w:r w:rsidRPr="00616E0A">
        <w:t xml:space="preserve"> Absatz </w:t>
      </w:r>
      <w:r w:rsidRPr="00F54BED">
        <w:t>3</w:t>
      </w:r>
      <w:r w:rsidRPr="00616E0A">
        <w:t xml:space="preserve"> des Vertrags über die Arbeitsweise der Europäischen Union,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 xml:space="preserve">unter Hinweis auf die Stellungnahme des Europäischen Wirtschafts- und Sozialausschusses vom </w:t>
      </w:r>
      <w:r w:rsidRPr="00F54BED">
        <w:t>14</w:t>
      </w:r>
      <w:r w:rsidRPr="00616E0A">
        <w:t xml:space="preserve">. Dezember </w:t>
      </w:r>
      <w:r w:rsidRPr="00F54BED">
        <w:t>2022</w:t>
      </w:r>
      <w:r w:rsidRPr="00616E0A">
        <w:rPr>
          <w:vertAlign w:val="superscript"/>
        </w:rPr>
        <w:footnoteReference w:id="1"/>
      </w:r>
      <w:r w:rsidRPr="00616E0A">
        <w:t>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 xml:space="preserve">gestützt auf die Stellungnahme des Ausschusses der Regionen vom </w:t>
      </w:r>
      <w:r w:rsidRPr="00F54BED">
        <w:t>8</w:t>
      </w:r>
      <w:r w:rsidRPr="00616E0A">
        <w:t xml:space="preserve">. Februar </w:t>
      </w:r>
      <w:r w:rsidRPr="00F54BED">
        <w:t>2023</w:t>
      </w:r>
      <w:r w:rsidRPr="00616E0A">
        <w:rPr>
          <w:vertAlign w:val="superscript"/>
        </w:rPr>
        <w:footnoteReference w:id="2"/>
      </w:r>
      <w:r w:rsidRPr="00616E0A">
        <w:t>,</w:t>
      </w:r>
    </w:p>
    <w:p w:rsidR="007703A8" w:rsidRPr="00616E0A" w:rsidRDefault="007703A8" w:rsidP="00447FC0">
      <w:pPr>
        <w:pStyle w:val="NormalHanging12a"/>
      </w:pPr>
      <w:r w:rsidRPr="00616E0A">
        <w:t>–</w:t>
      </w:r>
      <w:r w:rsidRPr="00616E0A">
        <w:tab/>
        <w:t xml:space="preserve">unter Hinweis auf die vorläufige Einigung, die gemäß Artikel </w:t>
      </w:r>
      <w:r w:rsidRPr="00F54BED">
        <w:t>74</w:t>
      </w:r>
      <w:r w:rsidRPr="00616E0A">
        <w:t xml:space="preserve"> Absatz </w:t>
      </w:r>
      <w:r w:rsidRPr="00F54BED">
        <w:t>4</w:t>
      </w:r>
      <w:r w:rsidRPr="00616E0A">
        <w:t xml:space="preserve"> seiner Geschäftsordnung vom zuständigen Ausschuss angenommen wurde, und auf die vom </w:t>
      </w:r>
      <w:r w:rsidRPr="00616E0A">
        <w:lastRenderedPageBreak/>
        <w:t xml:space="preserve">Vertreter des Rates mit Schreiben vom </w:t>
      </w:r>
      <w:r w:rsidRPr="00F54BED">
        <w:t>16</w:t>
      </w:r>
      <w:r w:rsidRPr="00616E0A">
        <w:t xml:space="preserve">. Februar </w:t>
      </w:r>
      <w:r w:rsidRPr="00F54BED">
        <w:t>2024</w:t>
      </w:r>
      <w:r w:rsidRPr="00616E0A">
        <w:t xml:space="preserve"> gemachte Zusage, den Standpunkt des Europäischen Parlaments gemäß Artikel </w:t>
      </w:r>
      <w:r w:rsidRPr="00F54BED">
        <w:t>294</w:t>
      </w:r>
      <w:r w:rsidRPr="00616E0A">
        <w:t xml:space="preserve"> Absatz </w:t>
      </w:r>
      <w:r w:rsidRPr="00F54BED">
        <w:t>4</w:t>
      </w:r>
      <w:r w:rsidRPr="00616E0A">
        <w:t xml:space="preserve"> des Vertrags über die Arbeitsweise der Europäischen Union zu billigen,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>gestützt auf Artikel </w:t>
      </w:r>
      <w:r w:rsidRPr="00F54BED">
        <w:t>59</w:t>
      </w:r>
      <w:r w:rsidRPr="00616E0A">
        <w:t xml:space="preserve"> seiner Geschäftsordnung,</w:t>
      </w:r>
    </w:p>
    <w:p w:rsidR="00447FC0" w:rsidRPr="00616E0A" w:rsidRDefault="00447FC0" w:rsidP="00447FC0">
      <w:pPr>
        <w:pStyle w:val="NormalHanging12a"/>
      </w:pPr>
      <w:r w:rsidRPr="00616E0A">
        <w:t>–</w:t>
      </w:r>
      <w:r w:rsidRPr="00616E0A">
        <w:tab/>
        <w:t>unter Hinweis auf den Bericht des Ausschusses für Binnenmarkt und Verbraucherschutz (A</w:t>
      </w:r>
      <w:r w:rsidRPr="00F54BED">
        <w:t>9</w:t>
      </w:r>
      <w:r w:rsidRPr="00616E0A">
        <w:t>‑</w:t>
      </w:r>
      <w:r w:rsidRPr="00F54BED">
        <w:t>0245</w:t>
      </w:r>
      <w:r w:rsidRPr="00616E0A">
        <w:t>/</w:t>
      </w:r>
      <w:r w:rsidRPr="00F54BED">
        <w:t>2023</w:t>
      </w:r>
      <w:r w:rsidRPr="00616E0A">
        <w:t>),</w:t>
      </w:r>
    </w:p>
    <w:p w:rsidR="00447FC0" w:rsidRPr="00616E0A" w:rsidRDefault="00447FC0" w:rsidP="00447FC0">
      <w:pPr>
        <w:pStyle w:val="NormalHanging12a"/>
      </w:pPr>
      <w:r w:rsidRPr="00F54BED">
        <w:t>1</w:t>
      </w:r>
      <w:r w:rsidRPr="00616E0A">
        <w:t>.</w:t>
      </w:r>
      <w:r w:rsidRPr="00616E0A">
        <w:tab/>
        <w:t>legt den folgenden Standpunkt in erster Lesung fest;</w:t>
      </w:r>
    </w:p>
    <w:p w:rsidR="00447FC0" w:rsidRPr="00616E0A" w:rsidRDefault="00447FC0" w:rsidP="00447FC0">
      <w:pPr>
        <w:pStyle w:val="NormalHanging12a"/>
      </w:pPr>
      <w:r w:rsidRPr="00F54BED">
        <w:t>2</w:t>
      </w:r>
      <w:r w:rsidRPr="00616E0A">
        <w:t>.</w:t>
      </w:r>
      <w:r w:rsidRPr="00616E0A">
        <w:tab/>
        <w:t>fordert die Kommission auf, es erneut zu befassen, falls sie ihren Vorschlag ersetzt, entscheidend ändert oder beabsichtigt, ihn entscheidend zu ändern;</w:t>
      </w:r>
    </w:p>
    <w:p w:rsidR="007002FB" w:rsidRPr="00616E0A" w:rsidRDefault="00447FC0" w:rsidP="00447FC0">
      <w:pPr>
        <w:pStyle w:val="NormalHanging12a"/>
        <w:sectPr w:rsidR="007002FB" w:rsidRPr="00616E0A" w:rsidSect="002F6D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54BED">
        <w:t>3</w:t>
      </w:r>
      <w:r w:rsidRPr="00616E0A">
        <w:t>.</w:t>
      </w:r>
      <w:r w:rsidRPr="00616E0A">
        <w:tab/>
        <w:t>beauftragt seine Präsidentin, den Standpunkt des Parlaments dem Rat, der Kommission und den nationalen Parlamenten zu übermitteln.</w:t>
      </w:r>
    </w:p>
    <w:p w:rsidR="007002FB" w:rsidRPr="00616E0A" w:rsidRDefault="007002FB" w:rsidP="007002FB">
      <w:pPr>
        <w:spacing w:after="240"/>
        <w:rPr>
          <w:b/>
          <w:snapToGrid w:val="0"/>
        </w:rPr>
      </w:pPr>
      <w:r w:rsidRPr="00616E0A">
        <w:rPr>
          <w:b/>
          <w:snapToGrid w:val="0"/>
        </w:rPr>
        <w:lastRenderedPageBreak/>
        <w:t>P</w:t>
      </w:r>
      <w:r w:rsidRPr="00F54BED">
        <w:rPr>
          <w:b/>
          <w:snapToGrid w:val="0"/>
        </w:rPr>
        <w:t>9</w:t>
      </w:r>
      <w:r w:rsidRPr="00616E0A">
        <w:rPr>
          <w:b/>
          <w:snapToGrid w:val="0"/>
        </w:rPr>
        <w:t>_TC</w:t>
      </w:r>
      <w:r w:rsidRPr="00F54BED">
        <w:rPr>
          <w:b/>
          <w:snapToGrid w:val="0"/>
        </w:rPr>
        <w:t>1</w:t>
      </w:r>
      <w:r w:rsidRPr="00616E0A">
        <w:rPr>
          <w:b/>
          <w:snapToGrid w:val="0"/>
        </w:rPr>
        <w:t>-COD(</w:t>
      </w:r>
      <w:r w:rsidRPr="00F54BED">
        <w:rPr>
          <w:b/>
          <w:snapToGrid w:val="0"/>
        </w:rPr>
        <w:t>2022</w:t>
      </w:r>
      <w:r w:rsidRPr="00616E0A">
        <w:rPr>
          <w:b/>
          <w:snapToGrid w:val="0"/>
        </w:rPr>
        <w:t>)</w:t>
      </w:r>
      <w:r w:rsidRPr="00F54BED">
        <w:rPr>
          <w:b/>
          <w:snapToGrid w:val="0"/>
        </w:rPr>
        <w:t>0280</w:t>
      </w:r>
    </w:p>
    <w:p w:rsidR="003B0AC1" w:rsidRDefault="007002FB" w:rsidP="00983629">
      <w:pPr>
        <w:rPr>
          <w:b/>
          <w:color w:val="000000"/>
          <w:szCs w:val="24"/>
          <w:lang w:eastAsia="en-US"/>
        </w:rPr>
      </w:pPr>
      <w:r w:rsidRPr="00616E0A">
        <w:rPr>
          <w:b/>
          <w:snapToGrid w:val="0"/>
        </w:rPr>
        <w:t xml:space="preserve">Standpunkt des Europäischen Parlaments festgelegt in erster Lesung am </w:t>
      </w:r>
      <w:r w:rsidRPr="00F54BED">
        <w:rPr>
          <w:b/>
          <w:snapToGrid w:val="0"/>
        </w:rPr>
        <w:t>24</w:t>
      </w:r>
      <w:r w:rsidRPr="00616E0A">
        <w:rPr>
          <w:b/>
          <w:snapToGrid w:val="0"/>
        </w:rPr>
        <w:t xml:space="preserve">. April </w:t>
      </w:r>
      <w:r w:rsidRPr="00F54BED">
        <w:rPr>
          <w:b/>
          <w:snapToGrid w:val="0"/>
        </w:rPr>
        <w:t>2024</w:t>
      </w:r>
      <w:r w:rsidRPr="00616E0A">
        <w:rPr>
          <w:b/>
          <w:snapToGrid w:val="0"/>
        </w:rPr>
        <w:t xml:space="preserve"> im Hinblick auf den Erlass der Richtlinie (EU) </w:t>
      </w:r>
      <w:r w:rsidRPr="00F54BED">
        <w:rPr>
          <w:b/>
          <w:snapToGrid w:val="0"/>
        </w:rPr>
        <w:t>2024</w:t>
      </w:r>
      <w:r w:rsidRPr="00616E0A">
        <w:rPr>
          <w:b/>
          <w:snapToGrid w:val="0"/>
        </w:rPr>
        <w:t xml:space="preserve">/... des Europäischen Parlaments und des Rates </w:t>
      </w:r>
      <w:r w:rsidR="003B0AC1" w:rsidRPr="003B0AC1">
        <w:rPr>
          <w:b/>
          <w:color w:val="000000"/>
          <w:szCs w:val="24"/>
          <w:lang w:eastAsia="en-US"/>
        </w:rPr>
        <w:t>zur Änderung der Richtlinien 2000/14/EG, 2006/42/EG, 2010/</w:t>
      </w:r>
      <w:r w:rsidR="00983629">
        <w:rPr>
          <w:b/>
          <w:color w:val="000000"/>
          <w:szCs w:val="24"/>
          <w:lang w:eastAsia="en-US"/>
        </w:rPr>
        <w:t xml:space="preserve">35/EU, </w:t>
      </w:r>
      <w:r w:rsidR="003B0AC1" w:rsidRPr="003B0AC1">
        <w:rPr>
          <w:b/>
          <w:color w:val="000000"/>
          <w:szCs w:val="24"/>
          <w:lang w:eastAsia="en-US"/>
        </w:rPr>
        <w:t>2014/29/EU, 2014/30/EU,</w:t>
      </w:r>
      <w:r w:rsidR="00983629">
        <w:rPr>
          <w:b/>
          <w:color w:val="000000"/>
          <w:szCs w:val="24"/>
          <w:lang w:eastAsia="en-US"/>
        </w:rPr>
        <w:t xml:space="preserve"> </w:t>
      </w:r>
      <w:r w:rsidR="003B0AC1" w:rsidRPr="003B0AC1">
        <w:rPr>
          <w:b/>
          <w:color w:val="000000"/>
          <w:szCs w:val="24"/>
          <w:lang w:eastAsia="en-US"/>
        </w:rPr>
        <w:t>2014/33/EU, 2014/34/EU, 2014/35/EU, 2014/53/EU und 2014/68/EU in Bezug auf Notfallverfahren für die Konformitätsbewertung,</w:t>
      </w:r>
      <w:r w:rsidR="003B0AC1" w:rsidRPr="003B0AC1">
        <w:rPr>
          <w:b/>
          <w:bCs/>
          <w:i/>
          <w:iCs/>
          <w:color w:val="000000"/>
          <w:szCs w:val="24"/>
          <w:lang w:eastAsia="en-US"/>
        </w:rPr>
        <w:t xml:space="preserve"> </w:t>
      </w:r>
      <w:r w:rsidR="003B0AC1" w:rsidRPr="00983629">
        <w:rPr>
          <w:b/>
          <w:bCs/>
          <w:iCs/>
          <w:color w:val="000000"/>
          <w:szCs w:val="24"/>
          <w:lang w:eastAsia="en-US"/>
        </w:rPr>
        <w:t>die Konformitätsvermutung</w:t>
      </w:r>
      <w:r w:rsidR="003B0AC1" w:rsidRPr="003B0AC1">
        <w:rPr>
          <w:b/>
          <w:bCs/>
          <w:i/>
          <w:iCs/>
          <w:color w:val="000000"/>
          <w:szCs w:val="24"/>
          <w:lang w:eastAsia="en-US"/>
        </w:rPr>
        <w:t>,</w:t>
      </w:r>
      <w:r w:rsidR="003B0AC1" w:rsidRPr="003B0AC1">
        <w:rPr>
          <w:b/>
          <w:color w:val="000000"/>
          <w:szCs w:val="24"/>
          <w:lang w:eastAsia="en-US"/>
        </w:rPr>
        <w:t xml:space="preserve"> die Annahme gemeinsamer Spezifikationen und die Marktüberwachung aufgrund eines Binnenmarkt-Notfalls</w:t>
      </w:r>
    </w:p>
    <w:p w:rsidR="00983629" w:rsidRPr="0020057E" w:rsidRDefault="00983629" w:rsidP="00983629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>
        <w:rPr>
          <w:i/>
        </w:rPr>
        <w:t>Richtlin</w:t>
      </w:r>
      <w:r w:rsidRPr="00983629">
        <w:rPr>
          <w:i/>
        </w:rPr>
        <w:t>ie</w:t>
      </w:r>
      <w:r w:rsidRPr="00983629">
        <w:rPr>
          <w:i/>
        </w:rPr>
        <w:t xml:space="preserve"> </w:t>
      </w:r>
      <w:r w:rsidRPr="00983629">
        <w:rPr>
          <w:i/>
        </w:rPr>
        <w:t>(EU</w:t>
      </w:r>
      <w:r>
        <w:rPr>
          <w:i/>
        </w:rPr>
        <w:t>) 2024/</w:t>
      </w:r>
      <w:r w:rsidRPr="00983629">
        <w:rPr>
          <w:i/>
        </w:rPr>
        <w:t xml:space="preserve">2749.) </w:t>
      </w:r>
      <w:bookmarkStart w:id="8" w:name="_GoBack"/>
      <w:bookmarkEnd w:id="8"/>
    </w:p>
    <w:sectPr w:rsidR="00983629" w:rsidRPr="0020057E" w:rsidSect="002F6D3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7B8" w:rsidRPr="002F6D36" w:rsidRDefault="009F57B8">
      <w:r w:rsidRPr="002F6D36">
        <w:separator/>
      </w:r>
    </w:p>
  </w:endnote>
  <w:endnote w:type="continuationSeparator" w:id="0">
    <w:p w:rsidR="009F57B8" w:rsidRPr="002F6D36" w:rsidRDefault="009F57B8">
      <w:r w:rsidRPr="002F6D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D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D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D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7B8" w:rsidRPr="002F6D36" w:rsidRDefault="009F57B8">
      <w:r w:rsidRPr="002F6D36">
        <w:separator/>
      </w:r>
    </w:p>
  </w:footnote>
  <w:footnote w:type="continuationSeparator" w:id="0">
    <w:p w:rsidR="009F57B8" w:rsidRPr="002F6D36" w:rsidRDefault="009F57B8">
      <w:r w:rsidRPr="002F6D36">
        <w:continuationSeparator/>
      </w:r>
    </w:p>
  </w:footnote>
  <w:footnote w:id="1">
    <w:p w:rsidR="00447FC0" w:rsidRPr="007002FB" w:rsidRDefault="00447FC0" w:rsidP="007002FB">
      <w:pPr>
        <w:pStyle w:val="FootnoteText"/>
        <w:ind w:left="567" w:hanging="567"/>
        <w:rPr>
          <w:sz w:val="24"/>
          <w:szCs w:val="24"/>
          <w:lang w:val="de-DE"/>
        </w:rPr>
      </w:pPr>
      <w:r w:rsidRPr="007002FB">
        <w:rPr>
          <w:rStyle w:val="FootnoteReference"/>
          <w:sz w:val="24"/>
          <w:szCs w:val="24"/>
          <w:lang w:val="de-DE"/>
        </w:rPr>
        <w:footnoteRef/>
      </w:r>
      <w:r w:rsidR="002F6D36" w:rsidRPr="007002FB">
        <w:rPr>
          <w:sz w:val="24"/>
          <w:szCs w:val="24"/>
          <w:lang w:val="de-DE"/>
        </w:rPr>
        <w:t xml:space="preserve"> </w:t>
      </w:r>
      <w:r w:rsidR="002F6D36" w:rsidRPr="007002FB">
        <w:rPr>
          <w:sz w:val="24"/>
          <w:szCs w:val="24"/>
          <w:lang w:val="de-DE"/>
        </w:rPr>
        <w:tab/>
      </w:r>
      <w:r w:rsidRPr="007002FB">
        <w:rPr>
          <w:sz w:val="24"/>
          <w:szCs w:val="24"/>
          <w:lang w:val="de-DE"/>
        </w:rPr>
        <w:t>ABl. C </w:t>
      </w:r>
      <w:r w:rsidRPr="00F54BED">
        <w:rPr>
          <w:sz w:val="24"/>
          <w:szCs w:val="24"/>
          <w:lang w:val="de-DE"/>
        </w:rPr>
        <w:t>100</w:t>
      </w:r>
      <w:r w:rsidRPr="007002FB">
        <w:rPr>
          <w:sz w:val="24"/>
          <w:szCs w:val="24"/>
          <w:lang w:val="de-DE"/>
        </w:rPr>
        <w:t xml:space="preserve"> vom </w:t>
      </w:r>
      <w:r w:rsidRPr="00F54BED">
        <w:rPr>
          <w:sz w:val="24"/>
          <w:szCs w:val="24"/>
          <w:lang w:val="de-DE"/>
        </w:rPr>
        <w:t>16</w:t>
      </w:r>
      <w:r w:rsidRPr="007002FB">
        <w:rPr>
          <w:sz w:val="24"/>
          <w:szCs w:val="24"/>
          <w:lang w:val="de-DE"/>
        </w:rPr>
        <w:t>.</w:t>
      </w:r>
      <w:r w:rsidRPr="00F54BED">
        <w:rPr>
          <w:sz w:val="24"/>
          <w:szCs w:val="24"/>
          <w:lang w:val="de-DE"/>
        </w:rPr>
        <w:t>3</w:t>
      </w:r>
      <w:r w:rsidRPr="007002FB">
        <w:rPr>
          <w:sz w:val="24"/>
          <w:szCs w:val="24"/>
          <w:lang w:val="de-DE"/>
        </w:rPr>
        <w:t>.</w:t>
      </w:r>
      <w:r w:rsidRPr="00F54BED">
        <w:rPr>
          <w:sz w:val="24"/>
          <w:szCs w:val="24"/>
          <w:lang w:val="de-DE"/>
        </w:rPr>
        <w:t>2023</w:t>
      </w:r>
      <w:r w:rsidRPr="007002FB">
        <w:rPr>
          <w:sz w:val="24"/>
          <w:szCs w:val="24"/>
          <w:lang w:val="de-DE"/>
        </w:rPr>
        <w:t>, S. </w:t>
      </w:r>
      <w:r w:rsidRPr="00F54BED">
        <w:rPr>
          <w:sz w:val="24"/>
          <w:szCs w:val="24"/>
          <w:lang w:val="de-DE"/>
        </w:rPr>
        <w:t>95</w:t>
      </w:r>
      <w:r w:rsidRPr="007002FB">
        <w:rPr>
          <w:sz w:val="24"/>
          <w:szCs w:val="24"/>
          <w:lang w:val="de-DE"/>
        </w:rPr>
        <w:t>.</w:t>
      </w:r>
    </w:p>
  </w:footnote>
  <w:footnote w:id="2">
    <w:p w:rsidR="00447FC0" w:rsidRPr="007002FB" w:rsidRDefault="00447FC0" w:rsidP="007002FB">
      <w:pPr>
        <w:pStyle w:val="FootnoteText"/>
        <w:ind w:left="567" w:hanging="567"/>
        <w:rPr>
          <w:sz w:val="24"/>
          <w:szCs w:val="24"/>
          <w:lang w:val="de-DE"/>
        </w:rPr>
      </w:pPr>
      <w:r w:rsidRPr="007002FB">
        <w:rPr>
          <w:rStyle w:val="FootnoteReference"/>
          <w:sz w:val="24"/>
          <w:szCs w:val="24"/>
          <w:lang w:val="de-DE"/>
        </w:rPr>
        <w:footnoteRef/>
      </w:r>
      <w:r w:rsidR="002F6D36" w:rsidRPr="007002FB">
        <w:rPr>
          <w:sz w:val="24"/>
          <w:szCs w:val="24"/>
          <w:lang w:val="de-DE"/>
        </w:rPr>
        <w:t xml:space="preserve"> </w:t>
      </w:r>
      <w:r w:rsidR="002F6D36" w:rsidRPr="007002FB">
        <w:rPr>
          <w:sz w:val="24"/>
          <w:szCs w:val="24"/>
          <w:lang w:val="de-DE"/>
        </w:rPr>
        <w:tab/>
      </w:r>
      <w:r w:rsidRPr="007002FB">
        <w:rPr>
          <w:sz w:val="24"/>
          <w:szCs w:val="24"/>
          <w:lang w:val="de-DE"/>
        </w:rPr>
        <w:t xml:space="preserve">ABl. </w:t>
      </w:r>
      <w:r w:rsidR="00F54BED">
        <w:rPr>
          <w:sz w:val="24"/>
          <w:szCs w:val="24"/>
          <w:lang w:val="de-DE"/>
        </w:rPr>
        <w:t>C</w:t>
      </w:r>
      <w:r w:rsidRPr="007002FB">
        <w:rPr>
          <w:sz w:val="24"/>
          <w:szCs w:val="24"/>
          <w:lang w:val="de-DE"/>
        </w:rPr>
        <w:t> </w:t>
      </w:r>
      <w:r w:rsidRPr="00F54BED">
        <w:rPr>
          <w:sz w:val="24"/>
          <w:szCs w:val="24"/>
          <w:lang w:val="de-DE"/>
        </w:rPr>
        <w:t>157</w:t>
      </w:r>
      <w:r w:rsidRPr="007002FB">
        <w:rPr>
          <w:sz w:val="24"/>
          <w:szCs w:val="24"/>
          <w:lang w:val="de-DE"/>
        </w:rPr>
        <w:t xml:space="preserve"> vom </w:t>
      </w:r>
      <w:r w:rsidRPr="00F54BED">
        <w:rPr>
          <w:sz w:val="24"/>
          <w:szCs w:val="24"/>
          <w:lang w:val="de-DE"/>
        </w:rPr>
        <w:t>3</w:t>
      </w:r>
      <w:r w:rsidRPr="007002FB">
        <w:rPr>
          <w:sz w:val="24"/>
          <w:szCs w:val="24"/>
          <w:lang w:val="de-DE"/>
        </w:rPr>
        <w:t>.</w:t>
      </w:r>
      <w:r w:rsidRPr="00F54BED">
        <w:rPr>
          <w:sz w:val="24"/>
          <w:szCs w:val="24"/>
          <w:lang w:val="de-DE"/>
        </w:rPr>
        <w:t>5</w:t>
      </w:r>
      <w:r w:rsidRPr="007002FB">
        <w:rPr>
          <w:sz w:val="24"/>
          <w:szCs w:val="24"/>
          <w:lang w:val="de-DE"/>
        </w:rPr>
        <w:t>.</w:t>
      </w:r>
      <w:r w:rsidRPr="00F54BED">
        <w:rPr>
          <w:sz w:val="24"/>
          <w:szCs w:val="24"/>
          <w:lang w:val="de-DE"/>
        </w:rPr>
        <w:t>2023</w:t>
      </w:r>
      <w:r w:rsidRPr="007002FB">
        <w:rPr>
          <w:sz w:val="24"/>
          <w:szCs w:val="24"/>
          <w:lang w:val="de-DE"/>
        </w:rPr>
        <w:t>, S. </w:t>
      </w:r>
      <w:r w:rsidRPr="00F54BED">
        <w:rPr>
          <w:sz w:val="24"/>
          <w:szCs w:val="24"/>
          <w:lang w:val="de-DE"/>
        </w:rPr>
        <w:t>82</w:t>
      </w:r>
      <w:r w:rsidRPr="007002FB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D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D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D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DE"/>
    <w:docVar w:name="dvnumam" w:val="328"/>
    <w:docVar w:name="dvpe" w:val="745.256"/>
    <w:docVar w:name="dvrapporteur" w:val="Berichterstatter: "/>
    <w:docVar w:name="dvstar" w:val="***I"/>
    <w:docVar w:name="dvtitre" w:val="Legislative Entschließung des Europäischen Parlaments vom XX. XXX 2024 über den Vorschlag für eine Richtlinie des Europäischen Parlaments und des Rates zur Änderung der Richtlinien 2000/14/EG, 2006/42/EG, 2010/35/EU, 2013/29/EU, 2014/28/EU, 2014/29/EU, 2014/30/EU, 2014/31/EU, 2014/32/EU, 2014/33/EU, 2014/34/EU, 2014/35/EU, 2014/53/EU und 2014/68/EU in Bezug auf Notfallverfahren für die Konformitätsbewertung, die Annahme gemeinsamer Spezifikationen und die Marktüberwachung aufgrund eines Binnenmarkt-Notfalls(COM(2022)0462 – C9-0313/2022 – 2022/0280(COD))"/>
  </w:docVars>
  <w:rsids>
    <w:rsidRoot w:val="009F57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D36"/>
    <w:rsid w:val="00343214"/>
    <w:rsid w:val="00361C00"/>
    <w:rsid w:val="00395FA1"/>
    <w:rsid w:val="003B0AC1"/>
    <w:rsid w:val="003C3D80"/>
    <w:rsid w:val="003E15D4"/>
    <w:rsid w:val="00411CCE"/>
    <w:rsid w:val="0041666E"/>
    <w:rsid w:val="00421060"/>
    <w:rsid w:val="00447FC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6E0A"/>
    <w:rsid w:val="006631B6"/>
    <w:rsid w:val="00680577"/>
    <w:rsid w:val="006F74FA"/>
    <w:rsid w:val="007002FB"/>
    <w:rsid w:val="00731ADD"/>
    <w:rsid w:val="00734777"/>
    <w:rsid w:val="00747932"/>
    <w:rsid w:val="00751A4A"/>
    <w:rsid w:val="00756632"/>
    <w:rsid w:val="00762C74"/>
    <w:rsid w:val="007703A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629"/>
    <w:rsid w:val="009F57B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6A14"/>
    <w:rsid w:val="00BB6B4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9B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BE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82EF7"/>
  <w15:chartTrackingRefBased/>
  <w15:docId w15:val="{36C0C166-C6DE-424A-BF13-39F18A41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47F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47F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47F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47F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47F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47FC0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447FC0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447FC0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447FC0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447FC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47F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47FC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47FC0"/>
    <w:pPr>
      <w:spacing w:after="120"/>
    </w:pPr>
  </w:style>
  <w:style w:type="paragraph" w:customStyle="1" w:styleId="PageHeading">
    <w:name w:val="PageHeading"/>
    <w:basedOn w:val="Normal"/>
    <w:rsid w:val="00447F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47FC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47FC0"/>
    <w:rPr>
      <w:b/>
      <w:sz w:val="24"/>
      <w:lang w:val="de-DE"/>
    </w:rPr>
  </w:style>
  <w:style w:type="paragraph" w:customStyle="1" w:styleId="NormalBold12a">
    <w:name w:val="NormalBold12a"/>
    <w:basedOn w:val="Normal"/>
    <w:rsid w:val="00447FC0"/>
    <w:pPr>
      <w:spacing w:after="240"/>
    </w:pPr>
    <w:rPr>
      <w:b/>
    </w:rPr>
  </w:style>
  <w:style w:type="paragraph" w:customStyle="1" w:styleId="AmJustText">
    <w:name w:val="AmJustText"/>
    <w:basedOn w:val="Normal"/>
    <w:rsid w:val="00447FC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47FC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47FC0"/>
    <w:pPr>
      <w:spacing w:after="480"/>
      <w:ind w:left="1417"/>
    </w:pPr>
  </w:style>
  <w:style w:type="paragraph" w:customStyle="1" w:styleId="CoverNormal">
    <w:name w:val="CoverNormal"/>
    <w:basedOn w:val="Normal"/>
    <w:rsid w:val="00447FC0"/>
    <w:pPr>
      <w:ind w:left="1418"/>
    </w:pPr>
  </w:style>
  <w:style w:type="paragraph" w:customStyle="1" w:styleId="AmCrossRef">
    <w:name w:val="AmCrossRef"/>
    <w:basedOn w:val="Normal"/>
    <w:rsid w:val="00447FC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47FC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47F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47F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47F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47FC0"/>
    <w:pPr>
      <w:spacing w:before="240" w:after="1200"/>
    </w:pPr>
  </w:style>
  <w:style w:type="paragraph" w:styleId="Header">
    <w:name w:val="header"/>
    <w:basedOn w:val="Normal"/>
    <w:link w:val="HeaderChar"/>
    <w:rsid w:val="00447F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47FC0"/>
    <w:rPr>
      <w:sz w:val="24"/>
      <w:lang w:val="de-DE"/>
    </w:rPr>
  </w:style>
  <w:style w:type="paragraph" w:customStyle="1" w:styleId="AmOrLang">
    <w:name w:val="AmOrLang"/>
    <w:basedOn w:val="Normal"/>
    <w:rsid w:val="00447F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47F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47F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47FC0"/>
    <w:pPr>
      <w:spacing w:before="240"/>
    </w:pPr>
    <w:rPr>
      <w:b/>
    </w:rPr>
  </w:style>
  <w:style w:type="paragraph" w:customStyle="1" w:styleId="EPBody">
    <w:name w:val="EPBody"/>
    <w:basedOn w:val="Normal"/>
    <w:rsid w:val="00447F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47F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47FC0"/>
    <w:pPr>
      <w:spacing w:before="480" w:after="240"/>
    </w:pPr>
  </w:style>
  <w:style w:type="paragraph" w:customStyle="1" w:styleId="Lgendesigne">
    <w:name w:val="Légende signe"/>
    <w:basedOn w:val="Normal"/>
    <w:rsid w:val="00447F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47F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47FC0"/>
    <w:rPr>
      <w:sz w:val="18"/>
    </w:rPr>
  </w:style>
  <w:style w:type="paragraph" w:styleId="BalloonText">
    <w:name w:val="Balloon Text"/>
    <w:basedOn w:val="Normal"/>
    <w:link w:val="BalloonTextChar"/>
    <w:unhideWhenUsed/>
    <w:rsid w:val="00447F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47FC0"/>
    <w:rPr>
      <w:rFonts w:ascii="Segoe UI" w:hAnsi="Segoe UI" w:cs="Segoe UI"/>
      <w:sz w:val="18"/>
      <w:szCs w:val="18"/>
      <w:lang w:val="de-DE"/>
    </w:rPr>
  </w:style>
  <w:style w:type="character" w:customStyle="1" w:styleId="FooterChar">
    <w:name w:val="Footer Char"/>
    <w:basedOn w:val="DefaultParagraphFont"/>
    <w:link w:val="Footer"/>
    <w:rsid w:val="00447FC0"/>
    <w:rPr>
      <w:sz w:val="22"/>
    </w:rPr>
  </w:style>
  <w:style w:type="paragraph" w:styleId="Footer">
    <w:name w:val="footer"/>
    <w:link w:val="FooterChar"/>
    <w:unhideWhenUsed/>
    <w:rsid w:val="00447FC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447FC0"/>
    <w:rPr>
      <w:sz w:val="24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447FC0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447FC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47FC0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447FC0"/>
    <w:pPr>
      <w:spacing w:after="120"/>
    </w:pPr>
  </w:style>
  <w:style w:type="paragraph" w:customStyle="1" w:styleId="Normal12Italic">
    <w:name w:val="Normal12Italic"/>
    <w:basedOn w:val="Normal12"/>
    <w:rsid w:val="00447FC0"/>
    <w:rPr>
      <w:i/>
    </w:rPr>
  </w:style>
  <w:style w:type="paragraph" w:customStyle="1" w:styleId="Footer2">
    <w:name w:val="Footer2"/>
    <w:basedOn w:val="Normal12"/>
    <w:rsid w:val="00447FC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447FC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47F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47FC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47FC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47FC0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447F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7F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7FC0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47F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7FC0"/>
    <w:rPr>
      <w:b/>
      <w:bCs/>
      <w:lang w:val="de-DE"/>
    </w:rPr>
  </w:style>
  <w:style w:type="paragraph" w:styleId="Revision">
    <w:name w:val="Revision"/>
    <w:hidden/>
    <w:uiPriority w:val="99"/>
    <w:semiHidden/>
    <w:rsid w:val="00447FC0"/>
    <w:rPr>
      <w:sz w:val="24"/>
      <w:lang w:val="de-DE"/>
    </w:rPr>
  </w:style>
  <w:style w:type="character" w:customStyle="1" w:styleId="AmNumberTabsChar">
    <w:name w:val="AmNumberTabs Char"/>
    <w:basedOn w:val="DefaultParagraphFont"/>
    <w:link w:val="AmNumberTabs"/>
    <w:rsid w:val="00447FC0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447FC0"/>
    <w:rPr>
      <w:b/>
      <w:sz w:val="24"/>
      <w:lang w:val="de-DE"/>
    </w:rPr>
  </w:style>
  <w:style w:type="paragraph" w:customStyle="1" w:styleId="ManualNumPar1">
    <w:name w:val="Manual NumPar 1"/>
    <w:basedOn w:val="Normal"/>
    <w:next w:val="Normal"/>
    <w:rsid w:val="00447F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447FC0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447FC0"/>
    <w:pPr>
      <w:spacing w:after="240"/>
    </w:pPr>
  </w:style>
  <w:style w:type="paragraph" w:customStyle="1" w:styleId="RollCallVotes">
    <w:name w:val="RollCallVotes"/>
    <w:basedOn w:val="Normal"/>
    <w:rsid w:val="00447F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47F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47F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47FC0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447FC0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7002F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002FB"/>
    <w:pPr>
      <w:spacing w:after="240"/>
      <w:jc w:val="center"/>
    </w:pPr>
  </w:style>
  <w:style w:type="paragraph" w:customStyle="1" w:styleId="AmDateTab">
    <w:name w:val="AmDateTab"/>
    <w:basedOn w:val="Normal"/>
    <w:rsid w:val="007002F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002FB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7002FB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7002FB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7002FB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7002FB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7002FB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7002FB"/>
    <w:pPr>
      <w:keepLines/>
      <w:widowControl w:val="0"/>
      <w:ind w:left="850" w:hanging="850"/>
    </w:pPr>
    <w:rPr>
      <w:sz w:val="24"/>
      <w:lang w:val="de-DE" w:eastAsia="en-US"/>
    </w:rPr>
  </w:style>
  <w:style w:type="paragraph" w:customStyle="1" w:styleId="Applicationdirecte">
    <w:name w:val="Application directe"/>
    <w:basedOn w:val="Normal"/>
    <w:next w:val="Normal"/>
    <w:rsid w:val="007002FB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7002FB"/>
    <w:pPr>
      <w:widowControl w:val="0"/>
      <w:spacing w:before="120" w:after="120" w:line="360" w:lineRule="auto"/>
    </w:pPr>
    <w:rPr>
      <w:sz w:val="24"/>
      <w:lang w:val="de-DE" w:eastAsia="en-US"/>
    </w:rPr>
  </w:style>
  <w:style w:type="paragraph" w:customStyle="1" w:styleId="Formuledadoption">
    <w:name w:val="Formule d'adoption"/>
    <w:basedOn w:val="Normal"/>
    <w:next w:val="Normal"/>
    <w:rsid w:val="007002FB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7002FB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7002F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7002F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7002FB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7002FB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7002FB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7002FB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02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7002FB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3B0AC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B0AC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B0AC1"/>
    <w:pPr>
      <w:jc w:val="center"/>
    </w:pPr>
  </w:style>
  <w:style w:type="paragraph" w:customStyle="1" w:styleId="Normal24a">
    <w:name w:val="Normal24a"/>
    <w:basedOn w:val="Normal"/>
    <w:rsid w:val="003B0AC1"/>
    <w:pPr>
      <w:spacing w:after="480"/>
    </w:pPr>
  </w:style>
  <w:style w:type="paragraph" w:customStyle="1" w:styleId="LineSingle">
    <w:name w:val="LineSingle"/>
    <w:basedOn w:val="Normal"/>
    <w:next w:val="Normal"/>
    <w:rsid w:val="003B0AC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B0AC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0A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0AC1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10097-6D6B-49C1-B946-919269C1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2025-03-17T13:41:00Z</dcterms:created>
  <dcterms:modified xsi:type="dcterms:W3CDTF">2025-03-17T13:41:00Z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