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2C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2CED" w:rsidRDefault="00AB3190" w:rsidP="0010095E">
            <w:pPr>
              <w:pStyle w:val="EPName"/>
            </w:pPr>
            <w:r w:rsidRPr="003A2CED">
              <w:t>Parlamento Europeo</w:t>
            </w:r>
          </w:p>
          <w:p w:rsidR="00751A4A" w:rsidRPr="003A2C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1F0D">
              <w:t>2019</w:t>
            </w:r>
            <w:r w:rsidRPr="003A2CED">
              <w:t>-</w:t>
            </w:r>
            <w:r w:rsidRPr="003C1F0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A2CED" w:rsidRDefault="00187494" w:rsidP="0010095E">
            <w:pPr>
              <w:pStyle w:val="EPLogo"/>
            </w:pPr>
            <w:r w:rsidRPr="003A2C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2CED" w:rsidRDefault="00D058B8" w:rsidP="004C5D52">
      <w:pPr>
        <w:pStyle w:val="LineTop"/>
      </w:pPr>
    </w:p>
    <w:p w:rsidR="00680577" w:rsidRPr="003A2CED" w:rsidRDefault="00AB3190" w:rsidP="00680577">
      <w:pPr>
        <w:pStyle w:val="EPBodyTA1"/>
      </w:pPr>
      <w:r w:rsidRPr="003A2CED">
        <w:t>TEXTOS APROBADOS</w:t>
      </w:r>
    </w:p>
    <w:p w:rsidR="00D058B8" w:rsidRPr="003A2CED" w:rsidRDefault="00D058B8" w:rsidP="00D058B8">
      <w:pPr>
        <w:pStyle w:val="LineBottom"/>
      </w:pPr>
    </w:p>
    <w:p w:rsidR="00AB3190" w:rsidRPr="003A2CED" w:rsidRDefault="00AB3190" w:rsidP="00AB3190">
      <w:pPr>
        <w:pStyle w:val="ATHeading1"/>
      </w:pPr>
      <w:bookmarkStart w:id="0" w:name="TANumber"/>
      <w:r w:rsidRPr="003A2CED">
        <w:t>P</w:t>
      </w:r>
      <w:r w:rsidRPr="003C1F0D">
        <w:t>9</w:t>
      </w:r>
      <w:r w:rsidRPr="003A2CED">
        <w:t>_TA(</w:t>
      </w:r>
      <w:r w:rsidRPr="003C1F0D">
        <w:t>2024</w:t>
      </w:r>
      <w:r w:rsidRPr="003A2CED">
        <w:t>)</w:t>
      </w:r>
      <w:r w:rsidRPr="003C1F0D">
        <w:t>0</w:t>
      </w:r>
      <w:r w:rsidR="006B51BD" w:rsidRPr="003C1F0D">
        <w:t>322</w:t>
      </w:r>
      <w:bookmarkEnd w:id="0"/>
    </w:p>
    <w:p w:rsidR="00AB3190" w:rsidRPr="003A2CED" w:rsidRDefault="00AB3190" w:rsidP="00AB3190">
      <w:pPr>
        <w:pStyle w:val="ATHeading2"/>
      </w:pPr>
      <w:bookmarkStart w:id="1" w:name="title"/>
      <w:r w:rsidRPr="003A2CED">
        <w:t>Modificación de una serie de Directivas por lo que respecta al establecimiento del Instrumento de Emergencia del Mercado Único</w:t>
      </w:r>
      <w:bookmarkEnd w:id="1"/>
    </w:p>
    <w:p w:rsidR="00AB3190" w:rsidRPr="003A2CED" w:rsidRDefault="00AB3190" w:rsidP="00AB3190">
      <w:pPr>
        <w:rPr>
          <w:i/>
          <w:vanish/>
        </w:rPr>
      </w:pPr>
      <w:r w:rsidRPr="003A2CED">
        <w:rPr>
          <w:i/>
        </w:rPr>
        <w:fldChar w:fldCharType="begin"/>
      </w:r>
      <w:r w:rsidRPr="003A2CED">
        <w:rPr>
          <w:i/>
        </w:rPr>
        <w:instrText xml:space="preserve"> TC"(</w:instrText>
      </w:r>
      <w:bookmarkStart w:id="2" w:name="DocNumber"/>
      <w:r w:rsidRPr="003A2CED">
        <w:rPr>
          <w:i/>
        </w:rPr>
        <w:instrText>A</w:instrText>
      </w:r>
      <w:r w:rsidRPr="003C1F0D">
        <w:rPr>
          <w:i/>
        </w:rPr>
        <w:instrText>9</w:instrText>
      </w:r>
      <w:r w:rsidRPr="003A2CED">
        <w:rPr>
          <w:i/>
        </w:rPr>
        <w:instrText>-</w:instrText>
      </w:r>
      <w:r w:rsidRPr="003C1F0D">
        <w:rPr>
          <w:i/>
        </w:rPr>
        <w:instrText>0245</w:instrText>
      </w:r>
      <w:r w:rsidRPr="003A2CED">
        <w:rPr>
          <w:i/>
        </w:rPr>
        <w:instrText>/</w:instrText>
      </w:r>
      <w:r w:rsidRPr="003C1F0D">
        <w:rPr>
          <w:i/>
        </w:rPr>
        <w:instrText>2023</w:instrText>
      </w:r>
      <w:bookmarkEnd w:id="2"/>
      <w:r w:rsidRPr="003A2CED">
        <w:rPr>
          <w:i/>
        </w:rPr>
        <w:instrText xml:space="preserve"> - Ponente: Andreas Schwab)"\l</w:instrText>
      </w:r>
      <w:r w:rsidRPr="003C1F0D">
        <w:rPr>
          <w:i/>
        </w:rPr>
        <w:instrText>3</w:instrText>
      </w:r>
      <w:r w:rsidRPr="003A2CED">
        <w:rPr>
          <w:i/>
        </w:rPr>
        <w:instrText xml:space="preserve"> \n&gt; \* MERGEFORMAT </w:instrText>
      </w:r>
      <w:r w:rsidRPr="003A2CED">
        <w:rPr>
          <w:i/>
        </w:rPr>
        <w:fldChar w:fldCharType="end"/>
      </w:r>
    </w:p>
    <w:p w:rsidR="00AB3190" w:rsidRPr="003A2CED" w:rsidRDefault="00AB3190" w:rsidP="00AB3190">
      <w:pPr>
        <w:rPr>
          <w:vanish/>
        </w:rPr>
      </w:pPr>
      <w:bookmarkStart w:id="3" w:name="Commission"/>
      <w:r w:rsidRPr="003A2CED">
        <w:rPr>
          <w:vanish/>
        </w:rPr>
        <w:t>Comisión de Mercado Interior y Protección del Consumidor</w:t>
      </w:r>
      <w:bookmarkEnd w:id="3"/>
    </w:p>
    <w:p w:rsidR="00AB3190" w:rsidRPr="003A2CED" w:rsidRDefault="00AB3190" w:rsidP="00AB3190">
      <w:pPr>
        <w:rPr>
          <w:vanish/>
        </w:rPr>
      </w:pPr>
      <w:bookmarkStart w:id="4" w:name="PE"/>
      <w:r w:rsidRPr="003A2CED">
        <w:rPr>
          <w:vanish/>
        </w:rPr>
        <w:t>PE</w:t>
      </w:r>
      <w:r w:rsidRPr="003C1F0D">
        <w:rPr>
          <w:vanish/>
        </w:rPr>
        <w:t>745</w:t>
      </w:r>
      <w:r w:rsidRPr="003A2CED">
        <w:rPr>
          <w:vanish/>
        </w:rPr>
        <w:t>.</w:t>
      </w:r>
      <w:r w:rsidRPr="003C1F0D">
        <w:rPr>
          <w:vanish/>
        </w:rPr>
        <w:t>256</w:t>
      </w:r>
      <w:bookmarkEnd w:id="4"/>
    </w:p>
    <w:p w:rsidR="00AB3190" w:rsidRPr="003A2CED" w:rsidRDefault="00AB3190" w:rsidP="00AB3190">
      <w:pPr>
        <w:pStyle w:val="ATHeading3"/>
      </w:pPr>
      <w:bookmarkStart w:id="5" w:name="Sujet"/>
      <w:r w:rsidRPr="003A2CED">
        <w:t xml:space="preserve">Resolución legislativa del Parlamento Europeo, de </w:t>
      </w:r>
      <w:r w:rsidRPr="003C1F0D">
        <w:t>24</w:t>
      </w:r>
      <w:r w:rsidRPr="003A2CED">
        <w:t xml:space="preserve"> de abril de </w:t>
      </w:r>
      <w:r w:rsidRPr="003C1F0D">
        <w:t>2024</w:t>
      </w:r>
      <w:r w:rsidRPr="003A2CED">
        <w:t xml:space="preserve">, sobre la propuesta de Directiva del Parlamento Europeo y del Consejo que modifica las Directivas </w:t>
      </w:r>
      <w:r w:rsidRPr="003C1F0D">
        <w:t>2000</w:t>
      </w:r>
      <w:r w:rsidRPr="003A2CED">
        <w:t>/</w:t>
      </w:r>
      <w:r w:rsidRPr="003C1F0D">
        <w:t>14</w:t>
      </w:r>
      <w:r w:rsidRPr="003A2CED">
        <w:t xml:space="preserve">/CE, </w:t>
      </w:r>
      <w:r w:rsidRPr="003C1F0D">
        <w:t>2006</w:t>
      </w:r>
      <w:r w:rsidRPr="003A2CED">
        <w:t>/</w:t>
      </w:r>
      <w:r w:rsidRPr="003C1F0D">
        <w:t>42</w:t>
      </w:r>
      <w:r w:rsidRPr="003A2CED">
        <w:t xml:space="preserve">/CE, </w:t>
      </w:r>
      <w:r w:rsidRPr="003C1F0D">
        <w:t>2010</w:t>
      </w:r>
      <w:r w:rsidRPr="003A2CED">
        <w:t>/</w:t>
      </w:r>
      <w:r w:rsidRPr="003C1F0D">
        <w:t>35</w:t>
      </w:r>
      <w:r w:rsidRPr="003A2CED">
        <w:t xml:space="preserve">/UE, </w:t>
      </w:r>
      <w:r w:rsidRPr="003C1F0D">
        <w:t>2013</w:t>
      </w:r>
      <w:r w:rsidRPr="003A2CED">
        <w:t>/</w:t>
      </w:r>
      <w:r w:rsidRPr="003C1F0D">
        <w:t>29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28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29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30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31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32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33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34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35</w:t>
      </w:r>
      <w:r w:rsidRPr="003A2CED">
        <w:t xml:space="preserve">/UE, </w:t>
      </w:r>
      <w:r w:rsidRPr="003C1F0D">
        <w:t>2014</w:t>
      </w:r>
      <w:r w:rsidRPr="003A2CED">
        <w:t>/</w:t>
      </w:r>
      <w:r w:rsidRPr="003C1F0D">
        <w:t>53</w:t>
      </w:r>
      <w:r w:rsidRPr="003A2CED">
        <w:t xml:space="preserve">/UE y </w:t>
      </w:r>
      <w:r w:rsidRPr="003C1F0D">
        <w:t>2014</w:t>
      </w:r>
      <w:r w:rsidRPr="003A2CED">
        <w:t>/</w:t>
      </w:r>
      <w:r w:rsidRPr="003C1F0D">
        <w:t>68</w:t>
      </w:r>
      <w:r w:rsidRPr="003A2CED">
        <w:t>/UE por lo que respecta a los procedimientos de emergencia para la evaluación de la conformidad, la adopción de especificaciones comunes y la vigilancia del mercado debido a una emergencia del mercado único</w:t>
      </w:r>
      <w:bookmarkEnd w:id="5"/>
      <w:r w:rsidRPr="003A2CED">
        <w:t xml:space="preserve"> </w:t>
      </w:r>
      <w:bookmarkStart w:id="6" w:name="References"/>
      <w:r w:rsidRPr="003A2CED">
        <w:t>(COM(</w:t>
      </w:r>
      <w:r w:rsidRPr="003C1F0D">
        <w:t>2022</w:t>
      </w:r>
      <w:r w:rsidRPr="003A2CED">
        <w:t>)</w:t>
      </w:r>
      <w:r w:rsidRPr="003C1F0D">
        <w:t>0462</w:t>
      </w:r>
      <w:r w:rsidRPr="003A2CED">
        <w:t xml:space="preserve"> – C</w:t>
      </w:r>
      <w:r w:rsidRPr="003C1F0D">
        <w:t>9</w:t>
      </w:r>
      <w:r w:rsidRPr="003A2CED">
        <w:t>-</w:t>
      </w:r>
      <w:r w:rsidRPr="003C1F0D">
        <w:t>0313</w:t>
      </w:r>
      <w:r w:rsidRPr="003A2CED">
        <w:t>/</w:t>
      </w:r>
      <w:r w:rsidRPr="003C1F0D">
        <w:t>2022</w:t>
      </w:r>
      <w:r w:rsidRPr="003A2CED">
        <w:t xml:space="preserve"> – </w:t>
      </w:r>
      <w:r w:rsidRPr="003C1F0D">
        <w:t>2022</w:t>
      </w:r>
      <w:r w:rsidRPr="003A2CED">
        <w:t>/</w:t>
      </w:r>
      <w:r w:rsidRPr="003C1F0D">
        <w:t>0280</w:t>
      </w:r>
      <w:r w:rsidRPr="003A2CED">
        <w:t>(COD))</w:t>
      </w:r>
      <w:bookmarkEnd w:id="6"/>
    </w:p>
    <w:p w:rsidR="00AB3190" w:rsidRPr="003A2CED" w:rsidRDefault="00AB3190" w:rsidP="00AB3190"/>
    <w:p w:rsidR="0018343E" w:rsidRPr="003A2CED" w:rsidRDefault="0018343E" w:rsidP="0018343E">
      <w:pPr>
        <w:pStyle w:val="NormalBold"/>
        <w:rPr>
          <w:lang w:val="es-ES_tradnl"/>
        </w:rPr>
      </w:pPr>
      <w:bookmarkStart w:id="7" w:name="TextBodyBegin"/>
      <w:bookmarkEnd w:id="7"/>
      <w:r w:rsidRPr="003A2CED">
        <w:rPr>
          <w:lang w:val="es-ES_tradnl"/>
        </w:rPr>
        <w:t>(Procedimiento legislativo ordinario: primera lectura)</w:t>
      </w:r>
    </w:p>
    <w:p w:rsidR="0018343E" w:rsidRPr="003A2CED" w:rsidRDefault="0018343E" w:rsidP="0018343E">
      <w:pPr>
        <w:pStyle w:val="EPComma"/>
        <w:rPr>
          <w:lang w:val="es-ES_tradnl"/>
        </w:rPr>
      </w:pPr>
      <w:r w:rsidRPr="003A2CED">
        <w:rPr>
          <w:i/>
          <w:lang w:val="es-ES_tradnl"/>
        </w:rPr>
        <w:t>El Parlamento Europeo</w:t>
      </w:r>
      <w:r w:rsidRPr="003A2CED">
        <w:rPr>
          <w:lang w:val="es-ES_tradnl"/>
        </w:rPr>
        <w:t>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>Vista la propuesta de la Comisión al Parlamento Europeo y al Consejo (COM(</w:t>
      </w:r>
      <w:r w:rsidRPr="003C1F0D">
        <w:rPr>
          <w:lang w:val="es-ES_tradnl"/>
        </w:rPr>
        <w:t>2022</w:t>
      </w:r>
      <w:r w:rsidRPr="003A2CED">
        <w:rPr>
          <w:lang w:val="es-ES_tradnl"/>
        </w:rPr>
        <w:t>)</w:t>
      </w:r>
      <w:r w:rsidRPr="003C1F0D">
        <w:rPr>
          <w:lang w:val="es-ES_tradnl"/>
        </w:rPr>
        <w:t>0462</w:t>
      </w:r>
      <w:r w:rsidRPr="003A2CED">
        <w:rPr>
          <w:lang w:val="es-ES_tradnl"/>
        </w:rPr>
        <w:t>),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>Vistos el artículo </w:t>
      </w:r>
      <w:r w:rsidRPr="003C1F0D">
        <w:rPr>
          <w:lang w:val="es-ES_tradnl"/>
        </w:rPr>
        <w:t>294</w:t>
      </w:r>
      <w:r w:rsidRPr="003A2CED">
        <w:rPr>
          <w:lang w:val="es-ES_tradnl"/>
        </w:rPr>
        <w:t>, apartado </w:t>
      </w:r>
      <w:r w:rsidRPr="003C1F0D">
        <w:rPr>
          <w:lang w:val="es-ES_tradnl"/>
        </w:rPr>
        <w:t>2</w:t>
      </w:r>
      <w:r w:rsidRPr="003A2CED">
        <w:rPr>
          <w:lang w:val="es-ES_tradnl"/>
        </w:rPr>
        <w:t>, y los artículos </w:t>
      </w:r>
      <w:r w:rsidRPr="003C1F0D">
        <w:rPr>
          <w:lang w:val="es-ES_tradnl"/>
        </w:rPr>
        <w:t>91</w:t>
      </w:r>
      <w:r w:rsidRPr="003A2CED">
        <w:rPr>
          <w:lang w:val="es-ES_tradnl"/>
        </w:rPr>
        <w:t xml:space="preserve"> y </w:t>
      </w:r>
      <w:r w:rsidRPr="003C1F0D">
        <w:rPr>
          <w:lang w:val="es-ES_tradnl"/>
        </w:rPr>
        <w:t>114</w:t>
      </w:r>
      <w:r w:rsidRPr="003A2CED">
        <w:rPr>
          <w:lang w:val="es-ES_tradnl"/>
        </w:rPr>
        <w:t>, del Tratado de Funcionamiento de la Unión Europea, conforme a los cuales la Comisión le ha presentado su propuesta (C</w:t>
      </w:r>
      <w:r w:rsidRPr="003C1F0D">
        <w:rPr>
          <w:lang w:val="es-ES_tradnl"/>
        </w:rPr>
        <w:t>9</w:t>
      </w:r>
      <w:r w:rsidRPr="003A2CED">
        <w:rPr>
          <w:lang w:val="es-ES_tradnl"/>
        </w:rPr>
        <w:noBreakHyphen/>
      </w:r>
      <w:r w:rsidRPr="003C1F0D">
        <w:rPr>
          <w:lang w:val="es-ES_tradnl"/>
        </w:rPr>
        <w:t>0313</w:t>
      </w:r>
      <w:r w:rsidRPr="003A2CED">
        <w:rPr>
          <w:lang w:val="es-ES_tradnl"/>
        </w:rPr>
        <w:t>/</w:t>
      </w:r>
      <w:r w:rsidRPr="003C1F0D">
        <w:rPr>
          <w:lang w:val="es-ES_tradnl"/>
        </w:rPr>
        <w:t>2022</w:t>
      </w:r>
      <w:r w:rsidRPr="003A2CED">
        <w:rPr>
          <w:lang w:val="es-ES_tradnl"/>
        </w:rPr>
        <w:t>),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>Visto el artículo </w:t>
      </w:r>
      <w:r w:rsidRPr="003C1F0D">
        <w:rPr>
          <w:lang w:val="es-ES_tradnl"/>
        </w:rPr>
        <w:t>294</w:t>
      </w:r>
      <w:r w:rsidRPr="003A2CED">
        <w:rPr>
          <w:lang w:val="es-ES_tradnl"/>
        </w:rPr>
        <w:t>, apartado </w:t>
      </w:r>
      <w:r w:rsidRPr="003C1F0D">
        <w:rPr>
          <w:lang w:val="es-ES_tradnl"/>
        </w:rPr>
        <w:t>3</w:t>
      </w:r>
      <w:r w:rsidRPr="003A2CED">
        <w:rPr>
          <w:lang w:val="es-ES_tradnl"/>
        </w:rPr>
        <w:t>, del Tratado de Funcionamiento de la Unión Europea,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 xml:space="preserve">Visto el dictamen del Comité Económico y Social Europeo de </w:t>
      </w:r>
      <w:r w:rsidRPr="003C1F0D">
        <w:rPr>
          <w:lang w:val="es-ES_tradnl"/>
        </w:rPr>
        <w:t>14</w:t>
      </w:r>
      <w:r w:rsidRPr="003A2CED">
        <w:rPr>
          <w:lang w:val="es-ES_tradnl"/>
        </w:rPr>
        <w:t xml:space="preserve"> de diciembre de </w:t>
      </w:r>
      <w:r w:rsidRPr="003C1F0D">
        <w:rPr>
          <w:lang w:val="es-ES_tradnl"/>
        </w:rPr>
        <w:t>2022</w:t>
      </w:r>
      <w:r w:rsidRPr="003A2CED">
        <w:rPr>
          <w:vertAlign w:val="superscript"/>
          <w:lang w:val="es-ES_tradnl"/>
        </w:rPr>
        <w:footnoteReference w:id="1"/>
      </w:r>
      <w:r w:rsidRPr="003A2CED">
        <w:rPr>
          <w:lang w:val="es-ES_tradnl"/>
        </w:rPr>
        <w:t>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 xml:space="preserve">Visto el dictamen del Comité de las Regiones de </w:t>
      </w:r>
      <w:r w:rsidRPr="003C1F0D">
        <w:rPr>
          <w:lang w:val="es-ES_tradnl"/>
        </w:rPr>
        <w:t>8</w:t>
      </w:r>
      <w:r w:rsidRPr="003A2CED">
        <w:rPr>
          <w:lang w:val="es-ES_tradnl"/>
        </w:rPr>
        <w:t xml:space="preserve"> de febrero de </w:t>
      </w:r>
      <w:r w:rsidRPr="003C1F0D">
        <w:rPr>
          <w:lang w:val="es-ES_tradnl"/>
        </w:rPr>
        <w:t>2023</w:t>
      </w:r>
      <w:r w:rsidRPr="003A2CED">
        <w:rPr>
          <w:vertAlign w:val="superscript"/>
          <w:lang w:val="es-ES_tradnl"/>
        </w:rPr>
        <w:footnoteReference w:id="2"/>
      </w:r>
      <w:r w:rsidRPr="003A2CED">
        <w:rPr>
          <w:lang w:val="es-ES_tradnl"/>
        </w:rPr>
        <w:t>,</w:t>
      </w:r>
    </w:p>
    <w:p w:rsidR="00E7051C" w:rsidRPr="003A2CED" w:rsidRDefault="00E7051C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 xml:space="preserve">Vistos el acuerdo provisional aprobado por la comisión competente con arreglo al artículo </w:t>
      </w:r>
      <w:r w:rsidRPr="003C1F0D">
        <w:rPr>
          <w:lang w:val="es-ES_tradnl"/>
        </w:rPr>
        <w:t>74</w:t>
      </w:r>
      <w:r w:rsidRPr="003A2CED">
        <w:rPr>
          <w:lang w:val="es-ES_tradnl"/>
        </w:rPr>
        <w:t xml:space="preserve">, apartado </w:t>
      </w:r>
      <w:r w:rsidRPr="003C1F0D">
        <w:rPr>
          <w:lang w:val="es-ES_tradnl"/>
        </w:rPr>
        <w:t>4</w:t>
      </w:r>
      <w:r w:rsidRPr="003A2CED">
        <w:rPr>
          <w:lang w:val="es-ES_tradnl"/>
        </w:rPr>
        <w:t xml:space="preserve">, de su Reglamento interno y el compromiso asumido por el representante del Consejo, mediante carta de </w:t>
      </w:r>
      <w:r w:rsidRPr="003C1F0D">
        <w:rPr>
          <w:lang w:val="es-ES_tradnl"/>
        </w:rPr>
        <w:t>16</w:t>
      </w:r>
      <w:r w:rsidRPr="003A2CED">
        <w:rPr>
          <w:lang w:val="es-ES_tradnl"/>
        </w:rPr>
        <w:t xml:space="preserve"> de febrero de </w:t>
      </w:r>
      <w:r w:rsidRPr="003C1F0D">
        <w:rPr>
          <w:lang w:val="es-ES_tradnl"/>
        </w:rPr>
        <w:t>2024</w:t>
      </w:r>
      <w:r w:rsidRPr="003A2CED">
        <w:rPr>
          <w:lang w:val="es-ES_tradnl"/>
        </w:rPr>
        <w:t xml:space="preserve">, de aprobar la </w:t>
      </w:r>
      <w:r w:rsidRPr="003A2CED">
        <w:rPr>
          <w:lang w:val="es-ES_tradnl"/>
        </w:rPr>
        <w:lastRenderedPageBreak/>
        <w:t xml:space="preserve">Posición del Parlamento Europeo, de conformidad con el artículo </w:t>
      </w:r>
      <w:r w:rsidRPr="003C1F0D">
        <w:rPr>
          <w:lang w:val="es-ES_tradnl"/>
        </w:rPr>
        <w:t>294</w:t>
      </w:r>
      <w:r w:rsidRPr="003A2CED">
        <w:rPr>
          <w:lang w:val="es-ES_tradnl"/>
        </w:rPr>
        <w:t xml:space="preserve">, apartado </w:t>
      </w:r>
      <w:r w:rsidRPr="003C1F0D">
        <w:rPr>
          <w:lang w:val="es-ES_tradnl"/>
        </w:rPr>
        <w:t>4</w:t>
      </w:r>
      <w:r w:rsidRPr="003A2CED">
        <w:rPr>
          <w:lang w:val="es-ES_tradnl"/>
        </w:rPr>
        <w:t>, del Tratado de Funcionamiento de la Unión Europea,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>Visto el artículo </w:t>
      </w:r>
      <w:r w:rsidRPr="003C1F0D">
        <w:rPr>
          <w:lang w:val="es-ES_tradnl"/>
        </w:rPr>
        <w:t>59</w:t>
      </w:r>
      <w:r w:rsidRPr="003A2CED">
        <w:rPr>
          <w:lang w:val="es-ES_tradnl"/>
        </w:rPr>
        <w:t xml:space="preserve"> de su Reglamento interno,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A2CED">
        <w:rPr>
          <w:lang w:val="es-ES_tradnl"/>
        </w:rPr>
        <w:t>–</w:t>
      </w:r>
      <w:r w:rsidRPr="003A2CED">
        <w:rPr>
          <w:lang w:val="es-ES_tradnl"/>
        </w:rPr>
        <w:tab/>
        <w:t>Visto el informe de la Comisión de Mercado Interior y Protección del Consumidor (A</w:t>
      </w:r>
      <w:r w:rsidRPr="003C1F0D">
        <w:rPr>
          <w:lang w:val="es-ES_tradnl"/>
        </w:rPr>
        <w:t>9</w:t>
      </w:r>
      <w:r w:rsidRPr="003A2CED">
        <w:rPr>
          <w:lang w:val="es-ES_tradnl"/>
        </w:rPr>
        <w:t>-</w:t>
      </w:r>
      <w:r w:rsidRPr="003C1F0D">
        <w:rPr>
          <w:lang w:val="es-ES_tradnl"/>
        </w:rPr>
        <w:t>0245</w:t>
      </w:r>
      <w:r w:rsidRPr="003A2CED">
        <w:rPr>
          <w:lang w:val="es-ES_tradnl"/>
        </w:rPr>
        <w:t>/</w:t>
      </w:r>
      <w:r w:rsidRPr="003C1F0D">
        <w:rPr>
          <w:lang w:val="es-ES_tradnl"/>
        </w:rPr>
        <w:t>2023</w:t>
      </w:r>
      <w:r w:rsidRPr="003A2CED">
        <w:rPr>
          <w:lang w:val="es-ES_tradnl"/>
        </w:rPr>
        <w:t>),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C1F0D">
        <w:rPr>
          <w:lang w:val="es-ES_tradnl"/>
        </w:rPr>
        <w:t>1</w:t>
      </w:r>
      <w:r w:rsidRPr="003A2CED">
        <w:rPr>
          <w:lang w:val="es-ES_tradnl"/>
        </w:rPr>
        <w:t>.</w:t>
      </w:r>
      <w:r w:rsidRPr="003A2CED">
        <w:rPr>
          <w:lang w:val="es-ES_tradnl"/>
        </w:rPr>
        <w:tab/>
        <w:t>Aprueba la Posición en primera lectura que figura a continuación;</w:t>
      </w:r>
    </w:p>
    <w:p w:rsidR="0018343E" w:rsidRPr="003A2CED" w:rsidRDefault="0018343E" w:rsidP="0018343E">
      <w:pPr>
        <w:pStyle w:val="NormalHanging12a"/>
        <w:rPr>
          <w:lang w:val="es-ES_tradnl"/>
        </w:rPr>
      </w:pPr>
      <w:r w:rsidRPr="003C1F0D">
        <w:rPr>
          <w:lang w:val="es-ES_tradnl"/>
        </w:rPr>
        <w:t>2</w:t>
      </w:r>
      <w:r w:rsidRPr="003A2CED">
        <w:rPr>
          <w:lang w:val="es-ES_tradnl"/>
        </w:rPr>
        <w:t>.</w:t>
      </w:r>
      <w:r w:rsidRPr="003A2CED">
        <w:rPr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E7051C" w:rsidRPr="003A2CED" w:rsidRDefault="0018343E" w:rsidP="0018343E">
      <w:pPr>
        <w:pStyle w:val="NormalHanging12a"/>
        <w:rPr>
          <w:lang w:val="es-ES_tradnl"/>
        </w:rPr>
        <w:sectPr w:rsidR="00E7051C" w:rsidRPr="003A2CED" w:rsidSect="00465E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C1F0D">
        <w:rPr>
          <w:lang w:val="es-ES_tradnl"/>
        </w:rPr>
        <w:t>3</w:t>
      </w:r>
      <w:r w:rsidRPr="003A2CED">
        <w:rPr>
          <w:lang w:val="es-ES_tradnl"/>
        </w:rPr>
        <w:t>.</w:t>
      </w:r>
      <w:r w:rsidRPr="003A2CED">
        <w:rPr>
          <w:lang w:val="es-ES_tradnl"/>
        </w:rPr>
        <w:tab/>
        <w:t>Encarga a su presidenta que transmita la Posición del Parlamento al Consejo y a la Comisión, así como a los Parlamentos nacionales.</w:t>
      </w:r>
    </w:p>
    <w:p w:rsidR="0025595F" w:rsidRPr="003A2CED" w:rsidRDefault="0025595F" w:rsidP="0025595F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3A2CED">
        <w:rPr>
          <w:rFonts w:eastAsia="Calibri"/>
          <w:b/>
          <w:bCs/>
          <w:color w:val="000000"/>
          <w:szCs w:val="24"/>
        </w:rPr>
        <w:t>P</w:t>
      </w:r>
      <w:r w:rsidRPr="003C1F0D">
        <w:rPr>
          <w:rFonts w:eastAsia="Calibri"/>
          <w:b/>
          <w:bCs/>
          <w:color w:val="000000"/>
          <w:szCs w:val="24"/>
        </w:rPr>
        <w:t>9</w:t>
      </w:r>
      <w:r w:rsidRPr="003A2CED">
        <w:rPr>
          <w:rFonts w:eastAsia="Calibri"/>
          <w:b/>
          <w:bCs/>
          <w:color w:val="000000"/>
          <w:szCs w:val="24"/>
        </w:rPr>
        <w:t>_TC</w:t>
      </w:r>
      <w:r w:rsidRPr="003C1F0D">
        <w:rPr>
          <w:rFonts w:eastAsia="Calibri"/>
          <w:b/>
          <w:bCs/>
          <w:color w:val="000000"/>
          <w:szCs w:val="24"/>
        </w:rPr>
        <w:t>1</w:t>
      </w:r>
      <w:r w:rsidRPr="003A2CED">
        <w:rPr>
          <w:rFonts w:eastAsia="Calibri"/>
          <w:b/>
          <w:bCs/>
          <w:color w:val="000000"/>
          <w:szCs w:val="24"/>
        </w:rPr>
        <w:t>-COD(</w:t>
      </w:r>
      <w:r w:rsidRPr="003C1F0D">
        <w:rPr>
          <w:rFonts w:eastAsia="Calibri"/>
          <w:b/>
          <w:bCs/>
          <w:color w:val="000000"/>
          <w:szCs w:val="24"/>
        </w:rPr>
        <w:t>2022</w:t>
      </w:r>
      <w:r w:rsidRPr="003A2CED">
        <w:rPr>
          <w:rFonts w:eastAsia="Calibri"/>
          <w:b/>
          <w:bCs/>
          <w:color w:val="000000"/>
          <w:szCs w:val="24"/>
        </w:rPr>
        <w:t>)</w:t>
      </w:r>
      <w:r w:rsidRPr="003C1F0D">
        <w:rPr>
          <w:rFonts w:eastAsia="Calibri"/>
          <w:b/>
          <w:bCs/>
          <w:color w:val="000000"/>
          <w:szCs w:val="24"/>
        </w:rPr>
        <w:t>0280</w:t>
      </w:r>
    </w:p>
    <w:p w:rsidR="002001C7" w:rsidRPr="00807170" w:rsidRDefault="0025595F" w:rsidP="002001C7">
      <w:pPr>
        <w:widowControl/>
        <w:spacing w:before="360" w:after="360"/>
        <w:rPr>
          <w:b/>
          <w:szCs w:val="24"/>
          <w:lang w:eastAsia="en-US"/>
        </w:rPr>
      </w:pPr>
      <w:r w:rsidRPr="0028413C">
        <w:rPr>
          <w:b/>
        </w:rPr>
        <w:t>Posición del Parlamento Europeo aprobada en primera lectura el 24 de abril de 2024 con vistas a la adopción de la Dir</w:t>
      </w:r>
      <w:r w:rsidRPr="00807170">
        <w:rPr>
          <w:b/>
        </w:rPr>
        <w:t>ectiva (UE) 2024/... del Parlamento Europeo y del Consejo</w:t>
      </w:r>
      <w:r w:rsidRPr="00807170">
        <w:rPr>
          <w:b/>
          <w:lang w:val="es-ES"/>
        </w:rPr>
        <w:t xml:space="preserve"> </w:t>
      </w:r>
      <w:r w:rsidR="002001C7" w:rsidRPr="00807170">
        <w:rPr>
          <w:b/>
          <w:szCs w:val="24"/>
          <w:lang w:eastAsia="en-US"/>
        </w:rPr>
        <w:t>que modifica las Directivas 2000/14/CE, 2006/42/CE, 2010/35/UE, 2014/29/UE, 2014/30/UE, 2014/33/UE, 2014/34/UE, 2014/35/UE, 2014/53/UE y 2014/68/UE por lo que respecta a los procedimientos de emergencia para la evaluación de la conformidad, la presunción de conformidad, la adopción de especificaciones comunes y la vigilancia del mercado debidos a una emergencia del</w:t>
      </w:r>
      <w:bookmarkStart w:id="9" w:name="_GoBack"/>
      <w:bookmarkEnd w:id="9"/>
      <w:r w:rsidR="002001C7" w:rsidRPr="00807170">
        <w:rPr>
          <w:b/>
          <w:szCs w:val="24"/>
          <w:lang w:eastAsia="en-US"/>
        </w:rPr>
        <w:t xml:space="preserve"> mercado interior</w:t>
      </w:r>
    </w:p>
    <w:p w:rsidR="00E365E1" w:rsidRPr="00807170" w:rsidRDefault="00807170" w:rsidP="0025595F">
      <w:pPr>
        <w:pStyle w:val="AmNumberTabs"/>
        <w:rPr>
          <w:b w:val="0"/>
        </w:rPr>
      </w:pPr>
      <w:r w:rsidRPr="00807170">
        <w:rPr>
          <w:b w:val="0"/>
          <w:i/>
          <w:lang w:val="es-ES_tradnl"/>
        </w:rPr>
        <w:t>(Dado que el Parlamento Europeo y el Consejo llegaron a un acuerdo, la posición del Parlamento coincide con el texto del acto legislativo definitivo, la Directiva (UE) 2024/</w:t>
      </w:r>
      <w:r w:rsidRPr="00807170">
        <w:rPr>
          <w:b w:val="0"/>
          <w:i/>
          <w:lang w:val="es-ES_tradnl"/>
        </w:rPr>
        <w:t>2749</w:t>
      </w:r>
      <w:r w:rsidRPr="00807170">
        <w:rPr>
          <w:b w:val="0"/>
          <w:i/>
          <w:lang w:val="es-ES_tradnl"/>
        </w:rPr>
        <w:t>.)</w:t>
      </w:r>
    </w:p>
    <w:sectPr w:rsidR="00E365E1" w:rsidRPr="00807170" w:rsidSect="00465E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190" w:rsidRPr="00465E80" w:rsidRDefault="00AB3190">
      <w:r w:rsidRPr="00465E80">
        <w:separator/>
      </w:r>
    </w:p>
  </w:endnote>
  <w:endnote w:type="continuationSeparator" w:id="0">
    <w:p w:rsidR="00AB3190" w:rsidRPr="00465E80" w:rsidRDefault="00AB3190">
      <w:r w:rsidRPr="00465E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190" w:rsidRPr="00465E80" w:rsidRDefault="00AB3190">
      <w:r w:rsidRPr="00465E80">
        <w:separator/>
      </w:r>
    </w:p>
  </w:footnote>
  <w:footnote w:type="continuationSeparator" w:id="0">
    <w:p w:rsidR="00AB3190" w:rsidRPr="00465E80" w:rsidRDefault="00AB3190">
      <w:r w:rsidRPr="00465E80">
        <w:continuationSeparator/>
      </w:r>
    </w:p>
  </w:footnote>
  <w:footnote w:id="1">
    <w:p w:rsidR="0018343E" w:rsidRPr="0025595F" w:rsidRDefault="0018343E" w:rsidP="00465E80">
      <w:pPr>
        <w:pStyle w:val="FootnoteText"/>
        <w:ind w:left="567" w:hanging="567"/>
        <w:rPr>
          <w:sz w:val="24"/>
          <w:lang w:val="pt-PT"/>
        </w:rPr>
      </w:pPr>
      <w:r w:rsidRPr="00465E80">
        <w:rPr>
          <w:rStyle w:val="FootnoteReference"/>
          <w:sz w:val="24"/>
          <w:lang w:val="es-ES_tradnl"/>
        </w:rPr>
        <w:footnoteRef/>
      </w:r>
      <w:r w:rsidR="00465E80" w:rsidRPr="0025595F">
        <w:rPr>
          <w:sz w:val="24"/>
          <w:lang w:val="pt-PT"/>
        </w:rPr>
        <w:t xml:space="preserve"> </w:t>
      </w:r>
      <w:r w:rsidR="00465E80" w:rsidRPr="0025595F">
        <w:rPr>
          <w:sz w:val="24"/>
          <w:lang w:val="pt-PT"/>
        </w:rPr>
        <w:tab/>
      </w:r>
      <w:r w:rsidRPr="0025595F">
        <w:rPr>
          <w:sz w:val="24"/>
          <w:lang w:val="pt-PT"/>
        </w:rPr>
        <w:t>DO C </w:t>
      </w:r>
      <w:r w:rsidRPr="003C1F0D">
        <w:rPr>
          <w:sz w:val="24"/>
          <w:lang w:val="pt-PT"/>
        </w:rPr>
        <w:t>100</w:t>
      </w:r>
      <w:r w:rsidRPr="0025595F">
        <w:rPr>
          <w:sz w:val="24"/>
          <w:lang w:val="pt-PT"/>
        </w:rPr>
        <w:t xml:space="preserve"> de </w:t>
      </w:r>
      <w:r w:rsidRPr="003C1F0D">
        <w:rPr>
          <w:sz w:val="24"/>
          <w:lang w:val="pt-PT"/>
        </w:rPr>
        <w:t>16</w:t>
      </w:r>
      <w:r w:rsidRPr="0025595F">
        <w:rPr>
          <w:sz w:val="24"/>
          <w:lang w:val="pt-PT"/>
        </w:rPr>
        <w:t>.</w:t>
      </w:r>
      <w:r w:rsidRPr="003C1F0D">
        <w:rPr>
          <w:sz w:val="24"/>
          <w:lang w:val="pt-PT"/>
        </w:rPr>
        <w:t>3</w:t>
      </w:r>
      <w:r w:rsidRPr="0025595F">
        <w:rPr>
          <w:sz w:val="24"/>
          <w:lang w:val="pt-PT"/>
        </w:rPr>
        <w:t>.</w:t>
      </w:r>
      <w:r w:rsidRPr="003C1F0D">
        <w:rPr>
          <w:sz w:val="24"/>
          <w:lang w:val="pt-PT"/>
        </w:rPr>
        <w:t>2023</w:t>
      </w:r>
      <w:r w:rsidRPr="0025595F">
        <w:rPr>
          <w:sz w:val="24"/>
          <w:lang w:val="pt-PT"/>
        </w:rPr>
        <w:t>, p. </w:t>
      </w:r>
      <w:r w:rsidRPr="003C1F0D">
        <w:rPr>
          <w:sz w:val="24"/>
          <w:lang w:val="pt-PT"/>
        </w:rPr>
        <w:t>95</w:t>
      </w:r>
      <w:r w:rsidRPr="0025595F">
        <w:rPr>
          <w:sz w:val="24"/>
          <w:lang w:val="pt-PT"/>
        </w:rPr>
        <w:t>.</w:t>
      </w:r>
    </w:p>
  </w:footnote>
  <w:footnote w:id="2">
    <w:p w:rsidR="0018343E" w:rsidRPr="0025595F" w:rsidRDefault="0018343E" w:rsidP="00465E80">
      <w:pPr>
        <w:pStyle w:val="FootnoteText"/>
        <w:ind w:left="567" w:hanging="567"/>
        <w:rPr>
          <w:sz w:val="24"/>
          <w:lang w:val="pt-PT"/>
        </w:rPr>
      </w:pPr>
      <w:r w:rsidRPr="00465E80">
        <w:rPr>
          <w:rStyle w:val="FootnoteReference"/>
          <w:sz w:val="24"/>
          <w:lang w:val="es-ES_tradnl"/>
        </w:rPr>
        <w:footnoteRef/>
      </w:r>
      <w:r w:rsidR="00465E80" w:rsidRPr="0025595F">
        <w:rPr>
          <w:sz w:val="24"/>
          <w:lang w:val="pt-PT"/>
        </w:rPr>
        <w:t xml:space="preserve"> </w:t>
      </w:r>
      <w:r w:rsidR="00465E80" w:rsidRPr="0025595F">
        <w:rPr>
          <w:sz w:val="24"/>
          <w:lang w:val="pt-PT"/>
        </w:rPr>
        <w:tab/>
      </w:r>
      <w:r w:rsidRPr="0025595F">
        <w:rPr>
          <w:sz w:val="24"/>
          <w:lang w:val="pt-PT"/>
        </w:rPr>
        <w:t>DO C </w:t>
      </w:r>
      <w:r w:rsidRPr="003C1F0D">
        <w:rPr>
          <w:sz w:val="24"/>
          <w:lang w:val="pt-PT"/>
        </w:rPr>
        <w:t>157</w:t>
      </w:r>
      <w:r w:rsidRPr="0025595F">
        <w:rPr>
          <w:sz w:val="24"/>
          <w:lang w:val="pt-PT"/>
        </w:rPr>
        <w:t xml:space="preserve"> de </w:t>
      </w:r>
      <w:r w:rsidRPr="003C1F0D">
        <w:rPr>
          <w:sz w:val="24"/>
          <w:lang w:val="pt-PT"/>
        </w:rPr>
        <w:t>3</w:t>
      </w:r>
      <w:r w:rsidRPr="0025595F">
        <w:rPr>
          <w:sz w:val="24"/>
          <w:lang w:val="pt-PT"/>
        </w:rPr>
        <w:t>.</w:t>
      </w:r>
      <w:r w:rsidRPr="003C1F0D">
        <w:rPr>
          <w:sz w:val="24"/>
          <w:lang w:val="pt-PT"/>
        </w:rPr>
        <w:t>5</w:t>
      </w:r>
      <w:r w:rsidRPr="0025595F">
        <w:rPr>
          <w:sz w:val="24"/>
          <w:lang w:val="pt-PT"/>
        </w:rPr>
        <w:t>.</w:t>
      </w:r>
      <w:r w:rsidRPr="003C1F0D">
        <w:rPr>
          <w:sz w:val="24"/>
          <w:lang w:val="pt-PT"/>
        </w:rPr>
        <w:t>2023</w:t>
      </w:r>
      <w:r w:rsidRPr="0025595F">
        <w:rPr>
          <w:sz w:val="24"/>
          <w:lang w:val="pt-PT"/>
        </w:rPr>
        <w:t>, p. </w:t>
      </w:r>
      <w:r w:rsidRPr="003C1F0D">
        <w:rPr>
          <w:sz w:val="24"/>
          <w:lang w:val="pt-PT"/>
        </w:rPr>
        <w:t>82</w:t>
      </w:r>
      <w:r w:rsidRPr="0025595F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E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ES"/>
    <w:docVar w:name="dvnumam" w:val="0"/>
    <w:docVar w:name="dvpe" w:val="745.256"/>
    <w:docVar w:name="dvrapporteur" w:val="Ponente: "/>
    <w:docVar w:name="dvstar" w:val="***I"/>
    <w:docVar w:name="dvtitre" w:val="Resolución legislativa del Parlamento Europeo, de 24 de abril de 2024, sobre la propuesta de Directiva del Parlamento Europeo y del Consejo que modifica las Directivas 2000/14/CE, 2006/42/CE, 2010/35/UE, 2013/29/UE, 2014/28/UE, 2014/29/UE, 2014/30/UE, 2014/31/UE, 2014/32/UE, 2014/33/UE, 2014/34/UE, 2014/35/UE, 2014/53/UE y 2014/68/UE por lo que respecta a los procedimientos de emergencia para la evaluación de la conformidad, la adopción de especificaciones comunes y la vigilancia del mercado debido a una emergencia del mercado único(COM(2022)0462 – C9-0313/2022 – 2022/0280(COD))"/>
  </w:docVars>
  <w:rsids>
    <w:rsidRoot w:val="00AB3190"/>
    <w:rsid w:val="00002272"/>
    <w:rsid w:val="00064002"/>
    <w:rsid w:val="000677B9"/>
    <w:rsid w:val="000831BA"/>
    <w:rsid w:val="000A42CC"/>
    <w:rsid w:val="000E7DD9"/>
    <w:rsid w:val="0010095E"/>
    <w:rsid w:val="00125B37"/>
    <w:rsid w:val="0018343E"/>
    <w:rsid w:val="00187494"/>
    <w:rsid w:val="001F32AE"/>
    <w:rsid w:val="002001C7"/>
    <w:rsid w:val="0025595F"/>
    <w:rsid w:val="002767FF"/>
    <w:rsid w:val="0028413C"/>
    <w:rsid w:val="002B18FE"/>
    <w:rsid w:val="002B5493"/>
    <w:rsid w:val="003352C4"/>
    <w:rsid w:val="00343214"/>
    <w:rsid w:val="00361C00"/>
    <w:rsid w:val="00395FA1"/>
    <w:rsid w:val="003A2CED"/>
    <w:rsid w:val="003C1F0D"/>
    <w:rsid w:val="003E15D4"/>
    <w:rsid w:val="00411CCE"/>
    <w:rsid w:val="0041666E"/>
    <w:rsid w:val="00421060"/>
    <w:rsid w:val="00465E8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E2D"/>
    <w:rsid w:val="006B51BD"/>
    <w:rsid w:val="006D46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17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19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5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73B1F"/>
  <w15:chartTrackingRefBased/>
  <w15:docId w15:val="{1B1B8280-9E7D-4010-97A1-135A4583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8343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18343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18343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18343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8343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8343E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18343E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18343E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18343E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18343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8343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es-ES"/>
    </w:rPr>
  </w:style>
  <w:style w:type="paragraph" w:customStyle="1" w:styleId="TOCPage">
    <w:name w:val="TOC Page"/>
    <w:basedOn w:val="Normal"/>
    <w:next w:val="TOC1"/>
    <w:rsid w:val="0018343E"/>
    <w:pPr>
      <w:keepNext/>
      <w:spacing w:after="240"/>
      <w:jc w:val="right"/>
    </w:pPr>
    <w:rPr>
      <w:rFonts w:ascii="Arial" w:hAnsi="Arial"/>
      <w:b/>
      <w:lang w:val="es-ES"/>
    </w:rPr>
  </w:style>
  <w:style w:type="paragraph" w:customStyle="1" w:styleId="Normal6a">
    <w:name w:val="Normal6a"/>
    <w:basedOn w:val="Normal"/>
    <w:rsid w:val="0018343E"/>
    <w:pPr>
      <w:spacing w:after="120"/>
    </w:pPr>
    <w:rPr>
      <w:lang w:val="es-ES"/>
    </w:rPr>
  </w:style>
  <w:style w:type="paragraph" w:customStyle="1" w:styleId="PageHeading">
    <w:name w:val="PageHeading"/>
    <w:basedOn w:val="Normal"/>
    <w:link w:val="PageHeadingChar"/>
    <w:rsid w:val="0018343E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NormalBold">
    <w:name w:val="NormalBold"/>
    <w:basedOn w:val="Normal"/>
    <w:link w:val="NormalBoldChar"/>
    <w:rsid w:val="0018343E"/>
    <w:rPr>
      <w:b/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18343E"/>
    <w:rPr>
      <w:b/>
      <w:sz w:val="24"/>
      <w:lang w:val="es-ES"/>
    </w:rPr>
  </w:style>
  <w:style w:type="paragraph" w:customStyle="1" w:styleId="NormalBold12a">
    <w:name w:val="NormalBold12a"/>
    <w:basedOn w:val="Normal"/>
    <w:rsid w:val="0018343E"/>
    <w:pPr>
      <w:spacing w:after="240"/>
    </w:pPr>
    <w:rPr>
      <w:b/>
      <w:lang w:val="es-ES"/>
    </w:rPr>
  </w:style>
  <w:style w:type="paragraph" w:customStyle="1" w:styleId="AmJustText">
    <w:name w:val="AmJustText"/>
    <w:basedOn w:val="Normal"/>
    <w:rsid w:val="0018343E"/>
    <w:pPr>
      <w:spacing w:after="240"/>
    </w:pPr>
    <w:rPr>
      <w:i/>
      <w:lang w:val="es-ES"/>
    </w:rPr>
  </w:style>
  <w:style w:type="paragraph" w:customStyle="1" w:styleId="NormalHanging12a">
    <w:name w:val="NormalHanging12a"/>
    <w:basedOn w:val="Normal"/>
    <w:rsid w:val="0018343E"/>
    <w:pPr>
      <w:spacing w:after="240"/>
      <w:ind w:left="567" w:hanging="567"/>
    </w:pPr>
    <w:rPr>
      <w:lang w:val="es-ES"/>
    </w:rPr>
  </w:style>
  <w:style w:type="paragraph" w:customStyle="1" w:styleId="CoverNormal24a">
    <w:name w:val="CoverNormal24a"/>
    <w:basedOn w:val="Normal"/>
    <w:rsid w:val="0018343E"/>
    <w:pPr>
      <w:spacing w:after="480"/>
      <w:ind w:left="1417"/>
    </w:pPr>
    <w:rPr>
      <w:lang w:val="es-ES"/>
    </w:rPr>
  </w:style>
  <w:style w:type="paragraph" w:customStyle="1" w:styleId="CoverNormal">
    <w:name w:val="CoverNormal"/>
    <w:basedOn w:val="Normal"/>
    <w:rsid w:val="0018343E"/>
    <w:pPr>
      <w:ind w:left="1418"/>
    </w:pPr>
    <w:rPr>
      <w:lang w:val="es-ES"/>
    </w:rPr>
  </w:style>
  <w:style w:type="paragraph" w:customStyle="1" w:styleId="AmCrossRef">
    <w:name w:val="AmCrossRef"/>
    <w:basedOn w:val="Normal"/>
    <w:rsid w:val="0018343E"/>
    <w:pPr>
      <w:spacing w:before="240" w:after="240"/>
      <w:jc w:val="center"/>
    </w:pPr>
    <w:rPr>
      <w:i/>
      <w:lang w:val="es-ES"/>
    </w:rPr>
  </w:style>
  <w:style w:type="paragraph" w:customStyle="1" w:styleId="AmJustTitle">
    <w:name w:val="AmJustTitle"/>
    <w:basedOn w:val="Normal"/>
    <w:next w:val="AmJustText"/>
    <w:rsid w:val="0018343E"/>
    <w:pPr>
      <w:keepNext/>
      <w:spacing w:before="240" w:after="240"/>
      <w:jc w:val="center"/>
    </w:pPr>
    <w:rPr>
      <w:i/>
      <w:lang w:val="es-ES"/>
    </w:rPr>
  </w:style>
  <w:style w:type="paragraph" w:customStyle="1" w:styleId="CoverReference">
    <w:name w:val="CoverReference"/>
    <w:basedOn w:val="Normal"/>
    <w:rsid w:val="0018343E"/>
    <w:pPr>
      <w:spacing w:before="1080"/>
      <w:jc w:val="right"/>
    </w:pPr>
    <w:rPr>
      <w:rFonts w:ascii="Arial" w:hAnsi="Arial" w:cs="Arial"/>
      <w:b/>
      <w:lang w:val="es-ES"/>
    </w:rPr>
  </w:style>
  <w:style w:type="paragraph" w:customStyle="1" w:styleId="CoverDocType">
    <w:name w:val="CoverDocType"/>
    <w:basedOn w:val="Normal"/>
    <w:rsid w:val="0018343E"/>
    <w:pPr>
      <w:ind w:left="1418"/>
    </w:pPr>
    <w:rPr>
      <w:rFonts w:ascii="Arial" w:hAnsi="Arial"/>
      <w:b/>
      <w:sz w:val="48"/>
      <w:lang w:val="es-ES"/>
    </w:rPr>
  </w:style>
  <w:style w:type="paragraph" w:customStyle="1" w:styleId="CoverDocType24a">
    <w:name w:val="CoverDocType24a"/>
    <w:basedOn w:val="Normal"/>
    <w:rsid w:val="0018343E"/>
    <w:pPr>
      <w:spacing w:after="480"/>
      <w:ind w:left="1418"/>
    </w:pPr>
    <w:rPr>
      <w:rFonts w:ascii="Arial" w:hAnsi="Arial"/>
      <w:b/>
      <w:sz w:val="48"/>
      <w:lang w:val="es-ES"/>
    </w:rPr>
  </w:style>
  <w:style w:type="paragraph" w:customStyle="1" w:styleId="CoverDate">
    <w:name w:val="CoverDate"/>
    <w:basedOn w:val="Normal"/>
    <w:rsid w:val="0018343E"/>
    <w:pPr>
      <w:spacing w:before="240" w:after="1200"/>
    </w:pPr>
    <w:rPr>
      <w:lang w:val="es-ES"/>
    </w:rPr>
  </w:style>
  <w:style w:type="paragraph" w:styleId="Header">
    <w:name w:val="header"/>
    <w:basedOn w:val="Normal"/>
    <w:link w:val="HeaderChar"/>
    <w:rsid w:val="0018343E"/>
    <w:pPr>
      <w:tabs>
        <w:tab w:val="center" w:pos="4513"/>
        <w:tab w:val="right" w:pos="9026"/>
      </w:tabs>
    </w:pPr>
    <w:rPr>
      <w:lang w:val="es-ES"/>
    </w:rPr>
  </w:style>
  <w:style w:type="character" w:customStyle="1" w:styleId="HeaderChar">
    <w:name w:val="Header Char"/>
    <w:basedOn w:val="DefaultParagraphFont"/>
    <w:link w:val="Header"/>
    <w:rsid w:val="0018343E"/>
    <w:rPr>
      <w:sz w:val="24"/>
      <w:lang w:val="es-ES"/>
    </w:rPr>
  </w:style>
  <w:style w:type="paragraph" w:customStyle="1" w:styleId="AmOrLang">
    <w:name w:val="AmOrLang"/>
    <w:basedOn w:val="Normal"/>
    <w:rsid w:val="0018343E"/>
    <w:pPr>
      <w:spacing w:before="240" w:after="240"/>
      <w:jc w:val="right"/>
    </w:pPr>
    <w:rPr>
      <w:lang w:val="es-ES"/>
    </w:rPr>
  </w:style>
  <w:style w:type="paragraph" w:customStyle="1" w:styleId="AmColumnHeading">
    <w:name w:val="AmColumnHeading"/>
    <w:basedOn w:val="Normal"/>
    <w:rsid w:val="0018343E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link w:val="AmNumberTabsChar"/>
    <w:rsid w:val="001834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NormalBold12b">
    <w:name w:val="NormalBold12b"/>
    <w:basedOn w:val="Normal"/>
    <w:link w:val="NormalBold12bChar"/>
    <w:rsid w:val="0018343E"/>
    <w:pPr>
      <w:spacing w:before="240"/>
    </w:pPr>
    <w:rPr>
      <w:b/>
      <w:lang w:val="es-ES"/>
    </w:rPr>
  </w:style>
  <w:style w:type="paragraph" w:customStyle="1" w:styleId="EPBody">
    <w:name w:val="EPBody"/>
    <w:basedOn w:val="Normal"/>
    <w:rsid w:val="0018343E"/>
    <w:pPr>
      <w:jc w:val="center"/>
    </w:pPr>
    <w:rPr>
      <w:rFonts w:ascii="Arial" w:hAnsi="Arial" w:cs="Arial"/>
      <w:i/>
      <w:sz w:val="22"/>
      <w:szCs w:val="22"/>
      <w:lang w:val="es-ES"/>
    </w:rPr>
  </w:style>
  <w:style w:type="paragraph" w:customStyle="1" w:styleId="EPFooter">
    <w:name w:val="EPFooter"/>
    <w:basedOn w:val="Normal"/>
    <w:rsid w:val="0018343E"/>
    <w:pPr>
      <w:tabs>
        <w:tab w:val="center" w:pos="4535"/>
        <w:tab w:val="right" w:pos="9071"/>
      </w:tabs>
      <w:spacing w:before="240" w:after="240"/>
    </w:pPr>
    <w:rPr>
      <w:color w:val="010000"/>
      <w:sz w:val="22"/>
      <w:lang w:val="es-ES"/>
    </w:rPr>
  </w:style>
  <w:style w:type="paragraph" w:customStyle="1" w:styleId="EPComma">
    <w:name w:val="EPComma"/>
    <w:basedOn w:val="Normal"/>
    <w:rsid w:val="0018343E"/>
    <w:pPr>
      <w:spacing w:before="480" w:after="240"/>
    </w:pPr>
    <w:rPr>
      <w:lang w:val="es-ES"/>
    </w:rPr>
  </w:style>
  <w:style w:type="paragraph" w:customStyle="1" w:styleId="Lgendesigne">
    <w:name w:val="Légende signe"/>
    <w:basedOn w:val="Normal"/>
    <w:rsid w:val="0018343E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s-ES" w:eastAsia="en-US"/>
    </w:rPr>
  </w:style>
  <w:style w:type="paragraph" w:customStyle="1" w:styleId="Lgendetitre">
    <w:name w:val="Légende titre"/>
    <w:basedOn w:val="Normal"/>
    <w:rsid w:val="0018343E"/>
    <w:pPr>
      <w:spacing w:before="240" w:after="240"/>
    </w:pPr>
    <w:rPr>
      <w:b/>
      <w:i/>
      <w:snapToGrid w:val="0"/>
      <w:lang w:val="es-ES" w:eastAsia="en-US"/>
    </w:rPr>
  </w:style>
  <w:style w:type="paragraph" w:customStyle="1" w:styleId="Lgendestandard">
    <w:name w:val="Légende standard"/>
    <w:basedOn w:val="Normal"/>
    <w:rsid w:val="0018343E"/>
    <w:rPr>
      <w:sz w:val="18"/>
      <w:lang w:val="es-ES"/>
    </w:rPr>
  </w:style>
  <w:style w:type="paragraph" w:styleId="BalloonText">
    <w:name w:val="Balloon Text"/>
    <w:basedOn w:val="Normal"/>
    <w:link w:val="BalloonTextChar"/>
    <w:unhideWhenUsed/>
    <w:rsid w:val="0018343E"/>
    <w:rPr>
      <w:rFonts w:ascii="Segoe UI" w:hAnsi="Segoe UI" w:cs="Segoe UI"/>
      <w:sz w:val="18"/>
      <w:szCs w:val="18"/>
      <w:lang w:val="es-ES"/>
    </w:rPr>
  </w:style>
  <w:style w:type="character" w:customStyle="1" w:styleId="BalloonTextChar">
    <w:name w:val="Balloon Text Char"/>
    <w:basedOn w:val="DefaultParagraphFont"/>
    <w:link w:val="BalloonText"/>
    <w:rsid w:val="0018343E"/>
    <w:rPr>
      <w:rFonts w:ascii="Segoe UI" w:hAnsi="Segoe UI" w:cs="Segoe UI"/>
      <w:sz w:val="18"/>
      <w:szCs w:val="18"/>
      <w:lang w:val="es-ES"/>
    </w:rPr>
  </w:style>
  <w:style w:type="character" w:customStyle="1" w:styleId="FooterChar">
    <w:name w:val="Footer Char"/>
    <w:basedOn w:val="DefaultParagraphFont"/>
    <w:link w:val="Footer"/>
    <w:rsid w:val="0018343E"/>
    <w:rPr>
      <w:sz w:val="22"/>
    </w:rPr>
  </w:style>
  <w:style w:type="paragraph" w:styleId="Footer">
    <w:name w:val="footer"/>
    <w:link w:val="FooterChar"/>
    <w:unhideWhenUsed/>
    <w:rsid w:val="0018343E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8343E"/>
    <w:rPr>
      <w:sz w:val="24"/>
      <w:lang w:val="es-ES_tradnl"/>
    </w:rPr>
  </w:style>
  <w:style w:type="character" w:customStyle="1" w:styleId="Normal12Char">
    <w:name w:val="Normal12 Char"/>
    <w:basedOn w:val="DefaultParagraphFont"/>
    <w:link w:val="Normal12"/>
    <w:locked/>
    <w:rsid w:val="0018343E"/>
    <w:rPr>
      <w:noProof/>
      <w:sz w:val="24"/>
    </w:rPr>
  </w:style>
  <w:style w:type="paragraph" w:customStyle="1" w:styleId="Normal12">
    <w:name w:val="Normal12"/>
    <w:basedOn w:val="Normal"/>
    <w:link w:val="Normal12Char"/>
    <w:rsid w:val="0018343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8343E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18343E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18343E"/>
    <w:rPr>
      <w:i/>
    </w:rPr>
  </w:style>
  <w:style w:type="paragraph" w:customStyle="1" w:styleId="Footer2">
    <w:name w:val="Footer2"/>
    <w:basedOn w:val="Normal12"/>
    <w:rsid w:val="0018343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8343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834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18343E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18343E"/>
    <w:pPr>
      <w:spacing w:before="240" w:after="240"/>
      <w:jc w:val="right"/>
    </w:pPr>
    <w:rPr>
      <w:noProof/>
      <w:szCs w:val="24"/>
      <w:lang w:val="es-ES"/>
    </w:rPr>
  </w:style>
  <w:style w:type="paragraph" w:customStyle="1" w:styleId="JustificationTitle">
    <w:name w:val="JustificationTitle"/>
    <w:basedOn w:val="Normal"/>
    <w:next w:val="Normal12"/>
    <w:rsid w:val="0018343E"/>
    <w:pPr>
      <w:keepNext/>
      <w:spacing w:before="240" w:after="240"/>
      <w:jc w:val="center"/>
    </w:pPr>
    <w:rPr>
      <w:i/>
      <w:noProof/>
      <w:lang w:val="es-ES"/>
    </w:rPr>
  </w:style>
  <w:style w:type="character" w:styleId="CommentReference">
    <w:name w:val="annotation reference"/>
    <w:basedOn w:val="DefaultParagraphFont"/>
    <w:rsid w:val="001834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343E"/>
    <w:rPr>
      <w:sz w:val="20"/>
      <w:lang w:val="es-ES"/>
    </w:rPr>
  </w:style>
  <w:style w:type="character" w:customStyle="1" w:styleId="CommentTextChar">
    <w:name w:val="Comment Text Char"/>
    <w:basedOn w:val="DefaultParagraphFont"/>
    <w:link w:val="CommentText"/>
    <w:rsid w:val="0018343E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834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343E"/>
    <w:rPr>
      <w:b/>
      <w:bCs/>
      <w:lang w:val="es-ES"/>
    </w:rPr>
  </w:style>
  <w:style w:type="paragraph" w:styleId="Revision">
    <w:name w:val="Revision"/>
    <w:hidden/>
    <w:uiPriority w:val="99"/>
    <w:semiHidden/>
    <w:rsid w:val="0018343E"/>
    <w:rPr>
      <w:sz w:val="24"/>
      <w:lang w:val="es-ES"/>
    </w:rPr>
  </w:style>
  <w:style w:type="character" w:customStyle="1" w:styleId="AmNumberTabsChar">
    <w:name w:val="AmNumberTabs Char"/>
    <w:basedOn w:val="DefaultParagraphFont"/>
    <w:link w:val="AmNumberTabs"/>
    <w:rsid w:val="0018343E"/>
    <w:rPr>
      <w:b/>
      <w:sz w:val="24"/>
      <w:lang w:val="es-ES"/>
    </w:rPr>
  </w:style>
  <w:style w:type="character" w:customStyle="1" w:styleId="NormalBold12bChar">
    <w:name w:val="NormalBold12b Char"/>
    <w:basedOn w:val="AmNumberTabsChar"/>
    <w:link w:val="NormalBold12b"/>
    <w:rsid w:val="0018343E"/>
    <w:rPr>
      <w:b/>
      <w:sz w:val="24"/>
      <w:lang w:val="es-ES"/>
    </w:rPr>
  </w:style>
  <w:style w:type="paragraph" w:customStyle="1" w:styleId="ManualNumPar1">
    <w:name w:val="Manual NumPar 1"/>
    <w:basedOn w:val="Normal"/>
    <w:next w:val="Normal"/>
    <w:rsid w:val="0018343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s-ES" w:eastAsia="en-US"/>
    </w:rPr>
  </w:style>
  <w:style w:type="character" w:styleId="Hyperlink">
    <w:name w:val="Hyperlink"/>
    <w:basedOn w:val="DefaultParagraphFont"/>
    <w:rsid w:val="0018343E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18343E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18343E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18343E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18343E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18343E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exemple">
    <w:name w:val="exemple"/>
    <w:basedOn w:val="Normal"/>
    <w:rsid w:val="0018343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val="es-ES" w:eastAsia="fr-BE"/>
    </w:rPr>
  </w:style>
  <w:style w:type="character" w:customStyle="1" w:styleId="PageHeadingChar">
    <w:name w:val="PageHeading Char"/>
    <w:basedOn w:val="DefaultParagraphFont"/>
    <w:link w:val="PageHeading"/>
    <w:rsid w:val="0018343E"/>
    <w:rPr>
      <w:rFonts w:ascii="Arial" w:hAnsi="Arial" w:cs="Arial"/>
      <w:b/>
      <w:sz w:val="24"/>
      <w:lang w:val="es-ES"/>
    </w:rPr>
  </w:style>
  <w:style w:type="paragraph" w:customStyle="1" w:styleId="Normal12Hanging">
    <w:name w:val="Normal12Hanging"/>
    <w:basedOn w:val="Normal12"/>
    <w:rsid w:val="0025595F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25595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5595F"/>
    <w:pPr>
      <w:spacing w:after="240"/>
      <w:jc w:val="center"/>
    </w:pPr>
  </w:style>
  <w:style w:type="paragraph" w:customStyle="1" w:styleId="AmDateTab">
    <w:name w:val="AmDateTab"/>
    <w:basedOn w:val="Normal"/>
    <w:rsid w:val="0025595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5595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5595F"/>
  </w:style>
  <w:style w:type="paragraph" w:customStyle="1" w:styleId="SignaturePersonne">
    <w:name w:val="Signature Personne"/>
    <w:basedOn w:val="Normal"/>
    <w:rsid w:val="0025595F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25595F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25595F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25595F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25595F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25595F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25595F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25595F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25595F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25595F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25595F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25595F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25595F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25595F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25595F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25595F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25595F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595F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25595F"/>
    <w:rPr>
      <w:color w:val="800080"/>
      <w:u w:val="single"/>
    </w:rPr>
  </w:style>
  <w:style w:type="character" w:styleId="FollowedHyperlink">
    <w:name w:val="FollowedHyperlink"/>
    <w:basedOn w:val="DefaultParagraphFont"/>
    <w:rsid w:val="0025595F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2001C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001C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001C7"/>
    <w:pPr>
      <w:jc w:val="center"/>
    </w:pPr>
  </w:style>
  <w:style w:type="paragraph" w:customStyle="1" w:styleId="Normal24a">
    <w:name w:val="Normal24a"/>
    <w:basedOn w:val="Normal"/>
    <w:rsid w:val="002001C7"/>
    <w:pPr>
      <w:spacing w:after="480"/>
    </w:pPr>
  </w:style>
  <w:style w:type="paragraph" w:customStyle="1" w:styleId="LineSingle">
    <w:name w:val="LineSingle"/>
    <w:basedOn w:val="Normal"/>
    <w:next w:val="Normal"/>
    <w:rsid w:val="002001C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001C7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6956A-7929-4982-99C0-55B75FCC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2</cp:revision>
  <cp:lastPrinted>2004-11-19T15:42:00Z</cp:lastPrinted>
  <dcterms:created xsi:type="dcterms:W3CDTF">2025-03-14T09:16:00Z</dcterms:created>
  <dcterms:modified xsi:type="dcterms:W3CDTF">2025-03-14T09:16:00Z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