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1290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12901" w:rsidRDefault="00307853" w:rsidP="0010095E">
            <w:pPr>
              <w:pStyle w:val="EPName"/>
            </w:pPr>
            <w:r w:rsidRPr="00812901">
              <w:t>Europski parlament</w:t>
            </w:r>
          </w:p>
          <w:p w:rsidR="00751A4A" w:rsidRPr="0081290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E3443">
              <w:t>2019</w:t>
            </w:r>
            <w:r w:rsidRPr="00812901">
              <w:t>-</w:t>
            </w:r>
            <w:r w:rsidRPr="00FE344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812901" w:rsidRDefault="00187494" w:rsidP="0010095E">
            <w:pPr>
              <w:pStyle w:val="EPLogo"/>
            </w:pPr>
            <w:r w:rsidRPr="00812901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12901" w:rsidRDefault="00D058B8" w:rsidP="004C5D52">
      <w:pPr>
        <w:pStyle w:val="LineTop"/>
      </w:pPr>
    </w:p>
    <w:p w:rsidR="00680577" w:rsidRPr="00812901" w:rsidRDefault="00307853" w:rsidP="00680577">
      <w:pPr>
        <w:pStyle w:val="EPBodyTA1"/>
      </w:pPr>
      <w:r w:rsidRPr="00812901">
        <w:t>USVOJENI TEKSTOVI</w:t>
      </w:r>
    </w:p>
    <w:p w:rsidR="00D058B8" w:rsidRPr="00812901" w:rsidRDefault="00D058B8" w:rsidP="00D058B8">
      <w:pPr>
        <w:pStyle w:val="LineBottom"/>
      </w:pPr>
    </w:p>
    <w:p w:rsidR="00307853" w:rsidRPr="00812901" w:rsidRDefault="00307853" w:rsidP="00307853">
      <w:pPr>
        <w:pStyle w:val="ATHeading1"/>
      </w:pPr>
      <w:bookmarkStart w:id="0" w:name="TANumber"/>
      <w:r w:rsidRPr="00812901">
        <w:t>P</w:t>
      </w:r>
      <w:r w:rsidRPr="00FE3443">
        <w:t>9</w:t>
      </w:r>
      <w:r w:rsidRPr="00812901">
        <w:t>_TA(</w:t>
      </w:r>
      <w:r w:rsidRPr="00FE3443">
        <w:t>2024</w:t>
      </w:r>
      <w:r w:rsidRPr="00812901">
        <w:t>)</w:t>
      </w:r>
      <w:r w:rsidRPr="00FE3443">
        <w:t>0</w:t>
      </w:r>
      <w:r w:rsidR="00BE4BE8" w:rsidRPr="00FE3443">
        <w:t>322</w:t>
      </w:r>
      <w:bookmarkEnd w:id="0"/>
    </w:p>
    <w:p w:rsidR="00307853" w:rsidRPr="00812901" w:rsidRDefault="00307853" w:rsidP="00307853">
      <w:pPr>
        <w:pStyle w:val="ATHeading2"/>
      </w:pPr>
      <w:bookmarkStart w:id="1" w:name="title"/>
      <w:r w:rsidRPr="00812901">
        <w:t>Izmjena određenih direktiva u pogledu uspostave Instrumenta za izvanredne okolnosti na jedinstvenom tržištu</w:t>
      </w:r>
      <w:bookmarkEnd w:id="1"/>
    </w:p>
    <w:p w:rsidR="00307853" w:rsidRPr="00812901" w:rsidRDefault="00307853" w:rsidP="00307853">
      <w:pPr>
        <w:rPr>
          <w:i/>
          <w:vanish/>
        </w:rPr>
      </w:pPr>
      <w:r w:rsidRPr="00812901">
        <w:rPr>
          <w:i/>
        </w:rPr>
        <w:fldChar w:fldCharType="begin"/>
      </w:r>
      <w:r w:rsidRPr="00812901">
        <w:rPr>
          <w:i/>
        </w:rPr>
        <w:instrText xml:space="preserve"> TC"(</w:instrText>
      </w:r>
      <w:bookmarkStart w:id="2" w:name="DocNumber"/>
      <w:r w:rsidRPr="00812901">
        <w:rPr>
          <w:i/>
        </w:rPr>
        <w:instrText>A</w:instrText>
      </w:r>
      <w:r w:rsidRPr="00FE3443">
        <w:rPr>
          <w:i/>
        </w:rPr>
        <w:instrText>9</w:instrText>
      </w:r>
      <w:r w:rsidRPr="00812901">
        <w:rPr>
          <w:i/>
        </w:rPr>
        <w:instrText>-</w:instrText>
      </w:r>
      <w:r w:rsidRPr="00FE3443">
        <w:rPr>
          <w:i/>
        </w:rPr>
        <w:instrText>0245</w:instrText>
      </w:r>
      <w:r w:rsidRPr="00812901">
        <w:rPr>
          <w:i/>
        </w:rPr>
        <w:instrText>/</w:instrText>
      </w:r>
      <w:r w:rsidRPr="00FE3443">
        <w:rPr>
          <w:i/>
        </w:rPr>
        <w:instrText>2023</w:instrText>
      </w:r>
      <w:bookmarkEnd w:id="2"/>
      <w:r w:rsidRPr="00812901">
        <w:rPr>
          <w:i/>
        </w:rPr>
        <w:instrText xml:space="preserve"> - Izvjestitelj: </w:instrText>
      </w:r>
      <w:proofErr w:type="spellStart"/>
      <w:r w:rsidRPr="00812901">
        <w:rPr>
          <w:i/>
        </w:rPr>
        <w:instrText>Andreas</w:instrText>
      </w:r>
      <w:proofErr w:type="spellEnd"/>
      <w:r w:rsidRPr="00812901">
        <w:rPr>
          <w:i/>
        </w:rPr>
        <w:instrText xml:space="preserve"> </w:instrText>
      </w:r>
      <w:proofErr w:type="spellStart"/>
      <w:r w:rsidRPr="00812901">
        <w:rPr>
          <w:i/>
        </w:rPr>
        <w:instrText>Schwab</w:instrText>
      </w:r>
      <w:proofErr w:type="spellEnd"/>
      <w:r w:rsidRPr="00812901">
        <w:rPr>
          <w:i/>
        </w:rPr>
        <w:instrText>)"\l</w:instrText>
      </w:r>
      <w:r w:rsidRPr="00FE3443">
        <w:rPr>
          <w:i/>
        </w:rPr>
        <w:instrText>3</w:instrText>
      </w:r>
      <w:r w:rsidRPr="00812901">
        <w:rPr>
          <w:i/>
        </w:rPr>
        <w:instrText xml:space="preserve"> \n&gt; \* MERGEFORMAT </w:instrText>
      </w:r>
      <w:r w:rsidRPr="00812901">
        <w:rPr>
          <w:i/>
        </w:rPr>
        <w:fldChar w:fldCharType="end"/>
      </w:r>
    </w:p>
    <w:p w:rsidR="00307853" w:rsidRPr="00812901" w:rsidRDefault="00307853" w:rsidP="00307853">
      <w:pPr>
        <w:rPr>
          <w:vanish/>
        </w:rPr>
      </w:pPr>
      <w:bookmarkStart w:id="3" w:name="Commission"/>
      <w:r w:rsidRPr="00812901">
        <w:rPr>
          <w:vanish/>
        </w:rPr>
        <w:t>Odbor za unutarnje tržište i zaštitu potrošača</w:t>
      </w:r>
      <w:bookmarkEnd w:id="3"/>
    </w:p>
    <w:p w:rsidR="00307853" w:rsidRPr="00812901" w:rsidRDefault="00307853" w:rsidP="00307853">
      <w:pPr>
        <w:rPr>
          <w:vanish/>
        </w:rPr>
      </w:pPr>
      <w:bookmarkStart w:id="4" w:name="PE"/>
      <w:r w:rsidRPr="00812901">
        <w:rPr>
          <w:vanish/>
        </w:rPr>
        <w:t>PE</w:t>
      </w:r>
      <w:r w:rsidRPr="00FE3443">
        <w:rPr>
          <w:vanish/>
        </w:rPr>
        <w:t>745</w:t>
      </w:r>
      <w:r w:rsidRPr="00812901">
        <w:rPr>
          <w:vanish/>
        </w:rPr>
        <w:t>.</w:t>
      </w:r>
      <w:r w:rsidRPr="00FE3443">
        <w:rPr>
          <w:vanish/>
        </w:rPr>
        <w:t>256</w:t>
      </w:r>
      <w:bookmarkEnd w:id="4"/>
    </w:p>
    <w:p w:rsidR="00307853" w:rsidRPr="00812901" w:rsidRDefault="00307853" w:rsidP="00307853">
      <w:pPr>
        <w:pStyle w:val="ATHeading3"/>
      </w:pPr>
      <w:bookmarkStart w:id="5" w:name="Sujet"/>
      <w:r w:rsidRPr="00812901">
        <w:t>Zakonodavna rezolu</w:t>
      </w:r>
      <w:r w:rsidR="00812901">
        <w:t xml:space="preserve">cija Europskog parlamenta od </w:t>
      </w:r>
      <w:r w:rsidR="00812901" w:rsidRPr="00FE3443">
        <w:t>24</w:t>
      </w:r>
      <w:r w:rsidRPr="00812901">
        <w:t xml:space="preserve">. </w:t>
      </w:r>
      <w:r w:rsidR="00812901">
        <w:t xml:space="preserve">travnja </w:t>
      </w:r>
      <w:r w:rsidRPr="00FE3443">
        <w:t>2024</w:t>
      </w:r>
      <w:r w:rsidRPr="00812901">
        <w:t xml:space="preserve">. o prijedlogu direktive Europskog parlamenta i Vijeća o izmjeni direktiva </w:t>
      </w:r>
      <w:r w:rsidRPr="00FE3443">
        <w:t>2000</w:t>
      </w:r>
      <w:r w:rsidRPr="00812901">
        <w:t>/</w:t>
      </w:r>
      <w:r w:rsidRPr="00FE3443">
        <w:t>14</w:t>
      </w:r>
      <w:r w:rsidRPr="00812901">
        <w:t xml:space="preserve">/EZ, </w:t>
      </w:r>
      <w:r w:rsidRPr="00FE3443">
        <w:t>2006</w:t>
      </w:r>
      <w:r w:rsidRPr="00812901">
        <w:t>/</w:t>
      </w:r>
      <w:r w:rsidRPr="00FE3443">
        <w:t>42</w:t>
      </w:r>
      <w:r w:rsidRPr="00812901">
        <w:t xml:space="preserve">/EZ, </w:t>
      </w:r>
      <w:r w:rsidRPr="00FE3443">
        <w:t>2010</w:t>
      </w:r>
      <w:r w:rsidRPr="00812901">
        <w:t>/</w:t>
      </w:r>
      <w:r w:rsidRPr="00FE3443">
        <w:t>35</w:t>
      </w:r>
      <w:r w:rsidRPr="00812901">
        <w:t xml:space="preserve">/EU, </w:t>
      </w:r>
      <w:r w:rsidRPr="00FE3443">
        <w:t>2013</w:t>
      </w:r>
      <w:r w:rsidRPr="00812901">
        <w:t>/</w:t>
      </w:r>
      <w:r w:rsidRPr="00FE3443">
        <w:t>29</w:t>
      </w:r>
      <w:r w:rsidRPr="00812901">
        <w:t xml:space="preserve">/EU, </w:t>
      </w:r>
      <w:r w:rsidRPr="00FE3443">
        <w:t>2014</w:t>
      </w:r>
      <w:r w:rsidRPr="00812901">
        <w:t>/</w:t>
      </w:r>
      <w:r w:rsidRPr="00FE3443">
        <w:t>28</w:t>
      </w:r>
      <w:r w:rsidRPr="00812901">
        <w:t xml:space="preserve">/EU, </w:t>
      </w:r>
      <w:r w:rsidRPr="00FE3443">
        <w:t>2014</w:t>
      </w:r>
      <w:r w:rsidRPr="00812901">
        <w:t>/</w:t>
      </w:r>
      <w:r w:rsidRPr="00FE3443">
        <w:t>29</w:t>
      </w:r>
      <w:r w:rsidRPr="00812901">
        <w:t xml:space="preserve">/EU, </w:t>
      </w:r>
      <w:r w:rsidRPr="00FE3443">
        <w:t>2014</w:t>
      </w:r>
      <w:r w:rsidRPr="00812901">
        <w:t>/</w:t>
      </w:r>
      <w:r w:rsidRPr="00FE3443">
        <w:t>30</w:t>
      </w:r>
      <w:r w:rsidRPr="00812901">
        <w:t xml:space="preserve">/EU, </w:t>
      </w:r>
      <w:r w:rsidRPr="00FE3443">
        <w:t>2014</w:t>
      </w:r>
      <w:r w:rsidRPr="00812901">
        <w:t>/</w:t>
      </w:r>
      <w:r w:rsidRPr="00FE3443">
        <w:t>31</w:t>
      </w:r>
      <w:r w:rsidRPr="00812901">
        <w:t xml:space="preserve">/EU, </w:t>
      </w:r>
      <w:r w:rsidRPr="00FE3443">
        <w:t>2014</w:t>
      </w:r>
      <w:r w:rsidRPr="00812901">
        <w:t>/</w:t>
      </w:r>
      <w:r w:rsidRPr="00FE3443">
        <w:t>32</w:t>
      </w:r>
      <w:r w:rsidRPr="00812901">
        <w:t xml:space="preserve">/EU, </w:t>
      </w:r>
      <w:r w:rsidRPr="00FE3443">
        <w:t>2014</w:t>
      </w:r>
      <w:r w:rsidRPr="00812901">
        <w:t>/</w:t>
      </w:r>
      <w:r w:rsidRPr="00FE3443">
        <w:t>33</w:t>
      </w:r>
      <w:r w:rsidRPr="00812901">
        <w:t xml:space="preserve">/EU, </w:t>
      </w:r>
      <w:r w:rsidRPr="00FE3443">
        <w:t>2014</w:t>
      </w:r>
      <w:r w:rsidRPr="00812901">
        <w:t>/</w:t>
      </w:r>
      <w:r w:rsidRPr="00FE3443">
        <w:t>34</w:t>
      </w:r>
      <w:r w:rsidRPr="00812901">
        <w:t xml:space="preserve">/EU, </w:t>
      </w:r>
      <w:r w:rsidRPr="00FE3443">
        <w:t>2014</w:t>
      </w:r>
      <w:r w:rsidRPr="00812901">
        <w:t>/</w:t>
      </w:r>
      <w:r w:rsidRPr="00FE3443">
        <w:t>35</w:t>
      </w:r>
      <w:r w:rsidRPr="00812901">
        <w:t xml:space="preserve">/EU, </w:t>
      </w:r>
      <w:r w:rsidRPr="00FE3443">
        <w:t>2014</w:t>
      </w:r>
      <w:r w:rsidRPr="00812901">
        <w:t>/</w:t>
      </w:r>
      <w:r w:rsidRPr="00FE3443">
        <w:t>53</w:t>
      </w:r>
      <w:r w:rsidRPr="00812901">
        <w:t xml:space="preserve">/EU i </w:t>
      </w:r>
      <w:r w:rsidRPr="00FE3443">
        <w:t>2014</w:t>
      </w:r>
      <w:r w:rsidRPr="00812901">
        <w:t>/</w:t>
      </w:r>
      <w:r w:rsidRPr="00FE3443">
        <w:t>68</w:t>
      </w:r>
      <w:r w:rsidRPr="00812901">
        <w:t>/EU u pogledu izvanrednih postupaka za ocjenjivanje sukladnosti, donošenje zajedničkih specifikacija i nadzor tržišta zbog izvanrednih okolnosti na jedinstvenom tržištu</w:t>
      </w:r>
      <w:bookmarkEnd w:id="5"/>
      <w:r w:rsidRPr="00812901">
        <w:t xml:space="preserve"> </w:t>
      </w:r>
      <w:bookmarkStart w:id="6" w:name="References"/>
      <w:r w:rsidRPr="00812901">
        <w:t>(COM(</w:t>
      </w:r>
      <w:r w:rsidRPr="00FE3443">
        <w:t>2022</w:t>
      </w:r>
      <w:r w:rsidRPr="00812901">
        <w:t>)</w:t>
      </w:r>
      <w:r w:rsidRPr="00FE3443">
        <w:t>0462</w:t>
      </w:r>
      <w:r w:rsidRPr="00812901">
        <w:t xml:space="preserve"> – C</w:t>
      </w:r>
      <w:r w:rsidRPr="00FE3443">
        <w:t>9</w:t>
      </w:r>
      <w:r w:rsidRPr="00812901">
        <w:t>-</w:t>
      </w:r>
      <w:r w:rsidRPr="00FE3443">
        <w:t>0313</w:t>
      </w:r>
      <w:r w:rsidRPr="00812901">
        <w:t>/</w:t>
      </w:r>
      <w:r w:rsidRPr="00FE3443">
        <w:t>2022</w:t>
      </w:r>
      <w:r w:rsidRPr="00812901">
        <w:t xml:space="preserve"> – </w:t>
      </w:r>
      <w:r w:rsidRPr="00FE3443">
        <w:t>2022</w:t>
      </w:r>
      <w:r w:rsidRPr="00812901">
        <w:t>/</w:t>
      </w:r>
      <w:r w:rsidRPr="00FE3443">
        <w:t>0280</w:t>
      </w:r>
      <w:r w:rsidRPr="00812901">
        <w:t>(COD))</w:t>
      </w:r>
      <w:bookmarkEnd w:id="6"/>
    </w:p>
    <w:p w:rsidR="00307853" w:rsidRPr="00812901" w:rsidRDefault="00307853" w:rsidP="00307853"/>
    <w:p w:rsidR="000B7079" w:rsidRPr="00812901" w:rsidRDefault="000B7079" w:rsidP="000B7079">
      <w:pPr>
        <w:pStyle w:val="NormalBold"/>
      </w:pPr>
      <w:bookmarkStart w:id="7" w:name="TextBodyBegin"/>
      <w:bookmarkEnd w:id="7"/>
      <w:r w:rsidRPr="00812901">
        <w:t>(Redovni zakonodavni postupak: prvo čitanje)</w:t>
      </w:r>
    </w:p>
    <w:p w:rsidR="000B7079" w:rsidRPr="00812901" w:rsidRDefault="000B7079" w:rsidP="000B7079">
      <w:pPr>
        <w:pStyle w:val="EPComma"/>
      </w:pPr>
      <w:r w:rsidRPr="00812901">
        <w:t>Europski parlament,</w:t>
      </w:r>
    </w:p>
    <w:p w:rsidR="000B7079" w:rsidRPr="00812901" w:rsidRDefault="000B7079" w:rsidP="000B7079">
      <w:pPr>
        <w:pStyle w:val="NormalHanging12a"/>
      </w:pPr>
      <w:r w:rsidRPr="00812901">
        <w:t>–</w:t>
      </w:r>
      <w:r w:rsidRPr="00812901">
        <w:tab/>
        <w:t>uzimajući u obzir Prijedlog Komisije upućen Europskom parlamentu i Vijeću (COM(</w:t>
      </w:r>
      <w:r w:rsidRPr="00FE3443">
        <w:t>2022</w:t>
      </w:r>
      <w:r w:rsidRPr="00812901">
        <w:t>)</w:t>
      </w:r>
      <w:r w:rsidRPr="00FE3443">
        <w:t>0462</w:t>
      </w:r>
      <w:r w:rsidRPr="00812901">
        <w:t>),</w:t>
      </w:r>
    </w:p>
    <w:p w:rsidR="000B7079" w:rsidRPr="00812901" w:rsidRDefault="000B7079" w:rsidP="000B7079">
      <w:pPr>
        <w:pStyle w:val="NormalHanging12a"/>
      </w:pPr>
      <w:r w:rsidRPr="00812901">
        <w:t>–</w:t>
      </w:r>
      <w:r w:rsidRPr="00812901">
        <w:tab/>
        <w:t xml:space="preserve">uzimajući u obzir članak </w:t>
      </w:r>
      <w:r w:rsidRPr="00FE3443">
        <w:t>294</w:t>
      </w:r>
      <w:r w:rsidRPr="00812901">
        <w:t xml:space="preserve">. stavak </w:t>
      </w:r>
      <w:r w:rsidRPr="00FE3443">
        <w:t>2</w:t>
      </w:r>
      <w:r w:rsidRPr="00812901">
        <w:t xml:space="preserve">. i članke </w:t>
      </w:r>
      <w:r w:rsidRPr="00FE3443">
        <w:t>91</w:t>
      </w:r>
      <w:r w:rsidRPr="00812901">
        <w:t xml:space="preserve">. i </w:t>
      </w:r>
      <w:r w:rsidRPr="00FE3443">
        <w:t>114</w:t>
      </w:r>
      <w:r w:rsidRPr="00812901">
        <w:t>. Ugovora o funkcioniranju Europske unije, u skladu s kojima je Komisija podnijela Prijedlog Parlamentu (C</w:t>
      </w:r>
      <w:r w:rsidRPr="00FE3443">
        <w:t>9</w:t>
      </w:r>
      <w:r w:rsidRPr="00812901">
        <w:noBreakHyphen/>
      </w:r>
      <w:r w:rsidRPr="00FE3443">
        <w:t>0313</w:t>
      </w:r>
      <w:r w:rsidRPr="00812901">
        <w:t>/</w:t>
      </w:r>
      <w:r w:rsidRPr="00FE3443">
        <w:t>2022</w:t>
      </w:r>
      <w:r w:rsidRPr="00812901">
        <w:t>),</w:t>
      </w:r>
    </w:p>
    <w:p w:rsidR="000B7079" w:rsidRPr="00812901" w:rsidRDefault="000B7079" w:rsidP="000B7079">
      <w:pPr>
        <w:pStyle w:val="NormalHanging12a"/>
      </w:pPr>
      <w:r w:rsidRPr="00812901">
        <w:t>–</w:t>
      </w:r>
      <w:r w:rsidRPr="00812901">
        <w:tab/>
        <w:t xml:space="preserve">uzimajući u obzir članak </w:t>
      </w:r>
      <w:r w:rsidRPr="00FE3443">
        <w:t>294</w:t>
      </w:r>
      <w:r w:rsidRPr="00812901">
        <w:t xml:space="preserve">. stavak </w:t>
      </w:r>
      <w:r w:rsidRPr="00FE3443">
        <w:t>3</w:t>
      </w:r>
      <w:r w:rsidRPr="00812901">
        <w:t>. Ugovora o funkcioniranju Europske unije,</w:t>
      </w:r>
    </w:p>
    <w:p w:rsidR="000B7079" w:rsidRPr="00812901" w:rsidRDefault="000B7079" w:rsidP="000B7079">
      <w:pPr>
        <w:pStyle w:val="NormalHanging12a"/>
      </w:pPr>
      <w:r w:rsidRPr="00812901">
        <w:t>–</w:t>
      </w:r>
      <w:r w:rsidRPr="00812901">
        <w:tab/>
        <w:t xml:space="preserve">uzimajući u obzir mišljenje Europskoga gospodarskog i socijalnog odbora od </w:t>
      </w:r>
      <w:r w:rsidRPr="00FE3443">
        <w:t>14</w:t>
      </w:r>
      <w:r w:rsidRPr="00812901">
        <w:t>. prosinca </w:t>
      </w:r>
      <w:r w:rsidRPr="00FE3443">
        <w:t>2022</w:t>
      </w:r>
      <w:r w:rsidRPr="00812901">
        <w:t>.</w:t>
      </w:r>
      <w:r w:rsidRPr="00812901">
        <w:rPr>
          <w:vertAlign w:val="superscript"/>
        </w:rPr>
        <w:footnoteReference w:id="1"/>
      </w:r>
      <w:r w:rsidRPr="00812901">
        <w:t>,</w:t>
      </w:r>
    </w:p>
    <w:p w:rsidR="000B7079" w:rsidRDefault="000B7079" w:rsidP="000B7079">
      <w:pPr>
        <w:pStyle w:val="NormalHanging12a"/>
      </w:pPr>
      <w:r w:rsidRPr="00812901">
        <w:t>–</w:t>
      </w:r>
      <w:r w:rsidRPr="00812901">
        <w:tab/>
        <w:t xml:space="preserve">uzimajući u obzir mišljenje Odbora regija od </w:t>
      </w:r>
      <w:r w:rsidRPr="00FE3443">
        <w:t>8</w:t>
      </w:r>
      <w:r w:rsidRPr="00812901">
        <w:t>. veljače </w:t>
      </w:r>
      <w:r w:rsidRPr="00FE3443">
        <w:t>2023</w:t>
      </w:r>
      <w:r w:rsidRPr="00812901">
        <w:t>.</w:t>
      </w:r>
      <w:r w:rsidRPr="00812901">
        <w:rPr>
          <w:vertAlign w:val="superscript"/>
        </w:rPr>
        <w:footnoteReference w:id="2"/>
      </w:r>
      <w:r w:rsidRPr="00812901">
        <w:t>,</w:t>
      </w:r>
    </w:p>
    <w:p w:rsidR="00F94675" w:rsidRPr="00812901" w:rsidRDefault="00F94675" w:rsidP="000B7079">
      <w:pPr>
        <w:pStyle w:val="NormalHanging12a"/>
      </w:pPr>
      <w:r w:rsidRPr="002F0A61">
        <w:rPr>
          <w:szCs w:val="24"/>
        </w:rPr>
        <w:t>–</w:t>
      </w:r>
      <w:r w:rsidRPr="002F0A61">
        <w:rPr>
          <w:szCs w:val="24"/>
        </w:rPr>
        <w:tab/>
      </w:r>
      <w:r w:rsidRPr="00C55871">
        <w:rPr>
          <w:szCs w:val="24"/>
        </w:rPr>
        <w:t>uzimajući u o</w:t>
      </w:r>
      <w:r>
        <w:rPr>
          <w:szCs w:val="24"/>
        </w:rPr>
        <w:t>bzir privremeni sporazum koji je odobrio</w:t>
      </w:r>
      <w:r w:rsidRPr="00C55871">
        <w:rPr>
          <w:szCs w:val="24"/>
        </w:rPr>
        <w:t xml:space="preserve"> nadležni odbor u skladu s član</w:t>
      </w:r>
      <w:r w:rsidRPr="002F0A61">
        <w:rPr>
          <w:szCs w:val="24"/>
        </w:rPr>
        <w:t xml:space="preserve">kom </w:t>
      </w:r>
      <w:r w:rsidRPr="00FE3443">
        <w:rPr>
          <w:szCs w:val="24"/>
        </w:rPr>
        <w:t>74</w:t>
      </w:r>
      <w:r w:rsidRPr="002F0A61">
        <w:rPr>
          <w:szCs w:val="24"/>
        </w:rPr>
        <w:t>.</w:t>
      </w:r>
      <w:r w:rsidRPr="00C55871">
        <w:rPr>
          <w:szCs w:val="24"/>
        </w:rPr>
        <w:t xml:space="preserve"> stavkom </w:t>
      </w:r>
      <w:r w:rsidRPr="00FE3443">
        <w:rPr>
          <w:szCs w:val="24"/>
        </w:rPr>
        <w:t>4</w:t>
      </w:r>
      <w:r w:rsidRPr="002F0A61">
        <w:rPr>
          <w:szCs w:val="24"/>
        </w:rPr>
        <w:t>. Poslovnika te činjenicu</w:t>
      </w:r>
      <w:r w:rsidRPr="00C55871">
        <w:rPr>
          <w:szCs w:val="24"/>
        </w:rPr>
        <w:t xml:space="preserve"> da s</w:t>
      </w:r>
      <w:r w:rsidRPr="002F0A61">
        <w:rPr>
          <w:szCs w:val="24"/>
        </w:rPr>
        <w:t>e</w:t>
      </w:r>
      <w:r>
        <w:rPr>
          <w:szCs w:val="24"/>
        </w:rPr>
        <w:t xml:space="preserve"> predstavnik Vijeća pismom od </w:t>
      </w:r>
      <w:r w:rsidRPr="00FE3443">
        <w:rPr>
          <w:szCs w:val="24"/>
        </w:rPr>
        <w:t>16</w:t>
      </w:r>
      <w:r>
        <w:rPr>
          <w:szCs w:val="24"/>
        </w:rPr>
        <w:t>. veljače</w:t>
      </w:r>
      <w:r w:rsidRPr="002F0A61">
        <w:rPr>
          <w:szCs w:val="24"/>
        </w:rPr>
        <w:t xml:space="preserve"> </w:t>
      </w:r>
      <w:r w:rsidRPr="00FE3443">
        <w:rPr>
          <w:szCs w:val="24"/>
        </w:rPr>
        <w:t>2024</w:t>
      </w:r>
      <w:r w:rsidRPr="00C55871">
        <w:rPr>
          <w:szCs w:val="24"/>
        </w:rPr>
        <w:t xml:space="preserve">. obvezao prihvatiti stajalište Europskog parlamenta u skladu s člankom </w:t>
      </w:r>
      <w:r w:rsidRPr="00FE3443">
        <w:rPr>
          <w:szCs w:val="24"/>
        </w:rPr>
        <w:lastRenderedPageBreak/>
        <w:t>294</w:t>
      </w:r>
      <w:r w:rsidRPr="00C55871">
        <w:rPr>
          <w:szCs w:val="24"/>
        </w:rPr>
        <w:t xml:space="preserve">. stavkom </w:t>
      </w:r>
      <w:r w:rsidRPr="00FE3443">
        <w:rPr>
          <w:szCs w:val="24"/>
        </w:rPr>
        <w:t>4</w:t>
      </w:r>
      <w:r w:rsidRPr="00C55871">
        <w:rPr>
          <w:szCs w:val="24"/>
        </w:rPr>
        <w:t>. Ugovora o funkcioniranju Europske unije</w:t>
      </w:r>
      <w:r>
        <w:rPr>
          <w:szCs w:val="24"/>
        </w:rPr>
        <w:t>,</w:t>
      </w:r>
    </w:p>
    <w:p w:rsidR="000B7079" w:rsidRPr="00812901" w:rsidRDefault="000B7079" w:rsidP="000B7079">
      <w:pPr>
        <w:pStyle w:val="NormalHanging12a"/>
      </w:pPr>
      <w:r w:rsidRPr="00812901">
        <w:t>–</w:t>
      </w:r>
      <w:r w:rsidRPr="00812901">
        <w:tab/>
        <w:t xml:space="preserve">uzimajući u obzir članak </w:t>
      </w:r>
      <w:r w:rsidRPr="00FE3443">
        <w:t>59</w:t>
      </w:r>
      <w:r w:rsidRPr="00812901">
        <w:t>. Poslovnika,</w:t>
      </w:r>
    </w:p>
    <w:p w:rsidR="000B7079" w:rsidRPr="00812901" w:rsidRDefault="000B7079" w:rsidP="000B7079">
      <w:pPr>
        <w:pStyle w:val="NormalHanging12a"/>
      </w:pPr>
      <w:r w:rsidRPr="00812901">
        <w:t>–</w:t>
      </w:r>
      <w:r w:rsidRPr="00812901">
        <w:tab/>
        <w:t>uzimajući u obzir izvješće Odbora za unutarnje tržište i zaštitu potrošača (A</w:t>
      </w:r>
      <w:r w:rsidRPr="00FE3443">
        <w:t>9</w:t>
      </w:r>
      <w:r w:rsidRPr="00812901">
        <w:t>-</w:t>
      </w:r>
      <w:r w:rsidRPr="00FE3443">
        <w:t>0245</w:t>
      </w:r>
      <w:r w:rsidRPr="00812901">
        <w:t>/</w:t>
      </w:r>
      <w:r w:rsidRPr="00FE3443">
        <w:t>2023</w:t>
      </w:r>
      <w:r w:rsidRPr="00812901">
        <w:t>),</w:t>
      </w:r>
    </w:p>
    <w:p w:rsidR="000B7079" w:rsidRPr="00812901" w:rsidRDefault="000B7079" w:rsidP="000B7079">
      <w:pPr>
        <w:pStyle w:val="NormalHanging12a"/>
      </w:pPr>
      <w:r w:rsidRPr="00FE3443">
        <w:t>1</w:t>
      </w:r>
      <w:r w:rsidRPr="00812901">
        <w:t>.</w:t>
      </w:r>
      <w:r w:rsidRPr="00812901">
        <w:tab/>
        <w:t>usvaja sljedeće stajalište u prvom čitanju;</w:t>
      </w:r>
    </w:p>
    <w:p w:rsidR="000B7079" w:rsidRPr="00812901" w:rsidRDefault="000B7079" w:rsidP="000B7079">
      <w:pPr>
        <w:pStyle w:val="NormalHanging12a"/>
      </w:pPr>
      <w:r w:rsidRPr="00FE3443">
        <w:t>2</w:t>
      </w:r>
      <w:r w:rsidRPr="00812901">
        <w:t>.</w:t>
      </w:r>
      <w:r w:rsidRPr="00812901">
        <w:tab/>
        <w:t>poziva Komisiju da predmet ponovno uputi Parlamentu ako zamijeni, bitno izmijeni ili namjerava bitno izmijeniti svoj Prijedlog;</w:t>
      </w:r>
    </w:p>
    <w:p w:rsidR="000B7079" w:rsidRPr="00812901" w:rsidRDefault="000B7079" w:rsidP="000B7079">
      <w:pPr>
        <w:pStyle w:val="NormalHanging12a"/>
      </w:pPr>
      <w:r w:rsidRPr="00FE3443">
        <w:t>3</w:t>
      </w:r>
      <w:r w:rsidRPr="00812901">
        <w:t>.</w:t>
      </w:r>
      <w:r w:rsidRPr="00812901">
        <w:tab/>
        <w:t>nalaže svojoj predsjednici da stajalište Parlamenta proslijedi Vijeću, Komisiji i nacionalnim parlamentima.</w:t>
      </w:r>
    </w:p>
    <w:p w:rsidR="00F94675" w:rsidRDefault="00F94675" w:rsidP="00F94675">
      <w:pPr>
        <w:pStyle w:val="AMNumberTabs0"/>
        <w:sectPr w:rsidR="00F94675" w:rsidSect="003F63C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160B51" w:rsidRPr="0031473F" w:rsidRDefault="00160B51" w:rsidP="00160B5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31473F">
        <w:rPr>
          <w:rFonts w:eastAsia="Calibri"/>
          <w:b/>
          <w:bCs/>
          <w:color w:val="000000"/>
          <w:szCs w:val="24"/>
        </w:rPr>
        <w:lastRenderedPageBreak/>
        <w:t>P</w:t>
      </w:r>
      <w:r w:rsidRPr="00FE3443">
        <w:rPr>
          <w:rFonts w:eastAsia="Calibri"/>
          <w:b/>
          <w:bCs/>
          <w:color w:val="000000"/>
          <w:szCs w:val="24"/>
        </w:rPr>
        <w:t>9</w:t>
      </w:r>
      <w:r w:rsidRPr="0031473F">
        <w:rPr>
          <w:rFonts w:eastAsia="Calibri"/>
          <w:b/>
          <w:bCs/>
          <w:color w:val="000000"/>
          <w:szCs w:val="24"/>
        </w:rPr>
        <w:t>_TC</w:t>
      </w:r>
      <w:r w:rsidRPr="00FE3443">
        <w:rPr>
          <w:rFonts w:eastAsia="Calibri"/>
          <w:b/>
          <w:bCs/>
          <w:color w:val="000000"/>
          <w:szCs w:val="24"/>
        </w:rPr>
        <w:t>1</w:t>
      </w:r>
      <w:r w:rsidRPr="0031473F">
        <w:rPr>
          <w:rFonts w:eastAsia="Calibri"/>
          <w:b/>
          <w:bCs/>
          <w:color w:val="000000"/>
          <w:szCs w:val="24"/>
        </w:rPr>
        <w:t>-COD(</w:t>
      </w:r>
      <w:r w:rsidRPr="00FE3443">
        <w:rPr>
          <w:rFonts w:eastAsia="Calibri"/>
          <w:b/>
          <w:bCs/>
          <w:color w:val="000000"/>
          <w:szCs w:val="24"/>
        </w:rPr>
        <w:t>2022</w:t>
      </w:r>
      <w:r w:rsidRPr="0031473F">
        <w:rPr>
          <w:rFonts w:eastAsia="Calibri"/>
          <w:b/>
          <w:bCs/>
          <w:color w:val="000000"/>
          <w:szCs w:val="24"/>
        </w:rPr>
        <w:t>)</w:t>
      </w:r>
      <w:r w:rsidRPr="00FE3443">
        <w:rPr>
          <w:rFonts w:eastAsia="Calibri"/>
          <w:b/>
          <w:bCs/>
          <w:color w:val="000000"/>
          <w:szCs w:val="24"/>
        </w:rPr>
        <w:t>0280</w:t>
      </w:r>
    </w:p>
    <w:p w:rsidR="002C299C" w:rsidRDefault="00160B51" w:rsidP="002C299C">
      <w:pPr>
        <w:spacing w:before="360" w:after="360"/>
        <w:rPr>
          <w:b/>
          <w:szCs w:val="24"/>
          <w:lang w:eastAsia="en-US"/>
        </w:rPr>
      </w:pPr>
      <w:r w:rsidRPr="00160B51">
        <w:rPr>
          <w:b/>
        </w:rPr>
        <w:t xml:space="preserve">Stajalište Europskog parlamenta usvojeno u prvom čitanju </w:t>
      </w:r>
      <w:r w:rsidRPr="00FE3443">
        <w:rPr>
          <w:b/>
        </w:rPr>
        <w:t>24</w:t>
      </w:r>
      <w:r w:rsidRPr="00160B51">
        <w:rPr>
          <w:b/>
        </w:rPr>
        <w:t xml:space="preserve">. travnja </w:t>
      </w:r>
      <w:r w:rsidRPr="00FE3443">
        <w:rPr>
          <w:b/>
        </w:rPr>
        <w:t>2024</w:t>
      </w:r>
      <w:r w:rsidRPr="00160B51">
        <w:rPr>
          <w:b/>
        </w:rPr>
        <w:t xml:space="preserve">. radi donošenja </w:t>
      </w:r>
      <w:r>
        <w:rPr>
          <w:b/>
          <w:szCs w:val="22"/>
          <w:lang w:eastAsia="fr-BE"/>
        </w:rPr>
        <w:t>Direktive</w:t>
      </w:r>
      <w:r w:rsidRPr="00160B51">
        <w:rPr>
          <w:b/>
          <w:szCs w:val="22"/>
          <w:lang w:eastAsia="fr-BE"/>
        </w:rPr>
        <w:t xml:space="preserve"> (EU) </w:t>
      </w:r>
      <w:r w:rsidRPr="00FE3443">
        <w:rPr>
          <w:b/>
          <w:szCs w:val="22"/>
          <w:lang w:eastAsia="fr-BE"/>
        </w:rPr>
        <w:t>2024</w:t>
      </w:r>
      <w:r w:rsidRPr="00160B51">
        <w:rPr>
          <w:b/>
          <w:szCs w:val="22"/>
          <w:lang w:eastAsia="fr-BE"/>
        </w:rPr>
        <w:t>/… Europskog parlamenta i Vijeća</w:t>
      </w:r>
      <w:r w:rsidRPr="002C299C">
        <w:rPr>
          <w:b/>
          <w:szCs w:val="22"/>
          <w:lang w:eastAsia="fr-BE"/>
        </w:rPr>
        <w:t xml:space="preserve"> </w:t>
      </w:r>
      <w:r w:rsidR="002C299C" w:rsidRPr="002C299C">
        <w:rPr>
          <w:b/>
          <w:szCs w:val="24"/>
          <w:lang w:eastAsia="en-US"/>
        </w:rPr>
        <w:t>o izmjeni direktiva 2000/</w:t>
      </w:r>
      <w:r w:rsidR="001D4E94">
        <w:rPr>
          <w:b/>
          <w:szCs w:val="24"/>
          <w:lang w:eastAsia="en-US"/>
        </w:rPr>
        <w:t>14/EZ, 2006/42/EZ, 2010/35/EU, 2014/29/EU, 2014/30/EU,</w:t>
      </w:r>
      <w:r w:rsidR="002C299C" w:rsidRPr="002C299C">
        <w:rPr>
          <w:b/>
          <w:szCs w:val="24"/>
          <w:lang w:eastAsia="en-US"/>
        </w:rPr>
        <w:t xml:space="preserve"> 2014/33/EU, 2014/34/EU, 2014/35/EU, 2014/53/EU i 2014/68/EU </w:t>
      </w:r>
      <w:r w:rsidR="002C299C" w:rsidRPr="001D4E94">
        <w:rPr>
          <w:b/>
          <w:szCs w:val="24"/>
          <w:lang w:eastAsia="en-US"/>
        </w:rPr>
        <w:t>u pogledu</w:t>
      </w:r>
      <w:r w:rsidR="002C299C" w:rsidRPr="002C299C">
        <w:rPr>
          <w:b/>
          <w:szCs w:val="24"/>
          <w:lang w:eastAsia="en-US"/>
        </w:rPr>
        <w:t xml:space="preserve"> postupaka u slučaju izvanrednih okolnosti za ocjenjivanje sukladnosti, </w:t>
      </w:r>
      <w:r w:rsidR="002C299C" w:rsidRPr="001D4E94">
        <w:rPr>
          <w:b/>
          <w:szCs w:val="24"/>
          <w:lang w:eastAsia="en-US"/>
        </w:rPr>
        <w:t>pretpostavku sukladnosti,</w:t>
      </w:r>
      <w:r w:rsidR="002C299C" w:rsidRPr="002C299C">
        <w:rPr>
          <w:b/>
          <w:szCs w:val="24"/>
          <w:lang w:eastAsia="en-US"/>
        </w:rPr>
        <w:t xml:space="preserve"> donošenje zajedničkih specifikacija i nadzor tržišta zbog izvanrednih okolnosti na </w:t>
      </w:r>
      <w:r w:rsidR="002C299C" w:rsidRPr="001D4E94">
        <w:rPr>
          <w:b/>
          <w:szCs w:val="24"/>
          <w:lang w:eastAsia="en-US"/>
        </w:rPr>
        <w:t>unutarnjem</w:t>
      </w:r>
      <w:r w:rsidR="002C299C" w:rsidRPr="002C299C">
        <w:rPr>
          <w:b/>
          <w:szCs w:val="24"/>
          <w:lang w:eastAsia="en-US"/>
        </w:rPr>
        <w:t xml:space="preserve"> tržištu</w:t>
      </w:r>
    </w:p>
    <w:p w:rsidR="001D4E94" w:rsidRPr="00AA44CB" w:rsidRDefault="001D4E94" w:rsidP="001D4E94">
      <w:pPr>
        <w:widowControl/>
        <w:rPr>
          <w:rFonts w:eastAsia="Calibri"/>
          <w:i/>
          <w:szCs w:val="24"/>
          <w:lang w:eastAsia="en-US"/>
        </w:rPr>
      </w:pPr>
      <w:r w:rsidRPr="00AA44CB">
        <w:rPr>
          <w:rFonts w:eastAsia="Calibri"/>
          <w:i/>
          <w:szCs w:val="24"/>
          <w:lang w:eastAsia="en-US"/>
        </w:rPr>
        <w:t>(S obzirom da je postignut sporazum Parlamenta i Vijeća, stajalište Parlamenta odgovara konač</w:t>
      </w:r>
      <w:r>
        <w:rPr>
          <w:rFonts w:eastAsia="Calibri"/>
          <w:i/>
          <w:szCs w:val="24"/>
          <w:lang w:eastAsia="en-US"/>
        </w:rPr>
        <w:t>nom zakonodavnom aktu, Direktivi (EU) 2024/2749</w:t>
      </w:r>
      <w:bookmarkStart w:id="8" w:name="_GoBack"/>
      <w:bookmarkEnd w:id="8"/>
      <w:r>
        <w:rPr>
          <w:rFonts w:eastAsia="Calibri"/>
          <w:i/>
          <w:szCs w:val="24"/>
          <w:lang w:eastAsia="en-US"/>
        </w:rPr>
        <w:t>.</w:t>
      </w:r>
      <w:r w:rsidRPr="00AA44CB">
        <w:rPr>
          <w:rFonts w:eastAsia="Calibri"/>
          <w:i/>
          <w:szCs w:val="24"/>
          <w:lang w:eastAsia="en-US"/>
        </w:rPr>
        <w:t>)</w:t>
      </w:r>
    </w:p>
    <w:p w:rsidR="001D4E94" w:rsidRPr="002C299C" w:rsidRDefault="001D4E94" w:rsidP="002C299C">
      <w:pPr>
        <w:spacing w:before="360" w:after="360"/>
        <w:rPr>
          <w:b/>
          <w:szCs w:val="24"/>
          <w:lang w:eastAsia="en-US"/>
        </w:rPr>
      </w:pPr>
    </w:p>
    <w:sectPr w:rsidR="001D4E94" w:rsidRPr="002C299C" w:rsidSect="003F63C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B51" w:rsidRPr="003F63C1" w:rsidRDefault="00160B51">
      <w:r w:rsidRPr="003F63C1">
        <w:separator/>
      </w:r>
    </w:p>
  </w:endnote>
  <w:endnote w:type="continuationSeparator" w:id="0">
    <w:p w:rsidR="00160B51" w:rsidRPr="003F63C1" w:rsidRDefault="00160B51">
      <w:r w:rsidRPr="003F63C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B51" w:rsidRPr="003F63C1" w:rsidRDefault="00160B5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B51" w:rsidRPr="003F63C1" w:rsidRDefault="00160B5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B51" w:rsidRPr="003F63C1" w:rsidRDefault="00160B5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B51" w:rsidRPr="003F63C1" w:rsidRDefault="00160B51">
      <w:r w:rsidRPr="003F63C1">
        <w:separator/>
      </w:r>
    </w:p>
  </w:footnote>
  <w:footnote w:type="continuationSeparator" w:id="0">
    <w:p w:rsidR="00160B51" w:rsidRPr="003F63C1" w:rsidRDefault="00160B51">
      <w:r w:rsidRPr="003F63C1">
        <w:continuationSeparator/>
      </w:r>
    </w:p>
  </w:footnote>
  <w:footnote w:id="1">
    <w:p w:rsidR="00160B51" w:rsidRPr="00160B51" w:rsidRDefault="00160B51" w:rsidP="00160B51">
      <w:pPr>
        <w:pStyle w:val="FootnoteText"/>
        <w:ind w:left="567" w:hanging="567"/>
        <w:rPr>
          <w:sz w:val="24"/>
          <w:szCs w:val="24"/>
          <w:lang w:val="hr-HR"/>
        </w:rPr>
      </w:pPr>
      <w:r w:rsidRPr="00160B51">
        <w:rPr>
          <w:rStyle w:val="FootnoteReference"/>
          <w:sz w:val="24"/>
          <w:szCs w:val="24"/>
          <w:lang w:val="hr-HR"/>
        </w:rPr>
        <w:footnoteRef/>
      </w:r>
      <w:r w:rsidRPr="00160B51">
        <w:rPr>
          <w:sz w:val="24"/>
          <w:szCs w:val="24"/>
          <w:lang w:val="hr-HR"/>
        </w:rPr>
        <w:t xml:space="preserve"> </w:t>
      </w:r>
      <w:r w:rsidRPr="00160B51">
        <w:rPr>
          <w:sz w:val="24"/>
          <w:szCs w:val="24"/>
          <w:lang w:val="hr-HR"/>
        </w:rPr>
        <w:tab/>
        <w:t xml:space="preserve">SL C </w:t>
      </w:r>
      <w:r w:rsidRPr="00FE3443">
        <w:rPr>
          <w:sz w:val="24"/>
          <w:szCs w:val="24"/>
          <w:lang w:val="hr-HR"/>
        </w:rPr>
        <w:t>100</w:t>
      </w:r>
      <w:r w:rsidRPr="00160B51">
        <w:rPr>
          <w:sz w:val="24"/>
          <w:szCs w:val="24"/>
          <w:lang w:val="hr-HR"/>
        </w:rPr>
        <w:t xml:space="preserve">, </w:t>
      </w:r>
      <w:r w:rsidRPr="00FE3443">
        <w:rPr>
          <w:sz w:val="24"/>
          <w:szCs w:val="24"/>
          <w:lang w:val="hr-HR"/>
        </w:rPr>
        <w:t>16</w:t>
      </w:r>
      <w:r w:rsidRPr="00160B51">
        <w:rPr>
          <w:sz w:val="24"/>
          <w:szCs w:val="24"/>
          <w:lang w:val="hr-HR"/>
        </w:rPr>
        <w:t>.</w:t>
      </w:r>
      <w:r w:rsidRPr="00FE3443">
        <w:rPr>
          <w:sz w:val="24"/>
          <w:szCs w:val="24"/>
          <w:lang w:val="hr-HR"/>
        </w:rPr>
        <w:t>3</w:t>
      </w:r>
      <w:r w:rsidRPr="00160B51">
        <w:rPr>
          <w:sz w:val="24"/>
          <w:szCs w:val="24"/>
          <w:lang w:val="hr-HR"/>
        </w:rPr>
        <w:t>.</w:t>
      </w:r>
      <w:r w:rsidRPr="00FE3443">
        <w:rPr>
          <w:sz w:val="24"/>
          <w:szCs w:val="24"/>
          <w:lang w:val="hr-HR"/>
        </w:rPr>
        <w:t>2023</w:t>
      </w:r>
      <w:r w:rsidRPr="00160B51">
        <w:rPr>
          <w:sz w:val="24"/>
          <w:szCs w:val="24"/>
          <w:lang w:val="hr-HR"/>
        </w:rPr>
        <w:t xml:space="preserve">., str. </w:t>
      </w:r>
      <w:r w:rsidRPr="00FE3443">
        <w:rPr>
          <w:sz w:val="24"/>
          <w:szCs w:val="24"/>
          <w:lang w:val="hr-HR"/>
        </w:rPr>
        <w:t>95</w:t>
      </w:r>
      <w:r w:rsidRPr="00160B51">
        <w:rPr>
          <w:sz w:val="24"/>
          <w:szCs w:val="24"/>
          <w:lang w:val="hr-HR"/>
        </w:rPr>
        <w:t>.</w:t>
      </w:r>
    </w:p>
  </w:footnote>
  <w:footnote w:id="2">
    <w:p w:rsidR="00160B51" w:rsidRPr="00160B51" w:rsidRDefault="00160B51" w:rsidP="00160B51">
      <w:pPr>
        <w:pStyle w:val="FootnoteText"/>
        <w:ind w:left="567" w:hanging="567"/>
        <w:rPr>
          <w:sz w:val="24"/>
          <w:szCs w:val="24"/>
          <w:lang w:val="hr-HR"/>
        </w:rPr>
      </w:pPr>
      <w:r w:rsidRPr="00160B51">
        <w:rPr>
          <w:rStyle w:val="FootnoteReference"/>
          <w:sz w:val="24"/>
          <w:szCs w:val="24"/>
          <w:lang w:val="hr-HR"/>
        </w:rPr>
        <w:footnoteRef/>
      </w:r>
      <w:r w:rsidRPr="00160B51">
        <w:rPr>
          <w:sz w:val="24"/>
          <w:szCs w:val="24"/>
          <w:lang w:val="hr-HR"/>
        </w:rPr>
        <w:t xml:space="preserve"> </w:t>
      </w:r>
      <w:r w:rsidRPr="00160B51">
        <w:rPr>
          <w:sz w:val="24"/>
          <w:szCs w:val="24"/>
          <w:lang w:val="hr-HR"/>
        </w:rPr>
        <w:tab/>
        <w:t xml:space="preserve">SL C </w:t>
      </w:r>
      <w:r w:rsidRPr="00FE3443">
        <w:rPr>
          <w:sz w:val="24"/>
          <w:szCs w:val="24"/>
          <w:lang w:val="hr-HR"/>
        </w:rPr>
        <w:t>157</w:t>
      </w:r>
      <w:r w:rsidRPr="00160B51">
        <w:rPr>
          <w:sz w:val="24"/>
          <w:szCs w:val="24"/>
          <w:lang w:val="hr-HR"/>
        </w:rPr>
        <w:t xml:space="preserve">, </w:t>
      </w:r>
      <w:r w:rsidRPr="00FE3443">
        <w:rPr>
          <w:sz w:val="24"/>
          <w:szCs w:val="24"/>
          <w:lang w:val="hr-HR"/>
        </w:rPr>
        <w:t>3</w:t>
      </w:r>
      <w:r w:rsidRPr="00160B51">
        <w:rPr>
          <w:sz w:val="24"/>
          <w:szCs w:val="24"/>
          <w:lang w:val="hr-HR"/>
        </w:rPr>
        <w:t>.</w:t>
      </w:r>
      <w:r w:rsidRPr="00FE3443">
        <w:rPr>
          <w:sz w:val="24"/>
          <w:szCs w:val="24"/>
          <w:lang w:val="hr-HR"/>
        </w:rPr>
        <w:t>5</w:t>
      </w:r>
      <w:r w:rsidRPr="00160B51">
        <w:rPr>
          <w:sz w:val="24"/>
          <w:szCs w:val="24"/>
          <w:lang w:val="hr-HR"/>
        </w:rPr>
        <w:t>.</w:t>
      </w:r>
      <w:r w:rsidRPr="00FE3443">
        <w:rPr>
          <w:sz w:val="24"/>
          <w:szCs w:val="24"/>
          <w:lang w:val="hr-HR"/>
        </w:rPr>
        <w:t>2023</w:t>
      </w:r>
      <w:r w:rsidRPr="00160B51">
        <w:rPr>
          <w:sz w:val="24"/>
          <w:szCs w:val="24"/>
          <w:lang w:val="hr-HR"/>
        </w:rPr>
        <w:t xml:space="preserve">., str. </w:t>
      </w:r>
      <w:r w:rsidRPr="00FE3443">
        <w:rPr>
          <w:sz w:val="24"/>
          <w:szCs w:val="24"/>
          <w:lang w:val="hr-HR"/>
        </w:rPr>
        <w:t>82</w:t>
      </w:r>
      <w:r w:rsidRPr="00160B51">
        <w:rPr>
          <w:sz w:val="24"/>
          <w:szCs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B51" w:rsidRPr="003F63C1" w:rsidRDefault="00160B5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B51" w:rsidRPr="003F63C1" w:rsidRDefault="00160B5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B51" w:rsidRPr="003F63C1" w:rsidRDefault="00160B5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6B87AB1"/>
    <w:multiLevelType w:val="hybridMultilevel"/>
    <w:tmpl w:val="11122F8A"/>
    <w:lvl w:ilvl="0" w:tplc="EE1E82AA">
      <w:start w:val="1"/>
      <w:numFmt w:val="decimal"/>
      <w:lvlText w:val="%1."/>
      <w:lvlJc w:val="left"/>
      <w:pPr>
        <w:ind w:left="1405" w:hanging="555"/>
      </w:pPr>
    </w:lvl>
    <w:lvl w:ilvl="1" w:tplc="041A0019">
      <w:start w:val="1"/>
      <w:numFmt w:val="lowerLetter"/>
      <w:lvlText w:val="%2."/>
      <w:lvlJc w:val="left"/>
      <w:pPr>
        <w:ind w:left="1930" w:hanging="360"/>
      </w:pPr>
    </w:lvl>
    <w:lvl w:ilvl="2" w:tplc="041A001B">
      <w:start w:val="1"/>
      <w:numFmt w:val="lowerRoman"/>
      <w:lvlText w:val="%3."/>
      <w:lvlJc w:val="right"/>
      <w:pPr>
        <w:ind w:left="2650" w:hanging="180"/>
      </w:pPr>
    </w:lvl>
    <w:lvl w:ilvl="3" w:tplc="041A000F">
      <w:start w:val="1"/>
      <w:numFmt w:val="decimal"/>
      <w:lvlText w:val="%4."/>
      <w:lvlJc w:val="left"/>
      <w:pPr>
        <w:ind w:left="3370" w:hanging="360"/>
      </w:pPr>
    </w:lvl>
    <w:lvl w:ilvl="4" w:tplc="041A0019">
      <w:start w:val="1"/>
      <w:numFmt w:val="lowerLetter"/>
      <w:lvlText w:val="%5."/>
      <w:lvlJc w:val="left"/>
      <w:pPr>
        <w:ind w:left="4090" w:hanging="360"/>
      </w:pPr>
    </w:lvl>
    <w:lvl w:ilvl="5" w:tplc="041A001B">
      <w:start w:val="1"/>
      <w:numFmt w:val="lowerRoman"/>
      <w:lvlText w:val="%6."/>
      <w:lvlJc w:val="right"/>
      <w:pPr>
        <w:ind w:left="4810" w:hanging="180"/>
      </w:pPr>
    </w:lvl>
    <w:lvl w:ilvl="6" w:tplc="041A000F">
      <w:start w:val="1"/>
      <w:numFmt w:val="decimal"/>
      <w:lvlText w:val="%7."/>
      <w:lvlJc w:val="left"/>
      <w:pPr>
        <w:ind w:left="5530" w:hanging="360"/>
      </w:pPr>
    </w:lvl>
    <w:lvl w:ilvl="7" w:tplc="041A0019">
      <w:start w:val="1"/>
      <w:numFmt w:val="lowerLetter"/>
      <w:lvlText w:val="%8."/>
      <w:lvlJc w:val="left"/>
      <w:pPr>
        <w:ind w:left="6250" w:hanging="360"/>
      </w:pPr>
    </w:lvl>
    <w:lvl w:ilvl="8" w:tplc="041A001B">
      <w:start w:val="1"/>
      <w:numFmt w:val="lowerRoman"/>
      <w:lvlText w:val="%9."/>
      <w:lvlJc w:val="right"/>
      <w:pPr>
        <w:ind w:left="6970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1"/>
  </w:num>
  <w:num w:numId="4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45/2023"/>
    <w:docVar w:name="dvlangue" w:val="HR"/>
    <w:docVar w:name="dvnumam" w:val="328"/>
    <w:docVar w:name="dvpe" w:val="745.256"/>
    <w:docVar w:name="dvrapporteur" w:val="Izvjestitelj: "/>
    <w:docVar w:name="dvstar" w:val="***I"/>
    <w:docVar w:name="dvtitre" w:val="Zakonodavna rezolucija Europskog parlamenta od .... 2024. o prijedlogu direktive Europskog parlamenta i Vijeća o izmjeni direktiva 2000/14/EZ, 2006/42/EZ, 2010/35/EU, 2013/29/EU, 2014/28/EU, 2014/29/EU, 2014/30/EU, 2014/31/EU, 2014/32/EU, 2014/33/EU, 2014/34/EU, 2014/35/EU, 2014/53/EU i 2014/68/EU u pogledu izvanrednih postupaka za ocjenjivanje sukladnosti, donošenje zajedničkih specifikacija i nadzor tržišta zbog izvanrednih okolnosti na jedinstvenom tržištu(COM(2022)0462 – C9-0313/2022 – 2022/0280(COD))"/>
  </w:docVars>
  <w:rsids>
    <w:rsidRoot w:val="00307853"/>
    <w:rsid w:val="00002272"/>
    <w:rsid w:val="00064002"/>
    <w:rsid w:val="000677B9"/>
    <w:rsid w:val="000831BA"/>
    <w:rsid w:val="000A42CC"/>
    <w:rsid w:val="000B7079"/>
    <w:rsid w:val="000E7DD9"/>
    <w:rsid w:val="0010095E"/>
    <w:rsid w:val="00125B37"/>
    <w:rsid w:val="00160B51"/>
    <w:rsid w:val="00187494"/>
    <w:rsid w:val="001D4E94"/>
    <w:rsid w:val="001F32AE"/>
    <w:rsid w:val="00224FC4"/>
    <w:rsid w:val="002767FF"/>
    <w:rsid w:val="002B18FE"/>
    <w:rsid w:val="002B5493"/>
    <w:rsid w:val="002C299C"/>
    <w:rsid w:val="00307853"/>
    <w:rsid w:val="00343214"/>
    <w:rsid w:val="00361C00"/>
    <w:rsid w:val="00395FA1"/>
    <w:rsid w:val="003E15D4"/>
    <w:rsid w:val="003F63C1"/>
    <w:rsid w:val="00411CCE"/>
    <w:rsid w:val="0041666E"/>
    <w:rsid w:val="00421060"/>
    <w:rsid w:val="00456DE7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290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4BE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0EC3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4675"/>
    <w:rsid w:val="00FB4360"/>
    <w:rsid w:val="00FD0C70"/>
    <w:rsid w:val="00FE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B44455"/>
  <w15:chartTrackingRefBased/>
  <w15:docId w15:val="{37B975F9-3EF9-4790-BF86-199D69B60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0B707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0B707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0B707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0B707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0B707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0B7079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semiHidden/>
    <w:rsid w:val="000B7079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0B7079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0B7079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0B707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B707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B707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B7079"/>
    <w:pPr>
      <w:spacing w:after="120"/>
    </w:pPr>
  </w:style>
  <w:style w:type="paragraph" w:customStyle="1" w:styleId="PageHeading">
    <w:name w:val="PageHeading"/>
    <w:basedOn w:val="Normal"/>
    <w:rsid w:val="000B707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B7079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0B7079"/>
    <w:rPr>
      <w:b/>
      <w:sz w:val="24"/>
      <w:lang w:val="hr-HR"/>
    </w:rPr>
  </w:style>
  <w:style w:type="paragraph" w:customStyle="1" w:styleId="NormalBold12a">
    <w:name w:val="NormalBold12a"/>
    <w:basedOn w:val="Normal"/>
    <w:rsid w:val="000B7079"/>
    <w:pPr>
      <w:spacing w:after="240"/>
    </w:pPr>
    <w:rPr>
      <w:b/>
    </w:rPr>
  </w:style>
  <w:style w:type="paragraph" w:customStyle="1" w:styleId="AmJustText">
    <w:name w:val="AmJustText"/>
    <w:basedOn w:val="Normal"/>
    <w:rsid w:val="000B707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B707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B7079"/>
    <w:pPr>
      <w:spacing w:after="480"/>
      <w:ind w:left="1417"/>
    </w:pPr>
  </w:style>
  <w:style w:type="paragraph" w:customStyle="1" w:styleId="CoverNormal">
    <w:name w:val="CoverNormal"/>
    <w:basedOn w:val="Normal"/>
    <w:rsid w:val="000B7079"/>
    <w:pPr>
      <w:ind w:left="1418"/>
    </w:pPr>
  </w:style>
  <w:style w:type="paragraph" w:customStyle="1" w:styleId="AmCrossRef">
    <w:name w:val="AmCrossRef"/>
    <w:basedOn w:val="Normal"/>
    <w:rsid w:val="000B707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B707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B707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B707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B707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B7079"/>
    <w:pPr>
      <w:spacing w:before="240" w:after="1200"/>
    </w:pPr>
  </w:style>
  <w:style w:type="paragraph" w:styleId="Header">
    <w:name w:val="header"/>
    <w:basedOn w:val="Normal"/>
    <w:link w:val="HeaderChar"/>
    <w:rsid w:val="000B707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B7079"/>
    <w:rPr>
      <w:sz w:val="24"/>
      <w:lang w:val="hr-HR"/>
    </w:rPr>
  </w:style>
  <w:style w:type="paragraph" w:customStyle="1" w:styleId="AmOrLang">
    <w:name w:val="AmOrLang"/>
    <w:basedOn w:val="Normal"/>
    <w:rsid w:val="000B707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B707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0B707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0B7079"/>
    <w:pPr>
      <w:spacing w:before="240"/>
    </w:pPr>
    <w:rPr>
      <w:b/>
    </w:rPr>
  </w:style>
  <w:style w:type="paragraph" w:customStyle="1" w:styleId="EPBody">
    <w:name w:val="EPBody"/>
    <w:basedOn w:val="Normal"/>
    <w:rsid w:val="000B707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B707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B7079"/>
    <w:pPr>
      <w:spacing w:before="480" w:after="240"/>
    </w:pPr>
  </w:style>
  <w:style w:type="paragraph" w:customStyle="1" w:styleId="Lgendesigne">
    <w:name w:val="Légende signe"/>
    <w:basedOn w:val="Normal"/>
    <w:rsid w:val="000B707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B707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B7079"/>
    <w:rPr>
      <w:sz w:val="18"/>
    </w:rPr>
  </w:style>
  <w:style w:type="paragraph" w:styleId="BalloonText">
    <w:name w:val="Balloon Text"/>
    <w:basedOn w:val="Normal"/>
    <w:link w:val="BalloonTextChar"/>
    <w:unhideWhenUsed/>
    <w:rsid w:val="000B707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B7079"/>
    <w:rPr>
      <w:rFonts w:ascii="Segoe UI" w:hAnsi="Segoe UI" w:cs="Segoe UI"/>
      <w:sz w:val="18"/>
      <w:szCs w:val="18"/>
      <w:lang w:val="hr-HR"/>
    </w:rPr>
  </w:style>
  <w:style w:type="character" w:customStyle="1" w:styleId="FooterChar">
    <w:name w:val="Footer Char"/>
    <w:basedOn w:val="DefaultParagraphFont"/>
    <w:link w:val="Footer"/>
    <w:rsid w:val="000B7079"/>
    <w:rPr>
      <w:sz w:val="22"/>
    </w:rPr>
  </w:style>
  <w:style w:type="paragraph" w:styleId="Footer">
    <w:name w:val="footer"/>
    <w:link w:val="FooterChar"/>
    <w:unhideWhenUsed/>
    <w:rsid w:val="000B7079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0B7079"/>
    <w:rPr>
      <w:sz w:val="24"/>
      <w:lang w:val="hr-HR"/>
    </w:rPr>
  </w:style>
  <w:style w:type="character" w:customStyle="1" w:styleId="Normal12Char">
    <w:name w:val="Normal12 Char"/>
    <w:basedOn w:val="DefaultParagraphFont"/>
    <w:link w:val="Normal12"/>
    <w:locked/>
    <w:rsid w:val="000B7079"/>
    <w:rPr>
      <w:noProof/>
      <w:sz w:val="24"/>
    </w:rPr>
  </w:style>
  <w:style w:type="paragraph" w:customStyle="1" w:styleId="Normal12">
    <w:name w:val="Normal12"/>
    <w:basedOn w:val="Normal"/>
    <w:link w:val="Normal12Char"/>
    <w:rsid w:val="000B7079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0B7079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0B7079"/>
    <w:pPr>
      <w:spacing w:after="120"/>
    </w:pPr>
  </w:style>
  <w:style w:type="paragraph" w:customStyle="1" w:styleId="Normal12Italic">
    <w:name w:val="Normal12Italic"/>
    <w:basedOn w:val="Normal12"/>
    <w:rsid w:val="000B7079"/>
    <w:rPr>
      <w:i/>
    </w:rPr>
  </w:style>
  <w:style w:type="paragraph" w:customStyle="1" w:styleId="Footer2">
    <w:name w:val="Footer2"/>
    <w:basedOn w:val="Normal12"/>
    <w:rsid w:val="000B7079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0B7079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0B707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0B7079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0B7079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0B7079"/>
    <w:pPr>
      <w:keepNext/>
      <w:spacing w:before="240" w:after="240"/>
      <w:jc w:val="center"/>
    </w:pPr>
    <w:rPr>
      <w:i/>
      <w:noProof/>
    </w:rPr>
  </w:style>
  <w:style w:type="character" w:styleId="CommentReference">
    <w:name w:val="annotation reference"/>
    <w:basedOn w:val="DefaultParagraphFont"/>
    <w:rsid w:val="000B7079"/>
    <w:rPr>
      <w:sz w:val="16"/>
      <w:szCs w:val="16"/>
    </w:rPr>
  </w:style>
  <w:style w:type="paragraph" w:styleId="CommentText">
    <w:name w:val="annotation text"/>
    <w:basedOn w:val="Normal"/>
    <w:link w:val="CommentTextChar"/>
    <w:rsid w:val="000B707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B7079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B70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B7079"/>
    <w:rPr>
      <w:b/>
      <w:bCs/>
      <w:lang w:val="hr-HR"/>
    </w:rPr>
  </w:style>
  <w:style w:type="paragraph" w:styleId="Revision">
    <w:name w:val="Revision"/>
    <w:hidden/>
    <w:uiPriority w:val="99"/>
    <w:semiHidden/>
    <w:rsid w:val="000B7079"/>
    <w:rPr>
      <w:sz w:val="24"/>
      <w:lang w:val="hr-HR"/>
    </w:rPr>
  </w:style>
  <w:style w:type="character" w:customStyle="1" w:styleId="AmNumberTabsChar">
    <w:name w:val="AmNumberTabs Char"/>
    <w:basedOn w:val="DefaultParagraphFont"/>
    <w:link w:val="AmNumberTabs"/>
    <w:rsid w:val="000B7079"/>
    <w:rPr>
      <w:b/>
      <w:sz w:val="24"/>
      <w:lang w:val="hr-HR"/>
    </w:rPr>
  </w:style>
  <w:style w:type="character" w:customStyle="1" w:styleId="NormalBold12bChar">
    <w:name w:val="NormalBold12b Char"/>
    <w:basedOn w:val="AmNumberTabsChar"/>
    <w:link w:val="NormalBold12b"/>
    <w:rsid w:val="000B7079"/>
    <w:rPr>
      <w:b/>
      <w:sz w:val="24"/>
      <w:lang w:val="hr-HR"/>
    </w:rPr>
  </w:style>
  <w:style w:type="paragraph" w:customStyle="1" w:styleId="ManualNumPar1">
    <w:name w:val="Manual NumPar 1"/>
    <w:basedOn w:val="Normal"/>
    <w:next w:val="Normal"/>
    <w:rsid w:val="000B707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character" w:styleId="Hyperlink">
    <w:name w:val="Hyperlink"/>
    <w:basedOn w:val="DefaultParagraphFont"/>
    <w:uiPriority w:val="99"/>
    <w:rsid w:val="000B7079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0B7079"/>
    <w:pPr>
      <w:spacing w:after="240"/>
    </w:pPr>
  </w:style>
  <w:style w:type="paragraph" w:customStyle="1" w:styleId="RollCallVotes">
    <w:name w:val="RollCallVotes"/>
    <w:basedOn w:val="Normal"/>
    <w:rsid w:val="000B707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0B707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0B707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0B7079"/>
    <w:pPr>
      <w:spacing w:before="120" w:after="120"/>
    </w:pPr>
    <w:rPr>
      <w:snapToGrid w:val="0"/>
      <w:sz w:val="16"/>
      <w:lang w:eastAsia="en-US"/>
    </w:rPr>
  </w:style>
  <w:style w:type="paragraph" w:customStyle="1" w:styleId="exemple">
    <w:name w:val="exemple"/>
    <w:basedOn w:val="Normal"/>
    <w:rsid w:val="000B7079"/>
    <w:pPr>
      <w:tabs>
        <w:tab w:val="left" w:pos="-1440"/>
        <w:tab w:val="left" w:pos="-720"/>
        <w:tab w:val="left" w:pos="0"/>
        <w:tab w:val="left" w:pos="336"/>
        <w:tab w:val="left" w:pos="720"/>
        <w:tab w:val="left" w:pos="1008"/>
        <w:tab w:val="left" w:pos="1440"/>
        <w:tab w:val="left" w:pos="177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uppressAutoHyphens/>
      <w:spacing w:before="20"/>
      <w:ind w:left="2041" w:hanging="340"/>
    </w:pPr>
    <w:rPr>
      <w:sz w:val="20"/>
      <w:lang w:eastAsia="fr-BE"/>
    </w:rPr>
  </w:style>
  <w:style w:type="paragraph" w:customStyle="1" w:styleId="AmDocTypeTab">
    <w:name w:val="AmDocTypeTab"/>
    <w:basedOn w:val="Normal"/>
    <w:rsid w:val="00160B51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160B51"/>
    <w:pPr>
      <w:spacing w:after="240"/>
      <w:jc w:val="center"/>
    </w:pPr>
  </w:style>
  <w:style w:type="paragraph" w:customStyle="1" w:styleId="AmDateTab">
    <w:name w:val="AmDateTab"/>
    <w:basedOn w:val="Normal"/>
    <w:rsid w:val="00160B51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160B51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160B51"/>
  </w:style>
  <w:style w:type="paragraph" w:customStyle="1" w:styleId="SignaturePersonne">
    <w:name w:val="Signature Personne"/>
    <w:basedOn w:val="Normal"/>
    <w:rsid w:val="00160B51"/>
    <w:pPr>
      <w:widowControl/>
      <w:tabs>
        <w:tab w:val="left" w:pos="4252"/>
      </w:tabs>
      <w:spacing w:line="360" w:lineRule="auto"/>
    </w:pPr>
    <w:rPr>
      <w:i/>
      <w:szCs w:val="24"/>
      <w:lang w:val="en-US" w:eastAsia="en-US"/>
    </w:rPr>
  </w:style>
  <w:style w:type="paragraph" w:customStyle="1" w:styleId="Considrant">
    <w:name w:val="Considérant"/>
    <w:basedOn w:val="Normal"/>
    <w:rsid w:val="00160B51"/>
    <w:pPr>
      <w:spacing w:before="120" w:after="120" w:line="360" w:lineRule="auto"/>
      <w:ind w:left="850" w:hanging="850"/>
    </w:pPr>
    <w:rPr>
      <w:szCs w:val="24"/>
      <w:lang w:val="en-US" w:eastAsia="en-US"/>
    </w:rPr>
  </w:style>
  <w:style w:type="paragraph" w:customStyle="1" w:styleId="Institutionquiagit">
    <w:name w:val="Institution qui agit"/>
    <w:basedOn w:val="Normal"/>
    <w:next w:val="Normal"/>
    <w:rsid w:val="00160B51"/>
    <w:pPr>
      <w:keepNext/>
      <w:spacing w:before="600" w:after="120" w:line="360" w:lineRule="auto"/>
    </w:pPr>
    <w:rPr>
      <w:szCs w:val="24"/>
      <w:lang w:val="en-US" w:eastAsia="en-US"/>
    </w:rPr>
  </w:style>
  <w:style w:type="paragraph" w:customStyle="1" w:styleId="Institutionquisigne">
    <w:name w:val="Institution qui signe"/>
    <w:basedOn w:val="Normal"/>
    <w:next w:val="Normal"/>
    <w:rsid w:val="00160B51"/>
    <w:pPr>
      <w:keepNext/>
      <w:tabs>
        <w:tab w:val="left" w:pos="4252"/>
      </w:tabs>
      <w:spacing w:before="720" w:line="360" w:lineRule="auto"/>
    </w:pPr>
    <w:rPr>
      <w:i/>
      <w:szCs w:val="24"/>
      <w:lang w:val="en-US" w:eastAsia="en-US"/>
    </w:rPr>
  </w:style>
  <w:style w:type="paragraph" w:customStyle="1" w:styleId="Fait">
    <w:name w:val="Fait à"/>
    <w:basedOn w:val="Normal"/>
    <w:rsid w:val="00160B51"/>
    <w:pPr>
      <w:keepNext/>
      <w:widowControl/>
      <w:spacing w:before="120" w:line="360" w:lineRule="auto"/>
    </w:pPr>
    <w:rPr>
      <w:szCs w:val="24"/>
      <w:lang w:val="en-US" w:eastAsia="en-US"/>
    </w:rPr>
  </w:style>
  <w:style w:type="paragraph" w:customStyle="1" w:styleId="FootnoteTextForceStyle">
    <w:name w:val="Footnote Text ForceStyle"/>
    <w:rsid w:val="00160B51"/>
    <w:pPr>
      <w:keepLines/>
      <w:widowControl w:val="0"/>
      <w:ind w:left="850" w:hanging="850"/>
    </w:pPr>
    <w:rPr>
      <w:sz w:val="24"/>
      <w:lang w:val="en-US" w:eastAsia="en-US"/>
    </w:rPr>
  </w:style>
  <w:style w:type="paragraph" w:customStyle="1" w:styleId="Applicationdirecte">
    <w:name w:val="Application directe"/>
    <w:basedOn w:val="Normal"/>
    <w:next w:val="Normal"/>
    <w:rsid w:val="00160B51"/>
    <w:pPr>
      <w:spacing w:before="120" w:after="120" w:line="360" w:lineRule="auto"/>
    </w:pPr>
    <w:rPr>
      <w:szCs w:val="24"/>
      <w:lang w:val="en-US" w:eastAsia="en-US"/>
    </w:rPr>
  </w:style>
  <w:style w:type="paragraph" w:customStyle="1" w:styleId="Normale">
    <w:name w:val="Normale"/>
    <w:rsid w:val="00160B51"/>
    <w:pPr>
      <w:widowControl w:val="0"/>
      <w:spacing w:before="120" w:after="120" w:line="360" w:lineRule="auto"/>
    </w:pPr>
    <w:rPr>
      <w:sz w:val="24"/>
      <w:lang w:val="en-US" w:eastAsia="en-US"/>
    </w:rPr>
  </w:style>
  <w:style w:type="paragraph" w:customStyle="1" w:styleId="Formuledadoption">
    <w:name w:val="Formule d'adoption"/>
    <w:basedOn w:val="Normal"/>
    <w:next w:val="Normal"/>
    <w:rsid w:val="00160B51"/>
    <w:pPr>
      <w:keepNext/>
      <w:widowControl/>
      <w:spacing w:before="120" w:after="120" w:line="360" w:lineRule="auto"/>
    </w:pPr>
    <w:rPr>
      <w:szCs w:val="24"/>
      <w:lang w:val="en-US" w:eastAsia="en-US"/>
    </w:rPr>
  </w:style>
  <w:style w:type="paragraph" w:customStyle="1" w:styleId="Rfrenceinstitutionnelle">
    <w:name w:val="Référence institutionnelle"/>
    <w:basedOn w:val="Normal"/>
    <w:next w:val="Normal"/>
    <w:rsid w:val="00160B51"/>
    <w:pPr>
      <w:widowControl/>
      <w:spacing w:after="240" w:line="360" w:lineRule="auto"/>
      <w:ind w:left="5102"/>
    </w:pPr>
    <w:rPr>
      <w:szCs w:val="24"/>
      <w:lang w:val="en-US" w:eastAsia="en-US"/>
    </w:rPr>
  </w:style>
  <w:style w:type="paragraph" w:customStyle="1" w:styleId="Footer1">
    <w:name w:val="Footer1"/>
    <w:basedOn w:val="Normal"/>
    <w:rsid w:val="00160B51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val="en-US" w:eastAsia="en-US"/>
    </w:rPr>
  </w:style>
  <w:style w:type="paragraph" w:customStyle="1" w:styleId="SignatureInstitution">
    <w:name w:val="Signature Institution"/>
    <w:basedOn w:val="Normal"/>
    <w:rsid w:val="00160B51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val="en-US" w:eastAsia="en-US"/>
    </w:rPr>
  </w:style>
  <w:style w:type="paragraph" w:customStyle="1" w:styleId="Statut">
    <w:name w:val="Statut"/>
    <w:basedOn w:val="Normal"/>
    <w:next w:val="Normal"/>
    <w:rsid w:val="00160B51"/>
    <w:pPr>
      <w:widowControl/>
      <w:spacing w:before="840" w:line="360" w:lineRule="auto"/>
      <w:jc w:val="center"/>
    </w:pPr>
    <w:rPr>
      <w:szCs w:val="24"/>
      <w:lang w:val="en-US" w:eastAsia="en-US"/>
    </w:rPr>
  </w:style>
  <w:style w:type="paragraph" w:customStyle="1" w:styleId="Typedudocument">
    <w:name w:val="Type du document"/>
    <w:basedOn w:val="Normal"/>
    <w:next w:val="Normal"/>
    <w:rsid w:val="00160B51"/>
    <w:pPr>
      <w:widowControl/>
      <w:spacing w:before="360" w:line="360" w:lineRule="auto"/>
      <w:jc w:val="center"/>
    </w:pPr>
    <w:rPr>
      <w:b/>
      <w:szCs w:val="24"/>
      <w:lang w:val="en-US" w:eastAsia="en-US"/>
    </w:rPr>
  </w:style>
  <w:style w:type="paragraph" w:customStyle="1" w:styleId="Titreobjet">
    <w:name w:val="Titre objet"/>
    <w:basedOn w:val="Normal"/>
    <w:next w:val="Normal"/>
    <w:rsid w:val="00160B51"/>
    <w:pPr>
      <w:widowControl/>
      <w:spacing w:before="360" w:after="360" w:line="360" w:lineRule="auto"/>
      <w:jc w:val="center"/>
    </w:pPr>
    <w:rPr>
      <w:b/>
      <w:szCs w:val="24"/>
      <w:lang w:val="en-US" w:eastAsia="en-US"/>
    </w:rPr>
  </w:style>
  <w:style w:type="paragraph" w:customStyle="1" w:styleId="IntrtEEE">
    <w:name w:val="Intérêt EEE"/>
    <w:basedOn w:val="Normal"/>
    <w:next w:val="Normal"/>
    <w:rsid w:val="00160B51"/>
    <w:pPr>
      <w:widowControl/>
      <w:spacing w:before="360" w:after="240" w:line="360" w:lineRule="auto"/>
      <w:jc w:val="center"/>
    </w:pPr>
    <w:rPr>
      <w:szCs w:val="24"/>
      <w:lang w:val="en-US" w:eastAsia="en-US"/>
    </w:rPr>
  </w:style>
  <w:style w:type="character" w:customStyle="1" w:styleId="Hyperlink1">
    <w:name w:val="Hyperlink1"/>
    <w:basedOn w:val="DefaultParagraphFont"/>
    <w:unhideWhenUsed/>
    <w:rsid w:val="00160B51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0B51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160B51"/>
    <w:rPr>
      <w:color w:val="800080"/>
      <w:u w:val="single"/>
    </w:rPr>
  </w:style>
  <w:style w:type="character" w:styleId="FollowedHyperlink">
    <w:name w:val="FollowedHyperlink"/>
    <w:basedOn w:val="DefaultParagraphFont"/>
    <w:rsid w:val="00160B51"/>
    <w:rPr>
      <w:color w:val="954F72" w:themeColor="followedHyperlink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160B51"/>
  </w:style>
  <w:style w:type="paragraph" w:customStyle="1" w:styleId="HeadingDocType24a">
    <w:name w:val="HeadingDocType24a"/>
    <w:basedOn w:val="Normal"/>
    <w:rsid w:val="002C299C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2C299C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2C299C"/>
    <w:pPr>
      <w:jc w:val="center"/>
    </w:pPr>
  </w:style>
  <w:style w:type="paragraph" w:customStyle="1" w:styleId="Normal24a">
    <w:name w:val="Normal24a"/>
    <w:basedOn w:val="Normal"/>
    <w:rsid w:val="002C299C"/>
    <w:pPr>
      <w:spacing w:after="480"/>
    </w:pPr>
  </w:style>
  <w:style w:type="paragraph" w:customStyle="1" w:styleId="LineSingle">
    <w:name w:val="LineSingle"/>
    <w:basedOn w:val="Normal"/>
    <w:next w:val="Normal"/>
    <w:rsid w:val="002C299C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2C299C"/>
    <w:pPr>
      <w:spacing w:before="240" w:after="240"/>
    </w:pPr>
  </w:style>
  <w:style w:type="paragraph" w:customStyle="1" w:styleId="msonormal0">
    <w:name w:val="msonormal"/>
    <w:basedOn w:val="Normal"/>
    <w:rsid w:val="002C299C"/>
    <w:pPr>
      <w:widowControl/>
      <w:spacing w:before="100" w:beforeAutospacing="1" w:after="100" w:afterAutospacing="1"/>
    </w:pPr>
    <w:rPr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2C299C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rsid w:val="002C299C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rsid w:val="002C29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C92E9-1B51-4B12-A5F1-87596BD3E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334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2025-03-20T13:55:00Z</dcterms:created>
  <dcterms:modified xsi:type="dcterms:W3CDTF">2025-03-20T13:55:00Z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P9_TA(2024)0322_</vt:lpwstr>
  </property>
  <property fmtid="{D5CDD505-2E9C-101B-9397-08002B2CF9AE}" pid="4" name="&lt;Type&gt;">
    <vt:lpwstr>RR</vt:lpwstr>
  </property>
</Properties>
</file>