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P9_TA(2024)0323</w:t>
      </w:r>
      <w:bookmarkEnd w:id="0"/>
    </w:p>
    <w:p>
      <w:pPr>
        <w:pStyle w:val="ATHeading2"/>
      </w:pPr>
      <w:bookmarkStart w:id="1" w:name="title"/>
      <w:r>
        <w:t>Kódex schengenských hraníc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A9-0280/2023</w:instrText>
      </w:r>
      <w:bookmarkEnd w:id="2"/>
      <w:r>
        <w:rPr>
          <w:i/>
        </w:rPr>
        <w:instrText xml:space="preserve"> - Spravodajkyňa: Sylvie </w:instrText>
      </w:r>
      <w:proofErr w:type="spellStart"/>
      <w:r>
        <w:rPr>
          <w:i/>
        </w:rPr>
        <w:instrText>Guillaume</w:instrText>
      </w:r>
      <w:proofErr w:type="spellEnd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občianske slobody, spravodlivosť a vnútorné veci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PE737.471</w:t>
      </w:r>
      <w:bookmarkEnd w:id="4"/>
    </w:p>
    <w:p>
      <w:pPr>
        <w:pStyle w:val="ATHeading3"/>
      </w:pPr>
      <w:bookmarkStart w:id="5" w:name="Sujet"/>
      <w:r>
        <w:t>Legislatívne uznesenie Európskeho parlamentu z 24. apríla 2024 o návrhu nariadenia Európskeho parlamentu a Rady, ktorým sa mení nariadenie (EÚ) 2016/399, ktorým sa ustanovuje kódex Únie o pravidlách upravujúcich pohyb osôb cez hranice</w:t>
      </w:r>
      <w:bookmarkEnd w:id="5"/>
      <w:r>
        <w:t xml:space="preserve"> </w:t>
      </w:r>
      <w:bookmarkStart w:id="6" w:name="References"/>
      <w:r>
        <w:t>(COM(2021)0891 – C9-0473/2021 – 2021/0428(COD))</w:t>
      </w:r>
      <w:bookmarkEnd w:id="6"/>
    </w:p>
    <w:p/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(COM(2021)0891),</w:t>
      </w:r>
    </w:p>
    <w:p>
      <w:pPr>
        <w:pStyle w:val="NormalHanging12a"/>
      </w:pPr>
      <w:r>
        <w:t>–</w:t>
      </w:r>
      <w:r>
        <w:tab/>
        <w:t>so zreteľom na článok 294 ods. 2, článok 77 ods. 2 písm. b) a e) a článok 79 ods. 2 písm. c) Zmluvy o fungovaní Európskej únie, v súlade s ktorými Komisia predložila návrh Európskemu parlamentu (C9</w:t>
      </w:r>
      <w:r>
        <w:noBreakHyphen/>
        <w:t>0473/2021),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  <w:rPr>
          <w:szCs w:val="24"/>
        </w:rPr>
      </w:pPr>
      <w:r>
        <w:t>–</w:t>
      </w:r>
      <w:r>
        <w:tab/>
        <w:t>so zreteľom na stanovisko Európskeho hospodárskeho a sociálneho výboru z 18. mája 2022</w:t>
      </w:r>
      <w:r>
        <w:rPr>
          <w:rStyle w:val="FootnoteReference"/>
          <w:szCs w:val="24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stanovisko Výboru regiónov z 12. októbra 2022</w:t>
      </w:r>
      <w:r>
        <w:rPr>
          <w:rStyle w:val="FootnoteReference"/>
          <w:szCs w:val="24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zo 14. februára 2024,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 xml:space="preserve">so zreteľom na správu Výboru pre občianske slobody, spravodlivosť a vnútorné veci </w:t>
      </w:r>
      <w:r>
        <w:lastRenderedPageBreak/>
        <w:t>(A9-0280/2023),</w:t>
      </w:r>
    </w:p>
    <w:p>
      <w:pPr>
        <w:pStyle w:val="NormalHanging12a"/>
      </w:pPr>
      <w:r>
        <w:t>1.</w:t>
      </w:r>
      <w:r>
        <w:tab/>
        <w:t>prijíma nasledujúcu pozíciu v prvom čítaní;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 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outlineLvl w:val="0"/>
        <w:rPr>
          <w:b/>
        </w:rPr>
      </w:pPr>
      <w:r>
        <w:rPr>
          <w:b/>
        </w:rPr>
        <w:lastRenderedPageBreak/>
        <w:t>P9_TC1-COD(2021)0428</w:t>
      </w:r>
    </w:p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>
        <w:rPr>
          <w:b/>
        </w:rPr>
        <w:t xml:space="preserve">Pozícia Európskeho parlamentu prijatá v prvom čítaní 24. apríla 2024 na účely prijatia nariadenia Európskeho parlamentu a Rady (EÚ) 2024/..., </w:t>
      </w:r>
      <w:r>
        <w:rPr>
          <w:rFonts w:eastAsia="Calibri"/>
          <w:b/>
          <w:szCs w:val="22"/>
          <w:lang w:eastAsia="en-US"/>
        </w:rPr>
        <w:t>ktorým sa mení nariadenie (EÚ) 2016/399, ktorým sa ustanovuje kódex Únie o pravidlách upravujúcich pohyb osôb cez hranice</w:t>
      </w: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2024/1717</w:t>
      </w:r>
      <w:bookmarkStart w:id="8" w:name="_GoBack"/>
      <w:bookmarkEnd w:id="8"/>
      <w:r>
        <w:rPr>
          <w:i/>
          <w:iCs/>
        </w:rPr>
        <w:t>.)</w:t>
      </w:r>
    </w:p>
    <w:p/>
    <w:p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323, 26.8.2022, s. 69.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</w:r>
      <w:r>
        <w:rPr>
          <w:sz w:val="24"/>
          <w:szCs w:val="24"/>
          <w:lang w:val="sk-SK"/>
        </w:rPr>
        <w:t>Ú. v. EÚ C 498, 30.12.2022, s. 114.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12"/>
  </w:num>
  <w:num w:numId="5">
    <w:abstractNumId w:val="15"/>
  </w:num>
  <w:num w:numId="6">
    <w:abstractNumId w:val="14"/>
  </w:num>
  <w:num w:numId="7">
    <w:abstractNumId w:val="22"/>
  </w:num>
  <w:num w:numId="8">
    <w:abstractNumId w:val="9"/>
  </w:num>
  <w:num w:numId="9">
    <w:abstractNumId w:val="10"/>
  </w:num>
  <w:num w:numId="10">
    <w:abstractNumId w:val="11"/>
  </w:num>
  <w:num w:numId="11">
    <w:abstractNumId w:val="13"/>
  </w:num>
  <w:num w:numId="12">
    <w:abstractNumId w:val="6"/>
  </w:num>
  <w:num w:numId="13">
    <w:abstractNumId w:val="23"/>
  </w:num>
  <w:num w:numId="14">
    <w:abstractNumId w:val="7"/>
  </w:num>
  <w:num w:numId="15">
    <w:abstractNumId w:val="3"/>
  </w:num>
  <w:num w:numId="16">
    <w:abstractNumId w:val="2"/>
  </w:num>
  <w:num w:numId="17">
    <w:abstractNumId w:val="18"/>
  </w:num>
  <w:num w:numId="18">
    <w:abstractNumId w:val="17"/>
  </w:num>
  <w:num w:numId="19">
    <w:abstractNumId w:val="16"/>
  </w:num>
  <w:num w:numId="20">
    <w:abstractNumId w:val="20"/>
  </w:num>
  <w:num w:numId="21">
    <w:abstractNumId w:val="19"/>
  </w:num>
  <w:num w:numId="22">
    <w:abstractNumId w:val="21"/>
  </w:num>
  <w:num w:numId="23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0/2023"/>
    <w:docVar w:name="dvlangue" w:val="SK"/>
    <w:docVar w:name="dvnumam" w:val="162"/>
    <w:docVar w:name="dvpe" w:val="737.471"/>
    <w:docVar w:name="dvrapporteur" w:val="Spravodajkyňa: "/>
    <w:docVar w:name="dvstar" w:val="***I"/>
    <w:docVar w:name="dvtitre" w:val="Legislatívne uznesenie Európskeho parlamentu z xx. apríla 2024 o návrhu nariadenia Európskeho parlamentu a Rady, ktorým sa mení nariadenie (EÚ) 2016/399, ktorým sa ustanovuje kódex Únie o pravidlách upravujúcich pohyb osôb cez hranice(COM(2021)0891 – C9-0473/2021 – 2021/0428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7F72A1-910B-4B83-A2A2-B18438F9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</w:rPr>
  </w:style>
  <w:style w:type="paragraph" w:styleId="Footer">
    <w:name w:val="footer"/>
    <w:link w:val="FooterChar"/>
    <w:uiPriority w:val="99"/>
    <w:unhideWhenUsed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Pr>
      <w:sz w:val="24"/>
      <w:lang w:val="sk-SK"/>
    </w:rPr>
  </w:style>
  <w:style w:type="character" w:customStyle="1" w:styleId="Normal12Char">
    <w:name w:val="Normal12 Char"/>
    <w:basedOn w:val="DefaultParagraphFont"/>
    <w:link w:val="Normal12"/>
    <w:locked/>
    <w:rPr>
      <w:noProof/>
      <w:sz w:val="24"/>
    </w:rPr>
  </w:style>
  <w:style w:type="paragraph" w:customStyle="1" w:styleId="Normal12">
    <w:name w:val="Normal12"/>
    <w:basedOn w:val="Normal"/>
    <w:link w:val="Normal12Char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12"/>
    <w:rPr>
      <w:i/>
    </w:rPr>
  </w:style>
  <w:style w:type="paragraph" w:customStyle="1" w:styleId="Footer2">
    <w:name w:val="Footer2"/>
    <w:basedOn w:val="Normal12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Olang">
    <w:name w:val="Olang"/>
    <w:basedOn w:val="Normal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pPr>
      <w:keepNext/>
      <w:spacing w:before="240" w:after="240"/>
      <w:jc w:val="center"/>
    </w:pPr>
    <w:rPr>
      <w:i/>
      <w:noProof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eastAsiaTheme="minorHAnsi"/>
      <w:b/>
      <w:bCs/>
      <w:lang w:val="sk-SK" w:eastAsia="en-US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Pr>
      <w:sz w:val="24"/>
      <w:lang w:val="sk-SK"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pPr>
      <w:spacing w:before="240"/>
    </w:pPr>
  </w:style>
  <w:style w:type="paragraph" w:customStyle="1" w:styleId="Accordtitre">
    <w:name w:val="Accord titre"/>
    <w:basedOn w:val="Normal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nnexetitre">
    <w:name w:val="Annexe titre"/>
    <w:basedOn w:val="Normal"/>
    <w:next w:val="Normal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Pr>
      <w:b/>
      <w:i/>
    </w:rPr>
  </w:style>
  <w:style w:type="character" w:customStyle="1" w:styleId="diff-tte-removed">
    <w:name w:val="diff-tte-removed"/>
    <w:basedOn w:val="DefaultParagraphFont"/>
    <w:rPr>
      <w:strike/>
    </w:rPr>
  </w:style>
  <w:style w:type="table" w:customStyle="1" w:styleId="TableGrid1">
    <w:name w:val="Table Grid1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Hyperlink1">
    <w:name w:val="Hyperlink1"/>
    <w:basedOn w:val="DefaultParagraphFont"/>
    <w:uiPriority w:val="99"/>
    <w:unhideWhenUsed/>
    <w:rPr>
      <w:color w:val="0563C1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Pr>
      <w:color w:val="954F72"/>
      <w:u w:val="single"/>
    </w:rPr>
  </w:style>
  <w:style w:type="character" w:styleId="FollowedHyperlink">
    <w:name w:val="FollowedHyperlink"/>
    <w:basedOn w:val="DefaultParagraphFont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8CF64-11FF-428C-B16B-CF74C69B1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317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3</cp:revision>
  <cp:lastPrinted>2004-11-19T15:42:00Z</cp:lastPrinted>
  <dcterms:created xsi:type="dcterms:W3CDTF">2024-04-26T08:58:00Z</dcterms:created>
  <dcterms:modified xsi:type="dcterms:W3CDTF">2024-09-09T09:56:00Z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P9_TA(2024)0323_</vt:lpwstr>
  </property>
  <property fmtid="{D5CDD505-2E9C-101B-9397-08002B2CF9AE}" pid="4" name="&lt;Type&gt;">
    <vt:lpwstr>RR</vt:lpwstr>
  </property>
</Properties>
</file>