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5B8A" w:rsidTr="0010095E">
        <w:trPr>
          <w:trHeight w:hRule="exact" w:val="1418"/>
        </w:trPr>
        <w:tc>
          <w:tcPr>
            <w:tcW w:w="6804" w:type="dxa"/>
            <w:shd w:val="clear" w:color="auto" w:fill="auto"/>
            <w:vAlign w:val="center"/>
          </w:tcPr>
          <w:p w:rsidR="00751A4A" w:rsidRPr="00315B8A" w:rsidRDefault="001C228D" w:rsidP="0010095E">
            <w:pPr>
              <w:pStyle w:val="EPName"/>
            </w:pPr>
            <w:bookmarkStart w:id="0" w:name="_GoBack"/>
            <w:bookmarkEnd w:id="0"/>
            <w:r w:rsidRPr="00315B8A">
              <w:t>Euroopan parlamentti</w:t>
            </w:r>
          </w:p>
          <w:p w:rsidR="00751A4A" w:rsidRPr="00315B8A" w:rsidRDefault="00817416" w:rsidP="00756632">
            <w:pPr>
              <w:pStyle w:val="EPTerm"/>
              <w:rPr>
                <w:rStyle w:val="HideTWBExt"/>
                <w:noProof w:val="0"/>
                <w:vanish w:val="0"/>
                <w:color w:val="auto"/>
              </w:rPr>
            </w:pPr>
            <w:r w:rsidRPr="00315B8A">
              <w:t>2019-2024</w:t>
            </w:r>
          </w:p>
        </w:tc>
        <w:tc>
          <w:tcPr>
            <w:tcW w:w="2268" w:type="dxa"/>
            <w:shd w:val="clear" w:color="auto" w:fill="auto"/>
          </w:tcPr>
          <w:p w:rsidR="00751A4A" w:rsidRPr="00315B8A" w:rsidRDefault="00187494" w:rsidP="0010095E">
            <w:pPr>
              <w:pStyle w:val="EPLogo"/>
            </w:pPr>
            <w:r w:rsidRPr="00315B8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15B8A" w:rsidRDefault="00D058B8" w:rsidP="004C5D52">
      <w:pPr>
        <w:pStyle w:val="LineTop"/>
      </w:pPr>
    </w:p>
    <w:p w:rsidR="00680577" w:rsidRPr="00315B8A" w:rsidRDefault="001C228D" w:rsidP="00680577">
      <w:pPr>
        <w:pStyle w:val="EPBodyTA1"/>
      </w:pPr>
      <w:r w:rsidRPr="00315B8A">
        <w:t>HYVÄKSYTYT TEKSTIT</w:t>
      </w:r>
    </w:p>
    <w:p w:rsidR="00D058B8" w:rsidRPr="00315B8A" w:rsidRDefault="00D058B8" w:rsidP="00D058B8">
      <w:pPr>
        <w:pStyle w:val="LineBottom"/>
      </w:pPr>
    </w:p>
    <w:p w:rsidR="001C228D" w:rsidRPr="00315B8A" w:rsidRDefault="001C228D" w:rsidP="001C228D">
      <w:pPr>
        <w:pStyle w:val="ATHeading1"/>
      </w:pPr>
      <w:bookmarkStart w:id="1" w:name="TANumber"/>
      <w:r w:rsidRPr="00315B8A">
        <w:t>P9_</w:t>
      </w:r>
      <w:proofErr w:type="gramStart"/>
      <w:r w:rsidRPr="00315B8A">
        <w:t>TA(</w:t>
      </w:r>
      <w:proofErr w:type="gramEnd"/>
      <w:r w:rsidRPr="00315B8A">
        <w:t>2024)0</w:t>
      </w:r>
      <w:r w:rsidR="00AF56F2">
        <w:t>32</w:t>
      </w:r>
      <w:bookmarkEnd w:id="1"/>
      <w:r w:rsidR="00E6042A">
        <w:t>8</w:t>
      </w:r>
    </w:p>
    <w:p w:rsidR="001C228D" w:rsidRPr="00315B8A" w:rsidRDefault="001C228D" w:rsidP="001C228D">
      <w:pPr>
        <w:pStyle w:val="ATHeading2"/>
      </w:pPr>
      <w:bookmarkStart w:id="2" w:name="title"/>
      <w:r w:rsidRPr="00315B8A">
        <w:t xml:space="preserve">Talletussuojan soveltamisala, talletusten vakuusjärjestelmien varojen käyttö, </w:t>
      </w:r>
      <w:proofErr w:type="spellStart"/>
      <w:r w:rsidRPr="00315B8A">
        <w:t>rajatylittävä</w:t>
      </w:r>
      <w:proofErr w:type="spellEnd"/>
      <w:r w:rsidRPr="00315B8A">
        <w:t xml:space="preserve"> yhteistyö ja</w:t>
      </w:r>
      <w:r w:rsidR="00811334">
        <w:t xml:space="preserve"> </w:t>
      </w:r>
      <w:r w:rsidRPr="00315B8A">
        <w:t>avoimuus (DGSD2)</w:t>
      </w:r>
      <w:bookmarkEnd w:id="2"/>
    </w:p>
    <w:p w:rsidR="001C228D" w:rsidRPr="00315B8A" w:rsidRDefault="001C228D" w:rsidP="001C228D">
      <w:pPr>
        <w:rPr>
          <w:i/>
          <w:vanish/>
        </w:rPr>
      </w:pPr>
      <w:r w:rsidRPr="00315B8A">
        <w:rPr>
          <w:i/>
        </w:rPr>
        <w:fldChar w:fldCharType="begin"/>
      </w:r>
      <w:r w:rsidRPr="00315B8A">
        <w:rPr>
          <w:i/>
        </w:rPr>
        <w:instrText xml:space="preserve"> </w:instrText>
      </w:r>
      <w:proofErr w:type="spellStart"/>
      <w:r w:rsidRPr="00315B8A">
        <w:rPr>
          <w:i/>
        </w:rPr>
        <w:instrText>TC</w:instrText>
      </w:r>
      <w:proofErr w:type="spellEnd"/>
      <w:r w:rsidRPr="00315B8A">
        <w:rPr>
          <w:i/>
        </w:rPr>
        <w:instrText>"(</w:instrText>
      </w:r>
      <w:bookmarkStart w:id="3" w:name="DocNumber"/>
      <w:proofErr w:type="spellStart"/>
      <w:r w:rsidRPr="00315B8A">
        <w:rPr>
          <w:i/>
        </w:rPr>
        <w:instrText>A9</w:instrText>
      </w:r>
      <w:proofErr w:type="spellEnd"/>
      <w:r w:rsidRPr="00315B8A">
        <w:rPr>
          <w:i/>
        </w:rPr>
        <w:instrText>-0154/2024</w:instrText>
      </w:r>
      <w:bookmarkEnd w:id="3"/>
      <w:r w:rsidRPr="00315B8A">
        <w:rPr>
          <w:i/>
        </w:rPr>
        <w:instrText xml:space="preserve"> - Esittelijä: </w:instrText>
      </w:r>
      <w:proofErr w:type="spellStart"/>
      <w:r w:rsidRPr="00315B8A">
        <w:rPr>
          <w:i/>
        </w:rPr>
        <w:instrText>Kira</w:instrText>
      </w:r>
      <w:proofErr w:type="spellEnd"/>
      <w:r w:rsidRPr="00315B8A">
        <w:rPr>
          <w:i/>
        </w:rPr>
        <w:instrText xml:space="preserve"> Marie Peter</w:instrText>
      </w:r>
      <w:r w:rsidRPr="00315B8A">
        <w:rPr>
          <w:i/>
        </w:rPr>
        <w:noBreakHyphen/>
        <w:instrText>Hansen)"\</w:instrText>
      </w:r>
      <w:proofErr w:type="spellStart"/>
      <w:r w:rsidRPr="00315B8A">
        <w:rPr>
          <w:i/>
        </w:rPr>
        <w:instrText>l3</w:instrText>
      </w:r>
      <w:proofErr w:type="spellEnd"/>
      <w:r w:rsidRPr="00315B8A">
        <w:rPr>
          <w:i/>
        </w:rPr>
        <w:instrText xml:space="preserve"> \n&gt; \* MERGEFORMAT </w:instrText>
      </w:r>
      <w:r w:rsidRPr="00315B8A">
        <w:rPr>
          <w:i/>
        </w:rPr>
        <w:fldChar w:fldCharType="end"/>
      </w:r>
    </w:p>
    <w:p w:rsidR="001C228D" w:rsidRPr="00315B8A" w:rsidRDefault="001C228D" w:rsidP="001C228D">
      <w:pPr>
        <w:rPr>
          <w:vanish/>
        </w:rPr>
      </w:pPr>
      <w:bookmarkStart w:id="4" w:name="Commission"/>
      <w:r w:rsidRPr="00315B8A">
        <w:rPr>
          <w:vanish/>
        </w:rPr>
        <w:t>Talous- ja raha-asioiden valiokunta</w:t>
      </w:r>
      <w:bookmarkEnd w:id="4"/>
    </w:p>
    <w:p w:rsidR="001C228D" w:rsidRPr="00315B8A" w:rsidRDefault="001C228D" w:rsidP="001C228D">
      <w:pPr>
        <w:rPr>
          <w:vanish/>
        </w:rPr>
      </w:pPr>
      <w:bookmarkStart w:id="5" w:name="PE"/>
      <w:r w:rsidRPr="00315B8A">
        <w:rPr>
          <w:vanish/>
        </w:rPr>
        <w:t>PE753.698</w:t>
      </w:r>
      <w:bookmarkEnd w:id="5"/>
    </w:p>
    <w:p w:rsidR="001C228D" w:rsidRPr="00315B8A" w:rsidRDefault="001C228D" w:rsidP="001C228D">
      <w:pPr>
        <w:pStyle w:val="ATHeading3"/>
      </w:pPr>
      <w:bookmarkStart w:id="6" w:name="Sujet"/>
      <w:r w:rsidRPr="00315B8A">
        <w:t>Euroopan parlamentin la</w:t>
      </w:r>
      <w:r w:rsidR="00F551E6">
        <w:t xml:space="preserve">insäädäntöpäätöslauselma </w:t>
      </w:r>
      <w:r w:rsidR="00811334">
        <w:t>24</w:t>
      </w:r>
      <w:r w:rsidR="00F551E6">
        <w:t>. huhti</w:t>
      </w:r>
      <w:r w:rsidRPr="00315B8A">
        <w:t xml:space="preserve">kuuta 2024 ehdotuksesta Euroopan parlamentin ja neuvoston direktiiviksi direktiivin 2014/49/EU muuttamisesta talletussuojan soveltamisalan, talletusten vakuusjärjestelmien varojen käytön, </w:t>
      </w:r>
      <w:proofErr w:type="spellStart"/>
      <w:r w:rsidRPr="00315B8A">
        <w:t>rajatylittävän</w:t>
      </w:r>
      <w:proofErr w:type="spellEnd"/>
      <w:r w:rsidRPr="00315B8A">
        <w:t xml:space="preserve"> yhteistyön ja avoimuuden osalta</w:t>
      </w:r>
      <w:bookmarkEnd w:id="6"/>
      <w:r w:rsidRPr="00315B8A">
        <w:t xml:space="preserve"> </w:t>
      </w:r>
      <w:bookmarkStart w:id="7" w:name="References"/>
      <w:r w:rsidRPr="00315B8A">
        <w:t>(</w:t>
      </w:r>
      <w:proofErr w:type="gramStart"/>
      <w:r w:rsidRPr="00315B8A">
        <w:t>COM(</w:t>
      </w:r>
      <w:proofErr w:type="gramEnd"/>
      <w:r w:rsidRPr="00315B8A">
        <w:t>2023)0228 – C9-0133/2023 – 2023/0115(COD))</w:t>
      </w:r>
      <w:bookmarkEnd w:id="7"/>
    </w:p>
    <w:p w:rsidR="00F20D6F" w:rsidRPr="00315B8A" w:rsidRDefault="00F20D6F" w:rsidP="00F20D6F">
      <w:pPr>
        <w:pStyle w:val="NormalBold"/>
        <w:widowControl/>
      </w:pPr>
      <w:bookmarkStart w:id="8" w:name="TextBodyBegin"/>
      <w:bookmarkEnd w:id="8"/>
      <w:r w:rsidRPr="00315B8A">
        <w:t>(Tavallinen lainsäätämisjärjestys: ensimmäinen käsittely)</w:t>
      </w:r>
    </w:p>
    <w:p w:rsidR="00F20D6F" w:rsidRPr="00315B8A" w:rsidRDefault="00F20D6F" w:rsidP="00F551E6">
      <w:pPr>
        <w:pStyle w:val="EPComma"/>
        <w:widowControl/>
      </w:pPr>
      <w:r w:rsidRPr="00315B8A">
        <w:rPr>
          <w:i/>
        </w:rPr>
        <w:t>Euroopan parlamentti</w:t>
      </w:r>
      <w:r w:rsidRPr="00315B8A">
        <w:t>, joka</w:t>
      </w:r>
    </w:p>
    <w:p w:rsidR="00F20D6F" w:rsidRPr="00315B8A" w:rsidRDefault="00F20D6F" w:rsidP="00F551E6">
      <w:pPr>
        <w:pStyle w:val="NormalHanging12a"/>
        <w:widowControl/>
      </w:pPr>
      <w:r w:rsidRPr="00315B8A">
        <w:t>–</w:t>
      </w:r>
      <w:r w:rsidRPr="00315B8A">
        <w:tab/>
        <w:t>ottaa huomioon komission ehdotuksen Euroopan parlamentille ja neuvostolle (</w:t>
      </w:r>
      <w:proofErr w:type="gramStart"/>
      <w:r w:rsidRPr="00315B8A">
        <w:t>COM(</w:t>
      </w:r>
      <w:proofErr w:type="gramEnd"/>
      <w:r w:rsidRPr="00315B8A">
        <w:t>2023)0228),</w:t>
      </w:r>
    </w:p>
    <w:p w:rsidR="00F20D6F" w:rsidRPr="00315B8A" w:rsidRDefault="00F20D6F" w:rsidP="00F551E6">
      <w:pPr>
        <w:pStyle w:val="NormalHanging12a"/>
        <w:widowControl/>
      </w:pPr>
      <w:r w:rsidRPr="00315B8A">
        <w:t>–</w:t>
      </w:r>
      <w:r w:rsidRPr="00315B8A">
        <w:tab/>
        <w:t>ottaa huomioon Euroopan unionin toiminnasta tehdyn sopimuksen 294 artiklan 2 kohdan ja 53 artiklan 1 kohdan, joiden mukaisesti komissio on antanut ehdotuksen Euroopan parlamentille (C9</w:t>
      </w:r>
      <w:r w:rsidRPr="00315B8A">
        <w:noBreakHyphen/>
        <w:t>0133/2023),</w:t>
      </w:r>
    </w:p>
    <w:p w:rsidR="00F20D6F" w:rsidRPr="00315B8A" w:rsidRDefault="00F20D6F" w:rsidP="00F551E6">
      <w:pPr>
        <w:pStyle w:val="NormalHanging12a"/>
        <w:widowControl/>
      </w:pPr>
      <w:r w:rsidRPr="00315B8A">
        <w:t>–</w:t>
      </w:r>
      <w:r w:rsidRPr="00315B8A">
        <w:tab/>
        <w:t>ottaa huomioon Euroopan unionin toiminnasta tehdyn sopimuksen 294 artiklan 3 kohdan,</w:t>
      </w:r>
    </w:p>
    <w:p w:rsidR="00F20D6F" w:rsidRPr="00315B8A" w:rsidRDefault="00F20D6F" w:rsidP="00F551E6">
      <w:pPr>
        <w:pStyle w:val="NormalHanging12a"/>
        <w:widowControl/>
      </w:pPr>
      <w:r w:rsidRPr="00315B8A">
        <w:t>–</w:t>
      </w:r>
      <w:r w:rsidRPr="00315B8A">
        <w:tab/>
        <w:t>ottaa huomioon Euroopan keskuspankin 5. heinäkuuta 2023 antaman lausunnon</w:t>
      </w:r>
      <w:r w:rsidRPr="00315B8A">
        <w:rPr>
          <w:rStyle w:val="FootnoteReference"/>
        </w:rPr>
        <w:footnoteReference w:id="1"/>
      </w:r>
      <w:r w:rsidRPr="00315B8A">
        <w:t>,</w:t>
      </w:r>
    </w:p>
    <w:p w:rsidR="00F20D6F" w:rsidRPr="00315B8A" w:rsidRDefault="00F20D6F" w:rsidP="00F551E6">
      <w:pPr>
        <w:pStyle w:val="NormalHanging12a"/>
        <w:widowControl/>
      </w:pPr>
      <w:r w:rsidRPr="00315B8A">
        <w:t>–</w:t>
      </w:r>
      <w:r w:rsidRPr="00315B8A">
        <w:tab/>
        <w:t>ottaa huomioon työjärjestyksen 59 artiklan,</w:t>
      </w:r>
    </w:p>
    <w:p w:rsidR="00F20D6F" w:rsidRPr="00315B8A" w:rsidRDefault="00F20D6F" w:rsidP="00F551E6">
      <w:pPr>
        <w:pStyle w:val="NormalHanging12a"/>
        <w:widowControl/>
      </w:pPr>
      <w:r w:rsidRPr="00315B8A">
        <w:t>–</w:t>
      </w:r>
      <w:r w:rsidRPr="00315B8A">
        <w:tab/>
        <w:t>ottaa huomioon talous- ja raha-asioiden valiokunnan mietinnön (A9-0154/2024),</w:t>
      </w:r>
    </w:p>
    <w:p w:rsidR="00F20D6F" w:rsidRPr="00315B8A" w:rsidRDefault="00F20D6F" w:rsidP="00F551E6">
      <w:pPr>
        <w:pStyle w:val="NormalHanging12a"/>
        <w:widowControl/>
      </w:pPr>
      <w:r w:rsidRPr="00315B8A">
        <w:t>1.</w:t>
      </w:r>
      <w:r w:rsidRPr="00315B8A">
        <w:tab/>
        <w:t>vahvistaa jäljempänä esitetyn ensimmäisen käsittelyn kannan;</w:t>
      </w:r>
    </w:p>
    <w:p w:rsidR="00F20D6F" w:rsidRPr="00315B8A" w:rsidRDefault="00F20D6F" w:rsidP="00F551E6">
      <w:pPr>
        <w:pStyle w:val="NormalHanging12a"/>
        <w:widowControl/>
      </w:pPr>
      <w:r w:rsidRPr="00315B8A">
        <w:t>2.</w:t>
      </w:r>
      <w:r w:rsidRPr="00315B8A">
        <w:tab/>
        <w:t>pyytää komissiota antamaan asian uudelleen Euroopan parlamentin käsiteltäväksi, jos se korvaa ehdotuksensa, muuttaa sitä huomattavasti tai aikoo muuttaa sitä huomattavasti;</w:t>
      </w:r>
    </w:p>
    <w:p w:rsidR="008C0409" w:rsidRDefault="00F20D6F" w:rsidP="00F551E6">
      <w:pPr>
        <w:pStyle w:val="NormalHanging12a"/>
        <w:widowControl/>
        <w:sectPr w:rsidR="008C0409" w:rsidSect="008A068B">
          <w:footnotePr>
            <w:numRestart w:val="eachSect"/>
          </w:footnotePr>
          <w:endnotePr>
            <w:numFmt w:val="decimal"/>
          </w:endnotePr>
          <w:pgSz w:w="11906" w:h="16838" w:code="9"/>
          <w:pgMar w:top="1134" w:right="1418" w:bottom="1418" w:left="1418" w:header="1134" w:footer="567" w:gutter="0"/>
          <w:cols w:space="720"/>
          <w:noEndnote/>
          <w:docGrid w:linePitch="326"/>
        </w:sectPr>
      </w:pPr>
      <w:r w:rsidRPr="00315B8A">
        <w:lastRenderedPageBreak/>
        <w:t>3.</w:t>
      </w:r>
      <w:r w:rsidRPr="00315B8A">
        <w:tab/>
        <w:t>kehottaa puhemiestä välittämään parlamentin kannan neuvostolle ja komissiolle sekä kansallisille parlamenteille.</w:t>
      </w:r>
    </w:p>
    <w:p w:rsidR="008A068B" w:rsidRPr="008A068B" w:rsidRDefault="008A068B" w:rsidP="008A068B">
      <w:pPr>
        <w:spacing w:after="240"/>
        <w:rPr>
          <w:b/>
          <w:szCs w:val="24"/>
        </w:rPr>
      </w:pPr>
      <w:r w:rsidRPr="008A068B">
        <w:rPr>
          <w:b/>
          <w:szCs w:val="24"/>
        </w:rPr>
        <w:lastRenderedPageBreak/>
        <w:t>P9_TC1-</w:t>
      </w:r>
      <w:proofErr w:type="gramStart"/>
      <w:r w:rsidRPr="008A068B">
        <w:rPr>
          <w:b/>
          <w:szCs w:val="24"/>
        </w:rPr>
        <w:t>COD(</w:t>
      </w:r>
      <w:proofErr w:type="gramEnd"/>
      <w:r w:rsidRPr="008A068B">
        <w:rPr>
          <w:b/>
          <w:szCs w:val="24"/>
        </w:rPr>
        <w:t>2023)0115</w:t>
      </w:r>
    </w:p>
    <w:p w:rsidR="00F20D6F" w:rsidRPr="00315B8A" w:rsidRDefault="008A068B" w:rsidP="008A068B">
      <w:pPr>
        <w:spacing w:after="240"/>
        <w:rPr>
          <w:noProof/>
        </w:rPr>
      </w:pPr>
      <w:r w:rsidRPr="008A068B">
        <w:rPr>
          <w:b/>
          <w:szCs w:val="24"/>
        </w:rPr>
        <w:t xml:space="preserve">Euroopan parlamentin kanta, vahvistettu ensimmäisessä käsittelyssä 24. huhtikuuta 2024, Euroopan parlamentin ja neuvoston direktiivin (EU) 2024/… antamiseksi </w:t>
      </w:r>
      <w:r w:rsidR="00F20D6F" w:rsidRPr="008A068B">
        <w:rPr>
          <w:b/>
        </w:rPr>
        <w:t xml:space="preserve">direktiivin 2014/49/EU muuttamisesta talletussuojan soveltamisalan, talletusten vakuusjärjestelmien varojen käytön, </w:t>
      </w:r>
      <w:proofErr w:type="spellStart"/>
      <w:r w:rsidR="00F20D6F" w:rsidRPr="008A068B">
        <w:rPr>
          <w:b/>
        </w:rPr>
        <w:t>rajatylittävän</w:t>
      </w:r>
      <w:proofErr w:type="spellEnd"/>
      <w:r w:rsidR="00F20D6F" w:rsidRPr="008A068B">
        <w:rPr>
          <w:b/>
        </w:rPr>
        <w:t xml:space="preserve"> yhteistyön ja avoimuuden osalta</w:t>
      </w:r>
      <w:r w:rsidRPr="00445A22">
        <w:rPr>
          <w:rStyle w:val="FootnoteReference"/>
        </w:rPr>
        <w:footnoteReference w:customMarkFollows="1" w:id="2"/>
        <w:t>*</w:t>
      </w:r>
    </w:p>
    <w:p w:rsidR="00F20D6F" w:rsidRPr="00315B8A" w:rsidRDefault="00F20D6F" w:rsidP="00F551E6">
      <w:pPr>
        <w:pStyle w:val="IntrtEEE"/>
        <w:rPr>
          <w:noProof/>
        </w:rPr>
      </w:pPr>
      <w:r w:rsidRPr="00315B8A">
        <w:t>(ETA:n kannalta merkityksellinen teksti)</w:t>
      </w:r>
    </w:p>
    <w:p w:rsidR="00F20D6F" w:rsidRPr="00315B8A" w:rsidRDefault="00F20D6F" w:rsidP="00AF56F2">
      <w:pPr>
        <w:pStyle w:val="Institutionquiagit"/>
        <w:spacing w:line="360" w:lineRule="auto"/>
        <w:jc w:val="left"/>
        <w:rPr>
          <w:noProof/>
        </w:rPr>
      </w:pPr>
      <w:r w:rsidRPr="00315B8A">
        <w:t>EUROOPAN PARLAMENTTI JA EUROOPAN UNIONIN NEUVOSTO, jotka</w:t>
      </w:r>
    </w:p>
    <w:p w:rsidR="00F20D6F" w:rsidRPr="00315B8A" w:rsidRDefault="00F20D6F" w:rsidP="00811334">
      <w:pPr>
        <w:widowControl/>
        <w:spacing w:before="120" w:after="120" w:line="360" w:lineRule="auto"/>
        <w:rPr>
          <w:noProof/>
        </w:rPr>
      </w:pPr>
      <w:r w:rsidRPr="00315B8A">
        <w:t>ottavat huomioon Euroopan unionin toiminnasta tehdyn sopimuksen ja erityisesti sen 53 artiklan 1 kohdan,</w:t>
      </w:r>
    </w:p>
    <w:p w:rsidR="00F20D6F" w:rsidRPr="00315B8A" w:rsidRDefault="00F20D6F" w:rsidP="00811334">
      <w:pPr>
        <w:widowControl/>
        <w:spacing w:before="120" w:after="120" w:line="360" w:lineRule="auto"/>
        <w:rPr>
          <w:noProof/>
        </w:rPr>
      </w:pPr>
      <w:r w:rsidRPr="00315B8A">
        <w:t>ottavat huomioon Euroopan komission ehdotuksen,</w:t>
      </w:r>
    </w:p>
    <w:p w:rsidR="00F20D6F" w:rsidRPr="00315B8A" w:rsidRDefault="00F20D6F" w:rsidP="00811334">
      <w:pPr>
        <w:widowControl/>
        <w:spacing w:before="120" w:after="120" w:line="360" w:lineRule="auto"/>
        <w:rPr>
          <w:noProof/>
        </w:rPr>
      </w:pPr>
      <w:r w:rsidRPr="00315B8A">
        <w:t xml:space="preserve">sen </w:t>
      </w:r>
      <w:proofErr w:type="gramStart"/>
      <w:r w:rsidRPr="00315B8A">
        <w:t>jälkeen</w:t>
      </w:r>
      <w:proofErr w:type="gramEnd"/>
      <w:r w:rsidRPr="00315B8A">
        <w:t xml:space="preserve"> kun esitys lainsäätämisjärjestyksessä hyväksyttäväksi säädökseksi on toimitettu kansallisille parlamenteille,</w:t>
      </w:r>
    </w:p>
    <w:p w:rsidR="00F20D6F" w:rsidRPr="00315B8A" w:rsidRDefault="00F20D6F" w:rsidP="00811334">
      <w:pPr>
        <w:widowControl/>
        <w:spacing w:before="120" w:after="120" w:line="360" w:lineRule="auto"/>
        <w:rPr>
          <w:noProof/>
        </w:rPr>
      </w:pPr>
      <w:r w:rsidRPr="00315B8A">
        <w:t>ottavat huomioon Euroopan talous- ja sosiaalikomitean lausunnon</w:t>
      </w:r>
      <w:r w:rsidRPr="00315B8A">
        <w:rPr>
          <w:rStyle w:val="FootnoteReference"/>
          <w:noProof/>
        </w:rPr>
        <w:footnoteReference w:id="3"/>
      </w:r>
      <w:r w:rsidRPr="00315B8A">
        <w:t xml:space="preserve">, </w:t>
      </w:r>
    </w:p>
    <w:p w:rsidR="00F20D6F" w:rsidRPr="00315B8A" w:rsidRDefault="00F20D6F" w:rsidP="00811334">
      <w:pPr>
        <w:widowControl/>
        <w:spacing w:before="120" w:after="120" w:line="360" w:lineRule="auto"/>
        <w:rPr>
          <w:noProof/>
        </w:rPr>
      </w:pPr>
      <w:r w:rsidRPr="00315B8A">
        <w:t>ottavat huomioon alueiden komitean lausunnon</w:t>
      </w:r>
      <w:r w:rsidRPr="00315B8A">
        <w:rPr>
          <w:rStyle w:val="FootnoteReference"/>
          <w:noProof/>
        </w:rPr>
        <w:footnoteReference w:id="4"/>
      </w:r>
      <w:r w:rsidRPr="00315B8A">
        <w:t xml:space="preserve">, </w:t>
      </w:r>
    </w:p>
    <w:p w:rsidR="00F20D6F" w:rsidRPr="00315B8A" w:rsidRDefault="00F20D6F" w:rsidP="00811334">
      <w:pPr>
        <w:widowControl/>
        <w:spacing w:before="120" w:after="120" w:line="360" w:lineRule="auto"/>
        <w:rPr>
          <w:noProof/>
        </w:rPr>
      </w:pPr>
      <w:r w:rsidRPr="00315B8A">
        <w:t>ottavat huomioon Euroopan keskuspankin lausunnon</w:t>
      </w:r>
      <w:r w:rsidRPr="00315B8A">
        <w:rPr>
          <w:rStyle w:val="FootnoteReference"/>
          <w:noProof/>
        </w:rPr>
        <w:footnoteReference w:id="5"/>
      </w:r>
      <w:r w:rsidRPr="00315B8A">
        <w:t>,</w:t>
      </w:r>
    </w:p>
    <w:p w:rsidR="00F20D6F" w:rsidRPr="00315B8A" w:rsidRDefault="00F20D6F" w:rsidP="00811334">
      <w:pPr>
        <w:widowControl/>
        <w:spacing w:before="120" w:after="120" w:line="360" w:lineRule="auto"/>
        <w:rPr>
          <w:noProof/>
        </w:rPr>
      </w:pPr>
      <w:r w:rsidRPr="00315B8A">
        <w:t>noudattavat tavallista lainsäätämisjärjestystä,</w:t>
      </w:r>
    </w:p>
    <w:p w:rsidR="00F20D6F" w:rsidRPr="00315B8A" w:rsidRDefault="00F20D6F" w:rsidP="00811334">
      <w:pPr>
        <w:widowControl/>
        <w:spacing w:before="120" w:after="120" w:line="360" w:lineRule="auto"/>
        <w:rPr>
          <w:noProof/>
        </w:rPr>
      </w:pPr>
      <w:r w:rsidRPr="00315B8A">
        <w:t>sekä katsovat seuraavaa:</w:t>
      </w:r>
    </w:p>
    <w:p w:rsidR="00F20D6F" w:rsidRPr="00315B8A" w:rsidRDefault="00F20D6F" w:rsidP="00AF56F2">
      <w:pPr>
        <w:pStyle w:val="ManualConsidrant"/>
        <w:spacing w:line="360" w:lineRule="auto"/>
        <w:jc w:val="left"/>
        <w:rPr>
          <w:noProof/>
        </w:rPr>
      </w:pPr>
      <w:r w:rsidRPr="00315B8A">
        <w:t>(1)</w:t>
      </w:r>
      <w:r w:rsidRPr="00315B8A">
        <w:tab/>
        <w:t>Komissio on Euroopan parlamentin ja neuvoston direktiivin 2014/49/EU</w:t>
      </w:r>
      <w:r w:rsidRPr="00315B8A">
        <w:rPr>
          <w:rStyle w:val="FootnoteReference"/>
          <w:noProof/>
        </w:rPr>
        <w:footnoteReference w:id="6"/>
      </w:r>
      <w:r w:rsidRPr="00315B8A">
        <w:t xml:space="preserve"> 19 artiklan 5 ja 6 kohdan mukaisesti tarkastellut uudelleen kyseisen direktiivin soveltamista ja soveltamisalaa ja todennut, että talletusten vakuusjärjestelmien perustamisella on pääosin saavutettu tallettajien suojaamista unionissa koskeva tavoite. Komissio on kuitenkin myös todennut, että on tarpeen puuttua talletussuojassa jäljellä oleviin aukkoihin ja parantaa talletusten vakuusjärjestelmien toimintaa sekä yhdenmukaistaa sääntöjä, jotka koskevat muita talletusten vakuusjärjestelmien toimia kuin korvausten maksumenettelyjä.</w:t>
      </w:r>
    </w:p>
    <w:p w:rsidR="00F20D6F" w:rsidRPr="00315B8A" w:rsidRDefault="00F20D6F" w:rsidP="00AF56F2">
      <w:pPr>
        <w:pStyle w:val="ManualConsidrant"/>
        <w:spacing w:line="360" w:lineRule="auto"/>
        <w:jc w:val="left"/>
        <w:rPr>
          <w:b/>
          <w:i/>
          <w:noProof/>
        </w:rPr>
      </w:pPr>
      <w:bookmarkStart w:id="9" w:name="_Hlk127200842"/>
      <w:r w:rsidRPr="00315B8A">
        <w:rPr>
          <w:b/>
          <w:i/>
        </w:rPr>
        <w:lastRenderedPageBreak/>
        <w:t>(1 a)</w:t>
      </w:r>
      <w:r w:rsidRPr="00315B8A">
        <w:rPr>
          <w:b/>
          <w:i/>
        </w:rPr>
        <w:tab/>
        <w:t>Pankkiunioni perustuu tällä hetkellä vain kahteen sen kolmesta pilarista eli yhteiseen valvontamekanismiin ja yhteiseen kriisinratkaisumekanismiin. Näin ollen pankkiunioni ei ole vielä valmis, koska sen kolmas pilari eli eurooppalainen talletussuojajärjestelmä puuttuu. Unionin kriisinhallinta- ja talletussuojakehyksen meneillään olevan uudelleentarkastelun tarkoituksena on tasoittaa tietä pitkään odotetulle pankkiunionin valmiiksi saattamiselle, johon kuuluu myös eurooppalaisen talletussuojajärjestelmän perustaminen. Pankkiunionin valmiiksi saattaminen on olennainen osa talous- ja rahaliittoa ja rahoitusvakautta, erityisesti koska se lieventää riskejä, jotka liittyvät valtioiden ja pankkien välisestä yhteydestä johtuvaan haitalliseen kierteeseen.</w:t>
      </w:r>
    </w:p>
    <w:p w:rsidR="00F20D6F" w:rsidRPr="00315B8A" w:rsidRDefault="00F20D6F" w:rsidP="00AF56F2">
      <w:pPr>
        <w:pStyle w:val="ManualConsidrant"/>
        <w:spacing w:line="360" w:lineRule="auto"/>
        <w:jc w:val="left"/>
        <w:rPr>
          <w:b/>
          <w:i/>
          <w:noProof/>
        </w:rPr>
      </w:pPr>
      <w:r w:rsidRPr="00315B8A">
        <w:rPr>
          <w:b/>
          <w:i/>
        </w:rPr>
        <w:t>(1 b)</w:t>
      </w:r>
      <w:r w:rsidRPr="00315B8A">
        <w:rPr>
          <w:b/>
          <w:i/>
        </w:rPr>
        <w:tab/>
        <w:t>Jotta voidaan varmistaa sujuva pankkiunionin valmiiksi saattaminen, on tarpeen yhdenmukaistaa tehtävät, joita talletusten vakuusjärjestelmät voivat hoitaa. Sen vuoksi direktiiviin 2014/49/EU sisältyvää kansallisen lainsäädännön mukaista harkintavaltaa olisi rajoitettava ja kaikkien talletusten vakuusjärjestelmien olisi voitava rahoittaa kriisinratkaisutoimenpiteitä, ennaltaehkäiseviä toimenpiteitä ja muita tallettajille maksettaville korvauksille vaihtoehtoisia toimenpiteitä.</w:t>
      </w:r>
    </w:p>
    <w:p w:rsidR="00F20D6F" w:rsidRPr="00315B8A" w:rsidRDefault="00F20D6F" w:rsidP="00AF56F2">
      <w:pPr>
        <w:pStyle w:val="ManualConsidrant"/>
        <w:spacing w:line="360" w:lineRule="auto"/>
        <w:jc w:val="left"/>
      </w:pPr>
      <w:r w:rsidRPr="00315B8A">
        <w:rPr>
          <w:b/>
          <w:i/>
        </w:rPr>
        <w:t>(1 c)</w:t>
      </w:r>
      <w:r w:rsidRPr="00315B8A">
        <w:rPr>
          <w:b/>
          <w:i/>
        </w:rPr>
        <w:tab/>
        <w:t>Unionin kriisinhallintakehyksellä olisi aina varmistettava, että tappioita ei sosialisoida ja että veronmaksajien varoja ei käytetä vaikeuksissa olevien luottolaitosten auttamiseen tai pelastamiseen.</w:t>
      </w:r>
    </w:p>
    <w:p w:rsidR="00F20D6F" w:rsidRPr="00315B8A" w:rsidRDefault="00F20D6F" w:rsidP="00AF56F2">
      <w:pPr>
        <w:pStyle w:val="ManualConsidrant"/>
        <w:spacing w:line="360" w:lineRule="auto"/>
        <w:jc w:val="left"/>
        <w:rPr>
          <w:noProof/>
        </w:rPr>
      </w:pPr>
      <w:r w:rsidRPr="00315B8A">
        <w:t>(2)</w:t>
      </w:r>
      <w:r w:rsidRPr="00315B8A">
        <w:tab/>
        <w:t xml:space="preserve">Talletussuojan tavoite voi vaarantua, jos velvoitteita kannatusmaksujen maksamisesta talletusten vakuusjärjestelmiin tai tietojen antamisesta tallettajille ja talletusten vakuusjärjestelmille ei noudateta. Talletusten vakuusjärjestelmät tai silloin, kun se on tarpeen, nimetyt viranomaiset voivat määrätä taloudellisia seuraamuksia kannatusmaksujen maksamisesta myöhässä. </w:t>
      </w:r>
      <w:bookmarkEnd w:id="9"/>
      <w:r w:rsidRPr="00315B8A">
        <w:t xml:space="preserve">On tärkeää parantaa talletusten vakuusjärjestelmien sekä nimettyjen ja toimivaltaisten viranomaisten välistä koordinointia, jotta voidaan toteuttaa täytäntöönpanotoimia sellaista luottolaitosta vastaan, joka ei täytä velvoitteitaan. </w:t>
      </w:r>
      <w:bookmarkStart w:id="10" w:name="_Hlk127201032"/>
      <w:r w:rsidRPr="00315B8A">
        <w:t xml:space="preserve">Toimivaltaisten viranomaisten luottolaitoksia vastaan toteuttamien valvonta- ja täytäntöönpanotoimenpiteiden soveltamista säännellään kansallisessa lainsäädännössä ja Euroopan parlamentin ja neuvoston </w:t>
      </w:r>
      <w:r w:rsidRPr="00315B8A">
        <w:lastRenderedPageBreak/>
        <w:t>direktiivillä 2013/36/EU</w:t>
      </w:r>
      <w:r w:rsidRPr="00315B8A">
        <w:rPr>
          <w:rStyle w:val="FootnoteReference"/>
          <w:noProof/>
        </w:rPr>
        <w:footnoteReference w:id="7"/>
      </w:r>
      <w:r w:rsidRPr="00315B8A">
        <w:t>. On silti tarpeen varmistaa, että nimetyt viranomaiset ilmoittavat toimivaltaisille viranomaisille ajoissa luottolaitosten mahdollisista talletussuojasääntöjen mukaisten velvoitteiden rikkomisista.</w:t>
      </w:r>
      <w:bookmarkEnd w:id="10"/>
    </w:p>
    <w:p w:rsidR="00F20D6F" w:rsidRPr="00315B8A" w:rsidRDefault="00F20D6F" w:rsidP="00AF56F2">
      <w:pPr>
        <w:pStyle w:val="ManualConsidrant"/>
        <w:spacing w:line="360" w:lineRule="auto"/>
        <w:jc w:val="left"/>
        <w:rPr>
          <w:noProof/>
        </w:rPr>
      </w:pPr>
      <w:bookmarkStart w:id="11" w:name="_Hlk127906132"/>
      <w:r w:rsidRPr="00315B8A">
        <w:t>(3)</w:t>
      </w:r>
      <w:r w:rsidRPr="00315B8A">
        <w:tab/>
        <w:t xml:space="preserve">Jotta voidaan tukea talletusten vakuusjärjestelmien käytäntöjen yhdenmukaistamista ja avustaa talletusten vakuusjärjestelmiä niiden sietokyvyn testaamisessa, Euroopan pankkiviranomaisen, jäljempänä ’EPV’, olisi </w:t>
      </w:r>
      <w:r w:rsidRPr="00315B8A">
        <w:rPr>
          <w:b/>
          <w:i/>
        </w:rPr>
        <w:t>laadittava luonnoksia sääntelystandardeiksi</w:t>
      </w:r>
      <w:r w:rsidRPr="00315B8A">
        <w:t xml:space="preserve"> talletusten vakuusjärjestelmien järjestelmiä koskevien stressitestien toteuttamisesta.</w:t>
      </w:r>
    </w:p>
    <w:p w:rsidR="00F20D6F" w:rsidRPr="00315B8A" w:rsidRDefault="00F20D6F" w:rsidP="00AF56F2">
      <w:pPr>
        <w:pStyle w:val="ManualConsidrant"/>
        <w:spacing w:line="360" w:lineRule="auto"/>
        <w:jc w:val="left"/>
        <w:rPr>
          <w:noProof/>
        </w:rPr>
      </w:pPr>
      <w:r w:rsidRPr="00315B8A">
        <w:t>(4)</w:t>
      </w:r>
      <w:r w:rsidRPr="00315B8A">
        <w:tab/>
        <w:t>Direktiivin 2014/49/EU 5 artiklan 1 kohdan d alakohdan mukaisesti tiettyjen rahoituslaitosten, mukaan lukien sijoituspalveluyritykset, talletukset on suljettu talletusten vakuusjärjestelmien talletussuojan ulkopuolelle. Varojen, jotka kyseiset rahoituslaitokset saavat asiakkailtaan ja tallettavat asiakkaidensa puolesta luottolaitokseen harjoittaessaan tarjoamiaan palveluja, olisi kuitenkin kuuluttava talletussuojaan tietyin ehdoin.</w:t>
      </w:r>
      <w:bookmarkEnd w:id="11"/>
    </w:p>
    <w:p w:rsidR="00F20D6F" w:rsidRPr="00315B8A" w:rsidRDefault="00F20D6F" w:rsidP="00AF56F2">
      <w:pPr>
        <w:pStyle w:val="ManualConsidrant"/>
        <w:spacing w:line="360" w:lineRule="auto"/>
        <w:jc w:val="left"/>
        <w:rPr>
          <w:noProof/>
        </w:rPr>
      </w:pPr>
      <w:r w:rsidRPr="00315B8A">
        <w:t>(5)</w:t>
      </w:r>
      <w:r w:rsidRPr="00315B8A">
        <w:tab/>
        <w:t xml:space="preserve">Talletusten vakuusjärjestelmältä saatavien korvausten piiriin tällä hetkellä kuuluvien tallettajien valikoiman taustalla on halu suojella vähittäissijoittajia. Ammattimaisten sijoittajien ei katsota tarvitsevan tällaista suojaa. Tästä syystä julkiset viranomaiset on suljettu talletussuojan ulkopuolelle. Useimpia julkisia viranomaisia (joihin joissakin jäsenvaltioissa kuuluvat koulut ja sairaalat) ei kuitenkaan voida pitää ammattimaisina sijoittajina. Siksi on tarpeen varmistaa, että kaikkien vähittäissijoittajien, julkiset viranomaiset mukaan luettuna, talletuksille voidaan saada talletusten vakuusjärjestelmän tarjoama suoja. </w:t>
      </w:r>
    </w:p>
    <w:p w:rsidR="00F20D6F" w:rsidRPr="00315B8A" w:rsidRDefault="00F20D6F" w:rsidP="00AF56F2">
      <w:pPr>
        <w:pStyle w:val="ManualConsidrant"/>
        <w:spacing w:line="360" w:lineRule="auto"/>
        <w:jc w:val="left"/>
        <w:rPr>
          <w:noProof/>
        </w:rPr>
      </w:pPr>
      <w:r w:rsidRPr="00315B8A">
        <w:t>(6)</w:t>
      </w:r>
      <w:r w:rsidRPr="00315B8A">
        <w:tab/>
        <w:t xml:space="preserve">Tietyistä tapahtumista, kuten yksityisiin asuinkiinteistöihin liittyvistä kiinteistökaupoista tai tiettyjen vakuutussuoritusten maksamisesta, johtuvat talletukset voivat tilapäisesti saada aikaan suuria talletuksia. Tästä syystä direktiivin 2014/49/EU 6 artiklan 2 kohdassa velvoitetaan tällä hetkellä jäsenvaltiot varmistamaan, että näistä tapahtumista aiheutuvien talletusten suoja on yli 100 000 euroa vähintään kolmen kuukauden ja korkeintaan 12 kuukauden ajan siitä, kun kyseinen määrä on hyvitetty tai kun kyseiset talletukset ovat laillisesti siirrettävissä. Talletussuojan </w:t>
      </w:r>
      <w:r w:rsidRPr="00315B8A">
        <w:lastRenderedPageBreak/>
        <w:t xml:space="preserve">yhdenmukaistamiseksi unionissa ja tällaisten talletusten suojan soveltamisalaan liittyvän hallinnollisen monimutkaisuuden ja oikeudellisen epävarmuuden vähentämiseksi on tarpeen yhdenmukaistaa näiden talletusten suojaa siten, että se on vähintään 500 000 euroa </w:t>
      </w:r>
      <w:r w:rsidRPr="00315B8A">
        <w:rPr>
          <w:b/>
          <w:i/>
        </w:rPr>
        <w:t>ja enintään 2 500 000 euroa</w:t>
      </w:r>
      <w:r w:rsidRPr="00315B8A">
        <w:t xml:space="preserve"> kuuden kuukauden ajan, 100 000 euron talletussuojan tason lisäksi. </w:t>
      </w:r>
      <w:r w:rsidRPr="00315B8A">
        <w:rPr>
          <w:b/>
          <w:i/>
        </w:rPr>
        <w:t>Kun jäsenvaltiot ovat saattaneet ne osaksi kansallista lainsäädäntöään, komission olisi tarkasteltava uudelleen suojattuja määriä määrittääkseen, olisiko enimmäismäärää alennettava, ja tarkasteltava, ovatko suojatut määrät oikeasuhteisia ja varmistavatko ne tasapuoliset toimintaedellytykset kaikkialla unionissa.</w:t>
      </w:r>
    </w:p>
    <w:p w:rsidR="00F20D6F" w:rsidRPr="00315B8A" w:rsidRDefault="00F20D6F" w:rsidP="00AF56F2">
      <w:pPr>
        <w:pStyle w:val="ManualConsidrant"/>
        <w:spacing w:line="360" w:lineRule="auto"/>
        <w:jc w:val="left"/>
        <w:rPr>
          <w:noProof/>
        </w:rPr>
      </w:pPr>
      <w:r w:rsidRPr="00315B8A">
        <w:t>(7)</w:t>
      </w:r>
      <w:r w:rsidRPr="00315B8A">
        <w:tab/>
        <w:t xml:space="preserve">Kiinteistökaupan aikana varat voidaan siirtää eri tilien kautta ennen liiketapahtuman varsinaista toteuttamista. Jotta kiinteistökauppoja tekeviä tallettajia voidaan suojata yhtenäisellä tavalla, tilapäisesti korkeiden saldojen suojaa olisi sovellettava sekä myyntituloihin että yksityisen asuinkiinteistön ostoa varten talletettuihin varoihin </w:t>
      </w:r>
      <w:r w:rsidRPr="00315B8A">
        <w:rPr>
          <w:b/>
          <w:i/>
        </w:rPr>
        <w:t>ennalta määritellyllä</w:t>
      </w:r>
      <w:r w:rsidRPr="00315B8A">
        <w:t xml:space="preserve"> lyhyellä aikavälillä.</w:t>
      </w:r>
    </w:p>
    <w:p w:rsidR="00F20D6F" w:rsidRPr="00315B8A" w:rsidRDefault="00F20D6F" w:rsidP="00AF56F2">
      <w:pPr>
        <w:pStyle w:val="ManualConsidrant"/>
        <w:spacing w:line="360" w:lineRule="auto"/>
        <w:jc w:val="left"/>
        <w:rPr>
          <w:noProof/>
        </w:rPr>
      </w:pPr>
      <w:r w:rsidRPr="00315B8A">
        <w:t>(8)</w:t>
      </w:r>
      <w:r w:rsidRPr="00315B8A">
        <w:tab/>
        <w:t xml:space="preserve">Talletusten vakuusjärjestelmän maksaman korvausmäärän oikea-aikaisen maksamisen varmistamiseksi sekä hallinnollisten ja maksamista koskevien sääntöjen yksinkertaistamiseksi harkintavalta, joka koskee erääntyneiden velkojen huomioon ottamista korvattavan määrän laskennassa, olisi poistettava. </w:t>
      </w:r>
    </w:p>
    <w:p w:rsidR="00F20D6F" w:rsidRPr="00315B8A" w:rsidRDefault="00F20D6F" w:rsidP="00AF56F2">
      <w:pPr>
        <w:pStyle w:val="ManualConsidrant"/>
        <w:spacing w:line="360" w:lineRule="auto"/>
        <w:jc w:val="left"/>
        <w:rPr>
          <w:noProof/>
        </w:rPr>
      </w:pPr>
      <w:r w:rsidRPr="00315B8A">
        <w:t>(9)</w:t>
      </w:r>
      <w:r w:rsidRPr="00315B8A">
        <w:tab/>
        <w:t xml:space="preserve">On tarpeen optimoida talletusten vakuusjärjestelmien toiminnalliset valmiudet ja vähentää järjestelmien hallinnollista taakkaa. Tästä syystä olisi määritettävä, että edunsaajatileillä oleviin talletuksiin oikeutettujen tallettajien tunnistamisen osalta tai arvioitaessa, ovatko tallettajat oikeutettuja tilapäisesti korkeita saldoja koskeviin suojatoimiin, on edelleen tallettajien ja tilinhaltijoiden vastuulla itse osoittaa olevansa niihin oikeutettuja. </w:t>
      </w:r>
    </w:p>
    <w:p w:rsidR="00F20D6F" w:rsidRPr="00315B8A" w:rsidRDefault="00F20D6F" w:rsidP="00AF56F2">
      <w:pPr>
        <w:pStyle w:val="ManualConsidrant"/>
        <w:spacing w:line="360" w:lineRule="auto"/>
        <w:jc w:val="left"/>
        <w:rPr>
          <w:noProof/>
        </w:rPr>
      </w:pPr>
      <w:r w:rsidRPr="00315B8A">
        <w:t>(10)</w:t>
      </w:r>
      <w:r w:rsidRPr="00315B8A">
        <w:tab/>
        <w:t xml:space="preserve">Tiettyihin talletuksiin voidaan soveltaa pidempää korvausaikaa, koska talletusten vakuusjärjestelmien on tarkistettava takaisinmaksuvaatimus. Sääntöjen yhdenmukaistamiseksi kaikkialla unionissa korvausaika olisi rajoitettava 20 työpäivään asiaan liittyvän dokumentaation vastaanottamisesta. </w:t>
      </w:r>
    </w:p>
    <w:p w:rsidR="00F20D6F" w:rsidRPr="00315B8A" w:rsidRDefault="00F20D6F" w:rsidP="00AF56F2">
      <w:pPr>
        <w:pStyle w:val="ManualConsidrant"/>
        <w:spacing w:line="360" w:lineRule="auto"/>
        <w:jc w:val="left"/>
        <w:rPr>
          <w:noProof/>
        </w:rPr>
      </w:pPr>
      <w:r w:rsidRPr="00315B8A">
        <w:t>(11)</w:t>
      </w:r>
      <w:r w:rsidRPr="00315B8A">
        <w:tab/>
        <w:t xml:space="preserve">Käyttämättömillä tileillä olevien pienten määrien korvaamiseen liittyvät hallinnolliset kulut saattavat olla suuremmat kuin tallettajalle aiheutuvat hyödyt. Siksi on tarpeen täsmentää, ettei talletusten vakuusjärjestelmiä pitäisi velvoittaa toteuttaa aktiivisia toimia tällaisilla tileillä olevien tiettyjä, kansallisella tasolla määritettäviä kynnysarvoja pienempien talletusten korvaamiseksi. Olisi kuitenkin säilytettävä </w:t>
      </w:r>
      <w:r w:rsidRPr="00315B8A">
        <w:lastRenderedPageBreak/>
        <w:t xml:space="preserve">tallettajien oikeus vaatia tällaista määrää. Lisäksi talletusten vakuusjärjestelmien olisi sisällytettävä kyseinen määrä korvattavan määrän laskemiseen, jos samalla tallettajalla on myös muita aktiivisia tilejä. </w:t>
      </w:r>
    </w:p>
    <w:p w:rsidR="00F20D6F" w:rsidRPr="00315B8A" w:rsidRDefault="00F20D6F" w:rsidP="00AF56F2">
      <w:pPr>
        <w:pStyle w:val="ManualConsidrant"/>
        <w:spacing w:line="360" w:lineRule="auto"/>
        <w:jc w:val="left"/>
        <w:rPr>
          <w:noProof/>
        </w:rPr>
      </w:pPr>
      <w:r w:rsidRPr="00315B8A">
        <w:t>(12)</w:t>
      </w:r>
      <w:r w:rsidRPr="00315B8A">
        <w:tab/>
        <w:t>Talletusten vakuusjärjestelmistä voidaan maksaa korvauksia tallettajille eri menetelmillä käteissuorituksista sähköisiin varojen siirtoihin. Jotta varmistetaan talletusten vakuusjärjestelmien korvausprosessin jäljitettävyys ja noudatetaan tavoitteita, jotka on asetettu unionin kehyksessä rahoitusjärjestelmän käytön estämisestä rahanpesuun tai terrorismin rahoitukseen, oletusarvoisena maksutapana olisi käytettävä korvausten maksamista tallettajille tilisiirtona, kun korvauksen määrä on yli 10 000 euroa.</w:t>
      </w:r>
    </w:p>
    <w:p w:rsidR="00F20D6F" w:rsidRPr="00315B8A" w:rsidRDefault="00F20D6F" w:rsidP="00AF56F2">
      <w:pPr>
        <w:pStyle w:val="ManualConsidrant"/>
        <w:spacing w:line="360" w:lineRule="auto"/>
        <w:jc w:val="left"/>
        <w:rPr>
          <w:noProof/>
        </w:rPr>
      </w:pPr>
      <w:r w:rsidRPr="00315B8A">
        <w:t>(13)</w:t>
      </w:r>
      <w:r w:rsidRPr="00315B8A">
        <w:tab/>
        <w:t>Rahoituslaitokset on jätetty talletussuojan ulkopuolelle. Tietyt rahoituslaitokset, mukaan lukien sähköisen rahan liikkeeseenlaskijalaitokset, maksulaitokset ja sijoituspalveluyritykset, tallettavat kuitenkin asiakkailtaan saamansa varat pankkitileille, usein väliaikaisesti, noudattaakseen suojaamista koskevia velvoitteita, jotka sisältyvät alakohtaiseen lainsäädäntöön, kuten Euroopan parlamentin ja neuvoston direktiiviin 2009/110/EY</w:t>
      </w:r>
      <w:r w:rsidRPr="00315B8A">
        <w:rPr>
          <w:rStyle w:val="FootnoteReference"/>
          <w:noProof/>
        </w:rPr>
        <w:footnoteReference w:id="8"/>
      </w:r>
      <w:r w:rsidRPr="00315B8A">
        <w:t>, Euroopan parlamentin ja neuvoston direktiiviin (EU) 2015/2366</w:t>
      </w:r>
      <w:r w:rsidRPr="00315B8A">
        <w:rPr>
          <w:rStyle w:val="FootnoteReference"/>
          <w:noProof/>
        </w:rPr>
        <w:footnoteReference w:id="9"/>
      </w:r>
      <w:r w:rsidRPr="00315B8A">
        <w:t xml:space="preserve"> ja Euroopan parlamentin ja neuvoston direktiiviin 2014/65/EU</w:t>
      </w:r>
      <w:r w:rsidRPr="00315B8A">
        <w:rPr>
          <w:rStyle w:val="FootnoteReference"/>
          <w:noProof/>
        </w:rPr>
        <w:footnoteReference w:id="10"/>
      </w:r>
      <w:r w:rsidRPr="00315B8A">
        <w:t xml:space="preserve">. Näiden rahoituslaitosten kasvava rooli huomioon ottaen talletusten vakuusjärjestelmien olisi suojattava tällaiset talletukset edellyttäen, että kyseiset asiakkaat on tunnistettu tai ovat tunnistettavissa. </w:t>
      </w:r>
    </w:p>
    <w:p w:rsidR="00F20D6F" w:rsidRPr="00315B8A" w:rsidRDefault="00F20D6F" w:rsidP="00AF56F2">
      <w:pPr>
        <w:pStyle w:val="ManualConsidrant"/>
        <w:spacing w:line="360" w:lineRule="auto"/>
        <w:jc w:val="left"/>
        <w:rPr>
          <w:noProof/>
        </w:rPr>
      </w:pPr>
      <w:r w:rsidRPr="00315B8A">
        <w:t>(14)</w:t>
      </w:r>
      <w:r w:rsidRPr="00315B8A">
        <w:tab/>
        <w:t xml:space="preserve">Rahoituslaitosten asiakkaat eivät aina tiedä, mihin luottolaitokseen rahoituslaitos on tallettanut heidän varansa. Talletusten vakuusjärjestelmien ei näin ollen pitäisi laskea tällaisia talletuksia yhteen sellaisen talletuksen kanssa, joka samoilla asiakkailla voi olla samassa luottolaitoksessa, johon rahoituslaitos on tallettanut heidän talletuksensa. </w:t>
      </w:r>
      <w:r w:rsidRPr="00315B8A">
        <w:lastRenderedPageBreak/>
        <w:t>Luottolaitokset eivät välttämättä tunne asiakastileille talletettuun määrään oikeutettuja asiakkaita tai kykene tarkistamaan ja tallentamaan kyseisten asiakkaiden yksilöllisiä tietoja. ▌</w:t>
      </w:r>
    </w:p>
    <w:p w:rsidR="00F20D6F" w:rsidRPr="00315B8A" w:rsidRDefault="00F20D6F" w:rsidP="00AF56F2">
      <w:pPr>
        <w:pStyle w:val="ManualConsidrant"/>
        <w:spacing w:line="360" w:lineRule="auto"/>
        <w:jc w:val="left"/>
        <w:rPr>
          <w:noProof/>
        </w:rPr>
      </w:pPr>
      <w:r w:rsidRPr="00315B8A">
        <w:t>(15)</w:t>
      </w:r>
      <w:r w:rsidRPr="00315B8A">
        <w:tab/>
        <w:t>Talletusten vakuusjärjestelmät saattavat kohdata tallettajille korvaamisen yhteydessä tilanteita, jotka aiheuttavat huolta rahanpesusta. Siksi talletusten vakuusjärjestelmien olisi pidättäydyttävä maksamasta korvausta tallettajalle saadessaan ilmoituksen, että rahanpesun selvittelykeskus on keskeyttänyt pankki- tai maksutilin käytön sovellettavien rahanpesun torjuntaa koskevien sääntöjen mukaisesti.</w:t>
      </w:r>
    </w:p>
    <w:p w:rsidR="00F20D6F" w:rsidRPr="00315B8A" w:rsidRDefault="00F20D6F" w:rsidP="00AF56F2">
      <w:pPr>
        <w:pStyle w:val="ManualConsidrant"/>
        <w:spacing w:line="360" w:lineRule="auto"/>
        <w:jc w:val="left"/>
        <w:rPr>
          <w:noProof/>
        </w:rPr>
      </w:pPr>
      <w:r w:rsidRPr="00315B8A">
        <w:t>(16)</w:t>
      </w:r>
      <w:r w:rsidRPr="00315B8A">
        <w:tab/>
        <w:t xml:space="preserve">Direktiivin 2014/49/EU 9 artiklassa säädetään, että jos talletusten vakuusjärjestelmä maksaa korvaukset kriisinratkaisumenettelyn yhteydessä, talletusten vakuusjärjestelmän olisi vaadittava asiaankuuluvalta luottolaitokselta suorittamiaan maksuja vastaava määrä ja että kyseistä vaatimusta olisi pidettävä etuoikeusasemaltaan samana kuin suojattuja talletuksia. Kyseisessä säännöksessä ei eroteta toisistaan talletusten vakuusjärjestelmän rahoitusosuutta silloin, kun käytetään toiminnan jatkamistarkoituksessa tehtävää velkakirjojen arvon alaskirjausta (open </w:t>
      </w:r>
      <w:proofErr w:type="spellStart"/>
      <w:r w:rsidRPr="00315B8A">
        <w:t>bank</w:t>
      </w:r>
      <w:proofErr w:type="spellEnd"/>
      <w:r w:rsidRPr="00315B8A">
        <w:t xml:space="preserve"> </w:t>
      </w:r>
      <w:proofErr w:type="spellStart"/>
      <w:r w:rsidRPr="00315B8A">
        <w:t>bail</w:t>
      </w:r>
      <w:proofErr w:type="spellEnd"/>
      <w:r w:rsidRPr="00315B8A">
        <w:t xml:space="preserve">-in) ja talletusten vakuusjärjestelmän rahoitusosuutta siirtostrategian (liiketoiminnan myynti tai omaisuudenhoitoyhtiön käyttö) rahoittamiseen, jonka jälkeen jäljelle jäävä yhteisö likvidoidaan. Selkeyden ja oikeusvarmuuden varmistamiseksi sen suhteen, onko talletusten vakuusjärjestelmällä saamista eri skenaarioissa ja minkä suuruinen se niissä on, on tarpeen täsmentää, että silloin, kun talletusten vakuusjärjestelmää käytetään tukemaan liiketoiminnan myynnin tai omaisuudenhoitoyhtiön käytön soveltamista, jolloin tietyt luottolaitoksen varat, oikeudet ja velat siirretään vastaanottajalle, kyseisen talletusten vakuusjärjestelmän hyväksi olisi synnyttävä saaminen jäljelle jäävää yhteisöä vastaan sen myöhemmissä, kansallisen lainsäädännön mukaisissa likvidaatiomenettelyissä. Jotta voidaan varmistaa, että jäljelle jäävään yhteisöön jätetyn luottolaitoksen osakkeenomistajat ja velkoja kattavat tehokkaasti kyseisen luottolaitoksen tappiot, ja parantaa mahdollisuutta maksaa maksukyvyttömyystilanteessa korvauksia talletusten vakuusjärjestelmään, talletusten vakuusjärjestelmän vaatimusta olisi pidettävä </w:t>
      </w:r>
      <w:proofErr w:type="spellStart"/>
      <w:r w:rsidRPr="00315B8A">
        <w:t>samantasoisena</w:t>
      </w:r>
      <w:proofErr w:type="spellEnd"/>
      <w:r w:rsidRPr="00315B8A">
        <w:t xml:space="preserve"> kuin </w:t>
      </w:r>
      <w:r w:rsidRPr="00315B8A">
        <w:rPr>
          <w:b/>
          <w:i/>
        </w:rPr>
        <w:t>suojattuja talletuksia</w:t>
      </w:r>
      <w:r w:rsidRPr="00315B8A">
        <w:t xml:space="preserve">. Jos sovelletaan toiminnan jatkamistarkoituksessa tehtävää velkakirjojen arvon alaskirjausta (eli luottolaitos jatkaa toimintaansa), talletusten vakuusjärjestelmä osallistuu määrään, jolla suojatut talletukset olisi </w:t>
      </w:r>
      <w:proofErr w:type="spellStart"/>
      <w:r w:rsidRPr="00315B8A">
        <w:t>alaskirjattu</w:t>
      </w:r>
      <w:proofErr w:type="spellEnd"/>
      <w:r w:rsidRPr="00315B8A">
        <w:t xml:space="preserve"> tai muunnettu kyseisen luottolaitoksen tappioiden kattamiseksi, jos suojatut talletukset olisi sisällytetty velkakirjojen arvon </w:t>
      </w:r>
      <w:r w:rsidRPr="00315B8A">
        <w:lastRenderedPageBreak/>
        <w:t>alaskirjauksen soveltamisalaan. Näin ollen talletusten vakuusjärjestelmän rahoitusosuus ei saisi synnyttää saamista kriisinratkaisun kohteena olevaa laitosta vastaan, koska se poistaisi talletusten vakuusjärjestelmän rahoitusosuuden tarkoituksen.</w:t>
      </w:r>
    </w:p>
    <w:p w:rsidR="00F20D6F" w:rsidRPr="00315B8A" w:rsidRDefault="00F20D6F" w:rsidP="00AF56F2">
      <w:pPr>
        <w:pStyle w:val="ManualConsidrant"/>
        <w:spacing w:line="360" w:lineRule="auto"/>
        <w:jc w:val="left"/>
        <w:rPr>
          <w:noProof/>
        </w:rPr>
      </w:pPr>
      <w:r w:rsidRPr="00315B8A">
        <w:t>(17)</w:t>
      </w:r>
      <w:r w:rsidRPr="00315B8A">
        <w:tab/>
        <w:t>Talletusten vakuusjärjestelmien käytäntöjen yhdenmukaistamisen ja tallettajien talletusten korvaamista koskevan oikeusvarmuuden varmistamiseksi ja talletusten vakuusjärjestelmien toimintaa koskevien esteiden välttämiseksi on tärkeää määrittää riittävän pitkä ajanjakso, jonka kuluessa tallettajat voivat vaatia talletustensa korvaamista niissä tapauksissa, joissa talletusten vakuusjärjestelmä ei ole korvannut talletuksia tallettajille direktiivin 2014/49/EU 8 artiklassa korvauksen osalta vahvistettujen määräaikojen kuluessa.</w:t>
      </w:r>
    </w:p>
    <w:p w:rsidR="00F20D6F" w:rsidRPr="00315B8A" w:rsidRDefault="00F20D6F" w:rsidP="00AF56F2">
      <w:pPr>
        <w:pStyle w:val="ManualConsidrant"/>
        <w:spacing w:line="360" w:lineRule="auto"/>
        <w:jc w:val="left"/>
        <w:rPr>
          <w:noProof/>
        </w:rPr>
      </w:pPr>
      <w:r w:rsidRPr="00315B8A">
        <w:t>(18)</w:t>
      </w:r>
      <w:r w:rsidRPr="00315B8A">
        <w:tab/>
        <w:t xml:space="preserve">Direktiivin 2014/49/EU 10 artiklan 2 alakohdan nojalla jäsenvaltioiden on varmistettava, että talletusten vakuusjärjestelmän käytettävissä olevat rahoitusvarat ovat tavoitetasoltaan 0,8 prosenttia sen jäsenten suojattujen talletusten määrästä viimeistään 3 päivänä heinäkuuta 2024. Jotta voidaan objektiivisesti arvioida, täyttävätkö talletusten vakuusjärjestelmät tämän vaatimuksen, olisi vahvistettava selkeä viitejakso suojattujen talletusten määrän ja talletusten vakuusjärjestelmien käytettävissä olevien rahoitusvarojen määrittämiseksi. </w:t>
      </w:r>
      <w:r w:rsidRPr="00315B8A">
        <w:rPr>
          <w:b/>
          <w:i/>
        </w:rPr>
        <w:t>Kun otetaan huomioon talletusten vakuusjärjestelmän käyttöalan laajentaminen, 0,8 prosentin tavoitetason riittävyyttä olisi seurattava ja arvioitava tiiviisti.</w:t>
      </w:r>
    </w:p>
    <w:p w:rsidR="00F20D6F" w:rsidRPr="00315B8A" w:rsidRDefault="00F20D6F" w:rsidP="00AF56F2">
      <w:pPr>
        <w:pStyle w:val="ManualConsidrant"/>
        <w:spacing w:line="360" w:lineRule="auto"/>
        <w:jc w:val="left"/>
        <w:rPr>
          <w:noProof/>
        </w:rPr>
      </w:pPr>
      <w:r w:rsidRPr="00315B8A">
        <w:t>(19)</w:t>
      </w:r>
      <w:r w:rsidRPr="00315B8A">
        <w:tab/>
        <w:t xml:space="preserve">Talletusten vakuusjärjestelmien sietokyvyn varmistamiseksi niiden varojen olisi oltava peräisin vakaista ja peruuttamattomista kannatusmaksuista. Tietyt talletusten vakuusjärjestelmän rahoituksen lähteet, mukaan lukien lainat ja odotetut perittävät saatavat, ovat liian ehdollisia, jotta ne voitaisiin ottaa huomioon kannatusmaksuina talletusten vakuusjärjestelmän tavoitetason saavuttamiseksi. Jotta voidaan yhdenmukaistaa talletusten vakuusjärjestelmien tavoitetason täyttymistä koskevat ehdot ja varmistaa, että talletusten vakuusjärjestelmien käytettävissä olevat rahoitusvarat rahoitetaan toimialan kannatusmaksuilla, tavoitetason saavuttamiseen hyväksyttävät varat olisi erotettava täydentävinä rahoituslähteinä pidetyistä varoista. </w:t>
      </w:r>
      <w:bookmarkStart w:id="12" w:name="_Hlk122018946"/>
      <w:bookmarkStart w:id="13" w:name="_Hlk122018357"/>
      <w:r w:rsidRPr="00315B8A">
        <w:t xml:space="preserve">Talletusten vakuusjärjestelmän varojen ulosvirtaaminen, mukaan lukien ennakoitavissa olevat lainojen takaisinmaksut, voidaan suunnitella ja ottaa huomioon talletusten vakuusjärjestelmän jäsenten säännöllisissä kannatusmaksuissa. Sen ei näin ollen pitäisi johtaa siihen, että käytettävissä olevat rahoitusvarat vähentyvät </w:t>
      </w:r>
      <w:r w:rsidRPr="00315B8A">
        <w:lastRenderedPageBreak/>
        <w:t xml:space="preserve">tavoitetason alapuolelle. Siksi on tarpeen täsmentää, että sen jälkeen, kun tavoitetaso on saavutettu ensimmäisen kerran, vain sellaisen talletusten vakuusjärjestelmän käytettävissä olevien rahoitusvarojen vajeen, joka on talletusten vakuusjärjestelmän toimen (korvausten maksu tai ennaltaehkäisevät, vaihtoehtoiset tai kriisinratkaisutoimenpiteet) aiheuttama, olisi käynnistettävä </w:t>
      </w:r>
      <w:r w:rsidRPr="00315B8A">
        <w:rPr>
          <w:b/>
          <w:i/>
        </w:rPr>
        <w:t>neljän</w:t>
      </w:r>
      <w:r w:rsidRPr="00315B8A">
        <w:t xml:space="preserve"> vuoden täydennysjakso. </w:t>
      </w:r>
      <w:r w:rsidRPr="00315B8A">
        <w:rPr>
          <w:b/>
          <w:i/>
        </w:rPr>
        <w:t>Jos tällaisen talletusten vakuusjärjestelmän toimen jälkeen käytettävissä olevat varat ovat vähentyneet alle kolmanneksella, täydennysjakson olisi oltava kaksi vuotta.</w:t>
      </w:r>
      <w:r w:rsidRPr="00315B8A">
        <w:t xml:space="preserve"> </w:t>
      </w:r>
      <w:bookmarkEnd w:id="12"/>
      <w:bookmarkEnd w:id="13"/>
      <w:r w:rsidRPr="00315B8A">
        <w:t xml:space="preserve">Johdonmukaisen soveltamisen varmistamiseksi </w:t>
      </w:r>
      <w:proofErr w:type="spellStart"/>
      <w:r w:rsidRPr="00315B8A">
        <w:t>EPV:n</w:t>
      </w:r>
      <w:proofErr w:type="spellEnd"/>
      <w:r w:rsidRPr="00315B8A">
        <w:t xml:space="preserve"> olisi laadittava teknisten sääntelystandardien luonnoksia, joissa täsmennetään menetelmät, joilla talletusten vakuusjärjestelmät laskevat tavoitetason.</w:t>
      </w:r>
    </w:p>
    <w:p w:rsidR="00F20D6F" w:rsidRPr="00315B8A" w:rsidRDefault="00F20D6F" w:rsidP="00AF56F2">
      <w:pPr>
        <w:pStyle w:val="ManualConsidrant"/>
        <w:spacing w:line="360" w:lineRule="auto"/>
        <w:jc w:val="left"/>
        <w:rPr>
          <w:noProof/>
        </w:rPr>
      </w:pPr>
      <w:r w:rsidRPr="00315B8A">
        <w:t>(20)</w:t>
      </w:r>
      <w:r w:rsidRPr="00315B8A">
        <w:tab/>
        <w:t xml:space="preserve">Talletusten vakuusjärjestelmän käytettävissä olevien rahoitusvarojen olisi oltava välittömästi käytettävissä äkillisissä tilanteissa, jotka edellyttävät korvausten maksamista tai muita toimia. Kun otetaan huomioon, että unionissa on useita eri käytäntöjä, on asianmukaista vahvistaa vaatimukset talletusten vakuusjärjestelmien varojen sijoitusstrategiaa varten, jotta voidaan lieventää mahdollista kielteistä vaikutusta talletusten vakuusjärjestelmän kykyyn täyttää toimeksiantonsa. Jos talletusten vakuusjärjestelmä ei ole toimivaltainen määrittämään sijoitusstrategiaa, sijoitusstrategian määrittämisestä vastaavan jäsenvaltiossa sijaitsevan viranomaisen, elimen tai yhteisön olisi kyseistä sijoitusstrategiaa määrittäessään noudatettava myös hajauttamista ja vähäriskiseen </w:t>
      </w:r>
      <w:r w:rsidRPr="00315B8A">
        <w:rPr>
          <w:b/>
          <w:i/>
        </w:rPr>
        <w:t>ja likvidiin</w:t>
      </w:r>
      <w:r w:rsidRPr="00315B8A">
        <w:t xml:space="preserve"> varallisuuteen sijoittamista koskevia periaatteita. Talletusten vakuusjärjestelmän kattavan toiminnallisen riippumattomuuden ja joustavuuden säilyttämiseksi sen varojen käyttömahdollisuuksien suhteen silloin, kun talletusten vakuusjärjestelmän varoja talletetaan valtionkonttoriin, kyseiset varat olisi korvamerkittävä ja pidettävä erillisellä tilillä. </w:t>
      </w:r>
    </w:p>
    <w:p w:rsidR="00F20D6F" w:rsidRPr="00315B8A" w:rsidRDefault="00F20D6F" w:rsidP="00AF56F2">
      <w:pPr>
        <w:pStyle w:val="ManualConsidrant"/>
        <w:spacing w:line="360" w:lineRule="auto"/>
        <w:jc w:val="left"/>
        <w:rPr>
          <w:noProof/>
        </w:rPr>
      </w:pPr>
      <w:r w:rsidRPr="00315B8A">
        <w:t>(21)</w:t>
      </w:r>
      <w:r w:rsidRPr="00315B8A">
        <w:tab/>
        <w:t>Vaihtoehtoa, jossa talletusten vakuusjärjestelmän käytettävissä olevat rahoitusvarat hankitaan pakollisilla kannatusmaksuilla, joita jäsenenä olevat laitokset maksavat nykyisille jäsenvaltion perustamille pakollisten kannatusmaksujen järjestelmille järjestelmäriskiin liittyvien kustannusten kattamiseksi, ei ole koskaan käytetty, ja se olisi näin ollen poistettava.</w:t>
      </w:r>
    </w:p>
    <w:p w:rsidR="00F20D6F" w:rsidRPr="00315B8A" w:rsidRDefault="00F20D6F" w:rsidP="00AF56F2">
      <w:pPr>
        <w:pStyle w:val="ManualConsidrant"/>
        <w:spacing w:line="360" w:lineRule="auto"/>
        <w:jc w:val="left"/>
        <w:rPr>
          <w:noProof/>
        </w:rPr>
      </w:pPr>
      <w:r w:rsidRPr="00315B8A">
        <w:t>(22)</w:t>
      </w:r>
      <w:r w:rsidRPr="00315B8A">
        <w:tab/>
        <w:t xml:space="preserve">On tarpeen parantaa talletussuojaa, mutta samalla välttää tarve myydä talletusten vakuusjärjestelmän varoja pikaisesti ja rajoittaa ylimääräisten kannatusmaksujen keräämisen mahdollisia kielteisiä </w:t>
      </w:r>
      <w:proofErr w:type="spellStart"/>
      <w:r w:rsidRPr="00315B8A">
        <w:t>myötäsyklisiä</w:t>
      </w:r>
      <w:proofErr w:type="spellEnd"/>
      <w:r w:rsidRPr="00315B8A">
        <w:t xml:space="preserve"> vaikutuksia pankkialaan. Talletusten </w:t>
      </w:r>
      <w:r w:rsidRPr="00315B8A">
        <w:lastRenderedPageBreak/>
        <w:t xml:space="preserve">vakuusjärjestelmien olisi näin ollen annettava käyttää vaihtoehtoisia rahoitusjärjestelyjä, joiden avulla ne voivat hankkia milloin tahansa lyhytaikaista rahoitusta muista lähteistä kuin kannatusmaksuista, myös ennen kuin ne käyttävät käytettävissä olevia rahoitusvarojaan ja ylimääräisillä kannatusmaksuilla kerättyjä varoja. Koska luottolaitosten olisi pääosin kannettava talletusten vakuusjärjestelmien rahoittamisesta aiheutuvat kustannukset ja vastuu, julkisiin varoihin perustuvia vaihtoehtoisia rahoitusjärjestelyjä </w:t>
      </w:r>
      <w:r w:rsidRPr="00315B8A">
        <w:rPr>
          <w:b/>
          <w:i/>
        </w:rPr>
        <w:t>ei pitäisi sallia</w:t>
      </w:r>
      <w:r w:rsidRPr="00315B8A">
        <w:t>.</w:t>
      </w:r>
    </w:p>
    <w:p w:rsidR="00F20D6F" w:rsidRPr="00315B8A" w:rsidRDefault="00F20D6F" w:rsidP="00AF56F2">
      <w:pPr>
        <w:pStyle w:val="ManualConsidrant"/>
        <w:spacing w:line="360" w:lineRule="auto"/>
        <w:jc w:val="left"/>
        <w:rPr>
          <w:noProof/>
        </w:rPr>
      </w:pPr>
      <w:r w:rsidRPr="00315B8A">
        <w:t>(23)</w:t>
      </w:r>
      <w:r w:rsidRPr="00315B8A">
        <w:tab/>
        <w:t xml:space="preserve">Talletusten vakuusjärjestelmien varojen riittävän hajautetun sijoittamisen ja yhdenmukaisten käytäntöjen varmistamiseksi </w:t>
      </w:r>
      <w:proofErr w:type="spellStart"/>
      <w:r w:rsidRPr="00315B8A">
        <w:t>EPV:n</w:t>
      </w:r>
      <w:proofErr w:type="spellEnd"/>
      <w:r w:rsidRPr="00315B8A">
        <w:t xml:space="preserve"> olisi annettava ohjeita talletusten vakuusjärjestelmien neuvomiseksi tässä asiassa. </w:t>
      </w:r>
    </w:p>
    <w:p w:rsidR="00F20D6F" w:rsidRPr="00315B8A" w:rsidRDefault="00F20D6F" w:rsidP="00AF56F2">
      <w:pPr>
        <w:pStyle w:val="ManualConsidrant"/>
        <w:spacing w:line="360" w:lineRule="auto"/>
        <w:jc w:val="left"/>
        <w:rPr>
          <w:noProof/>
        </w:rPr>
      </w:pPr>
      <w:r w:rsidRPr="00315B8A">
        <w:t>(24)</w:t>
      </w:r>
      <w:r w:rsidRPr="00315B8A">
        <w:tab/>
        <w:t>Vaikka talletusten vakuusjärjestelmien ensisijainen tehtävä on maksaa korvauksia suojatuille tallettajille, muut toimet kuin korvausten maksaminen voivat osoittautua kustannustehokkaammiksi talletusten vakuusjärjestelmien kannalta ja varmistaa keskeytymättömän mahdollisuuden käyttää talletuksia edistämällä siirtostrategioita. Talletusten vakuusjärjestelmiä voidaan vaatia osallistumaan luottolaitosten kriisinratkaisuun. Lisäksi joissakin jäsenvaltioissa talletusten vakuusjärjestelmät voivat rahoittaa ennaltaehkäiseviä toimenpiteitä luottolaitosten pitkän aikavälin elinkelpoisuuden palauttamiseksi tai vaihtoehtoisia toimenpiteitä, joita käytetään maksukyvyttömyystilanteessa. Vaikka ennaltaehkäisevillä ja vaihtoehtoisilla toimenpiteillä voidaan parantaa merkittävästi talletusten suojaamista, niihin on tarpeen soveltaa riittäviä suojatoimia, myös yhdenmukaistettua pienimmän kustannuksen testiä, jotta varmistetaan tasapuoliset toimintaedellytykset ja tällaisten toimenpiteiden vaikuttavuus ja kustannustehokkuus. Tällaisia suojatoimia olisi sovellettava ainoastaan toimiin, joita rahoitetaan tällä direktiivillä säännellyillä talletusten vakuusjärjestelmien käytettävissä olevilla rahoitusvaroilla.</w:t>
      </w:r>
    </w:p>
    <w:p w:rsidR="00F20D6F" w:rsidRPr="00315B8A" w:rsidRDefault="00F20D6F" w:rsidP="00AF56F2">
      <w:pPr>
        <w:pStyle w:val="ManualConsidrant"/>
        <w:spacing w:line="360" w:lineRule="auto"/>
        <w:jc w:val="left"/>
      </w:pPr>
      <w:r w:rsidRPr="00315B8A">
        <w:rPr>
          <w:b/>
          <w:i/>
        </w:rPr>
        <w:t>(24 a)</w:t>
      </w:r>
      <w:r w:rsidRPr="00315B8A">
        <w:rPr>
          <w:b/>
          <w:i/>
        </w:rPr>
        <w:tab/>
        <w:t>On olennaisen tärkeää keskittyä tilanteesta riippumatta kustannustehokkuuteen ja avoimuuteen, jos talletusten vakuusjärjestelmä on osallisena. Tämä lähestymistapa on olennaisen tärkeä, jotta vältetään tasapuolisten toimintaedellytysten vääristyminen ja varmistetaan, ettei tietyille markkinatoimijoille aiheudu kohtuuttomia etuja. Avoimuus ja kustannustehokkuus ovat perusperiaatteita, jotka tukevat talletusten vakuusjärjestelmän luotettavuutta ja tasapuolista toimintaa.</w:t>
      </w:r>
    </w:p>
    <w:p w:rsidR="00F20D6F" w:rsidRPr="00315B8A" w:rsidRDefault="00F20D6F" w:rsidP="00AF56F2">
      <w:pPr>
        <w:pStyle w:val="ManualConsidrant"/>
        <w:spacing w:line="360" w:lineRule="auto"/>
        <w:jc w:val="left"/>
        <w:rPr>
          <w:noProof/>
        </w:rPr>
      </w:pPr>
      <w:r w:rsidRPr="00315B8A">
        <w:t>(25)</w:t>
      </w:r>
      <w:r w:rsidRPr="00315B8A">
        <w:tab/>
        <w:t xml:space="preserve">Toimenpiteillä luottolaitoksen maksukyvyttömyyden estämiseksi riittävän varhaisilla toimilla voi olla toimiva tehtävä kriisinhallintavälineiden jatkumossa tallettajien </w:t>
      </w:r>
      <w:r w:rsidRPr="00315B8A">
        <w:lastRenderedPageBreak/>
        <w:t xml:space="preserve">luottamuksen ja rahoitusvakauden säilyttämiseksi. Nämä toimenpiteet voidaan toteuttaa useissa muodoissa: pääomatukitoimenpiteinä omien varojen instrumenteilla (mukaan lukien ydinpääomainstrumentit) tai muina pääomainstrumentteina, takauksina tai lainoina. Talletusten vakuusjärjestelmillä on ollut erilaisia mahdollisuuksia käyttää näitä toimenpiteitä. Jotta varmistetaan kriisinhallintavälineiden jatkumo ja mahdollisuus käyttää ennaltaehkäiseviä toimenpiteitä tavalla, joka on johdonmukainen kriisinratkaisukehyksen ja valtiontukisääntöjen kanssa, on tarpeen määrittää niiden soveltamisen ajoitus ja ehdot. Ennaltaehkäisevät toimenpiteet eivät ole asianmukaisia tappioiden kattamiseksi silloin, kun luottolaitos on jo lähellä kaatumista tai todennäköisesti kaatuu, vaan niitä olisi käytettävä varhaisessa vaiheessa estämään pankin taloudellisen tilanteen heikentyminen. Nimettyjen viranomaisten olisi näin ollen tarkistettava, täyttyvätkö tällaisen talletusten vakuusjärjestelmän toimen edellytykset. </w:t>
      </w:r>
      <w:bookmarkStart w:id="14" w:name="_Hlk132533781"/>
      <w:r w:rsidRPr="00315B8A">
        <w:t>Lisäksi nämä talletusten vakuusjärjestelmien käytettävissä olevien rahoitusvarojen käyttöä koskevat ehdot eivät saisi vaikuttaa toimivaltaisen viranomaisen arviointiin siitä, täyttääkö laitosten suojajärjestelmä Euroopan parlamentin ja neuvoston asetuksen (EU) N:o 575/2013</w:t>
      </w:r>
      <w:r w:rsidRPr="00315B8A">
        <w:rPr>
          <w:rStyle w:val="FootnoteReference"/>
          <w:noProof/>
        </w:rPr>
        <w:footnoteReference w:id="11"/>
      </w:r>
      <w:r w:rsidRPr="00315B8A">
        <w:t xml:space="preserve"> 113 artiklan 7 kohdassa vahvistetut kriteerit. </w:t>
      </w:r>
      <w:bookmarkEnd w:id="14"/>
    </w:p>
    <w:p w:rsidR="00F20D6F" w:rsidRPr="00315B8A" w:rsidRDefault="00F20D6F" w:rsidP="00AF56F2">
      <w:pPr>
        <w:pStyle w:val="ManualConsidrant"/>
        <w:spacing w:line="360" w:lineRule="auto"/>
        <w:jc w:val="left"/>
        <w:rPr>
          <w:noProof/>
        </w:rPr>
      </w:pPr>
      <w:r w:rsidRPr="00315B8A">
        <w:t>(26)</w:t>
      </w:r>
      <w:r w:rsidRPr="00315B8A">
        <w:tab/>
        <w:t xml:space="preserve">Sen varmistamiseksi, että ennaltaehkäisevillä toimenpiteillä saavutetaan niiden tavoite, olisi edellytettävä, että luottolaitokset </w:t>
      </w:r>
      <w:r w:rsidRPr="00315B8A">
        <w:rPr>
          <w:b/>
          <w:i/>
        </w:rPr>
        <w:t>esittävät toimivaltaiselle viranomaiselle</w:t>
      </w:r>
      <w:r w:rsidRPr="00315B8A">
        <w:t xml:space="preserve"> ilmoituksen toimenpiteistä, jotka ne sitoutuvat toteuttamaan. ▌Ilmoituksen olisi sisällettävä kaikki tekijät, joiden tavoitteena on estää varojen ulosvirtaaminen ja vahvistaa luottolaitoksen pääoma- ja maksuvalmiuspositiota, jotta luottolaitos voi noudattaa kaikkia asiaan liittyviä vakavaraisuusvaatimuksia ja muita sääntelyvaatimuksia tulevaisuuteen suuntautuvalla tavalla. Ilmoituksen olisi näin ollen sisällettävä pääoman hankkimista koskevat toimenpiteet, mukaan lukien säännöt, jotka koskevat oikeuksien myöntämistä, huonommassa etuoikeusasemassa olevien velkainstrumenttien vapaaehtoista muuntamista, velkojen hallintatoimia, tuloa tuottavaa varojen myyntiä, salkkujen </w:t>
      </w:r>
      <w:proofErr w:type="spellStart"/>
      <w:r w:rsidRPr="00315B8A">
        <w:t>arvopaperistamista</w:t>
      </w:r>
      <w:proofErr w:type="spellEnd"/>
      <w:r w:rsidRPr="00315B8A">
        <w:t xml:space="preserve"> sekä voittovarojen jättämistä yritykseen, osingonjakokiellot ja yritysten osuuksien hankkimista koskevat kiellot mukaan luettuina. </w:t>
      </w:r>
      <w:r w:rsidRPr="00315B8A">
        <w:rPr>
          <w:b/>
          <w:i/>
        </w:rPr>
        <w:t xml:space="preserve">Lisäksi ilmoituksessa olisi esitettävä yksityiskohtaisesti luottolaitoksen alkuperäinen pääomavaje, toteutetut pääoman hankkimista koskevat </w:t>
      </w:r>
      <w:r w:rsidRPr="00315B8A">
        <w:rPr>
          <w:b/>
          <w:i/>
        </w:rPr>
        <w:lastRenderedPageBreak/>
        <w:t xml:space="preserve">toimenpiteet ja varojen ulosvirtauksen estämiseksi käyttöön otetut suojatoimet. </w:t>
      </w:r>
      <w:r w:rsidRPr="00315B8A">
        <w:t xml:space="preserve">Samasta syystä luottolaitosten olisi ilmoituksessa suunniteltujen toimenpiteiden toteuttamisen aikana myös vahvistettava omia maksuvalmiuspositioitaan sekä pidättäydyttävä aggressiivisista kaupallisista menettelyistä ja </w:t>
      </w:r>
      <w:r w:rsidRPr="00315B8A">
        <w:rPr>
          <w:b/>
          <w:i/>
        </w:rPr>
        <w:t>osingonjaosta tai muuttuvien palkkioiden maksamisesta tai</w:t>
      </w:r>
      <w:r w:rsidRPr="00315B8A">
        <w:t xml:space="preserve"> omien osakkeiden takaisin ostamisesta tai hybridipääomainstrumenttien ostamisesta. Ilmoituksen olisi sisällettävä myös mahdollisia saatuja tukitoimenpiteitä koskeva irtautumisstrategia. </w:t>
      </w:r>
      <w:r w:rsidRPr="00315B8A">
        <w:rPr>
          <w:b/>
          <w:i/>
        </w:rPr>
        <w:t>Luottolaitoksen olisi toimitettava toimivaltaiselle viranomaiselle kohtuullisessa ajassa liiketoiminnan tervehdyttämissuunnitelma pitkän aikavälin elinkelpoisuuden varmistamiseksi. Luottolaitokselle myönnetyt ennaltaehkäisevät toimenpiteet olisi keskeytettävä, jos toimivaltainen viranomainen ei ole vakuuttunut siitä, että liiketoiminnan tervehdyttämissuunnitelma on uskottava ja toteuttamiskelpoinen pitkän aikavälin elinkelpoisuuden varmistamiseksi. Jos luottolaitos on 1 artiklan 2 kohdan c alakohdassa tarkoitetun laitosten suojajärjestelmän jäsen, kyseisen laitosten suojajärjestelmän olisi hyväksyttävä liiketoiminnan tervehdyttämissuunnitelma toimivaltaista viranomaista kuultuaan. Jos toimivaltainen viranomainen ei ole tyytyväinen liiketoiminnan tervehdyttämissuunnitelmaan, sen olisi toteutettava asianmukaiset toimenpiteet sen varmistamiseksi, että pitkän aikavälin elinkelpoisuus varmistetaan.</w:t>
      </w:r>
      <w:r w:rsidRPr="00315B8A">
        <w:t xml:space="preserve"> Toimivaltaisilla viranomaisilla </w:t>
      </w:r>
      <w:r w:rsidRPr="00315B8A">
        <w:rPr>
          <w:b/>
          <w:i/>
        </w:rPr>
        <w:t>ja kriisinratkaisuviranomaisilla</w:t>
      </w:r>
      <w:r w:rsidRPr="00315B8A">
        <w:t xml:space="preserve"> on parhaat mahdollisuudet arvioida </w:t>
      </w:r>
      <w:r w:rsidRPr="00315B8A">
        <w:rPr>
          <w:b/>
          <w:i/>
        </w:rPr>
        <w:t>liiketoiminnan tervehdyttämissuunnitelmassa</w:t>
      </w:r>
      <w:r w:rsidRPr="00315B8A">
        <w:t xml:space="preserve"> suunniteltujen toimenpiteiden relevanssia ja uskottavuutta. Jotta sen talletusten vakuusjärjestelmän nimetyt viranomaiset, jota on pyydetty rahoittamaan luottolaitoksen ennaltaehkäisevää toimenpidettä, voivat arvioida, ovatko kaikki ennaltaehkäisevien toimenpiteiden edellytykset täyttyneet, toimivaltaisten viranomaisten olisi tehtävä yhteistyötä nimettyjen viranomaisten kanssa. Sen varmistamiseksi, että ennaltaehkäisevien toimenpiteiden soveltamisessa noudatetaan johdonmukaista lähestymistapaa kaikkialla unionissa, </w:t>
      </w:r>
      <w:proofErr w:type="spellStart"/>
      <w:r w:rsidRPr="00315B8A">
        <w:t>EPV:n</w:t>
      </w:r>
      <w:proofErr w:type="spellEnd"/>
      <w:r w:rsidRPr="00315B8A">
        <w:t xml:space="preserve"> olisi annettava ohjeita, jotka auttavat luottolaitoksia laatimaan tällaisen </w:t>
      </w:r>
      <w:r w:rsidRPr="00315B8A">
        <w:rPr>
          <w:b/>
          <w:i/>
        </w:rPr>
        <w:t>liiketoiminnan tervehdyttämissuunnitelman</w:t>
      </w:r>
      <w:r w:rsidRPr="00315B8A">
        <w:t>.</w:t>
      </w:r>
    </w:p>
    <w:p w:rsidR="00F20D6F" w:rsidRPr="00315B8A" w:rsidRDefault="00F20D6F" w:rsidP="00AF56F2">
      <w:pPr>
        <w:pStyle w:val="ManualConsidrant"/>
        <w:spacing w:line="360" w:lineRule="auto"/>
        <w:jc w:val="left"/>
      </w:pPr>
      <w:r w:rsidRPr="00315B8A">
        <w:rPr>
          <w:b/>
          <w:i/>
        </w:rPr>
        <w:t>(26 a)</w:t>
      </w:r>
      <w:r w:rsidRPr="00315B8A">
        <w:rPr>
          <w:b/>
          <w:i/>
        </w:rPr>
        <w:tab/>
        <w:t xml:space="preserve">Tarvittaessa moraalikadon välttämiseksi luottolaitoksen, joka saa tukea talletusten vakuusjärjestelmistä ennaltaehkäisevien toimenpiteiden muodossa, sen osakkeenomistajien, velkojien tai konsernin, johon se kuuluu, olisi tarvittaessa osallistuttava rakenneuudistukseen omista varoistaan ja maksettava asianmukainen </w:t>
      </w:r>
      <w:r w:rsidRPr="00315B8A">
        <w:rPr>
          <w:b/>
          <w:i/>
        </w:rPr>
        <w:lastRenderedPageBreak/>
        <w:t>korvaus talletusten vakuusjärjestelmän myöntämästä ennaltaehkäisevästä toimenpiteestä.</w:t>
      </w:r>
    </w:p>
    <w:p w:rsidR="00F20D6F" w:rsidRPr="00315B8A" w:rsidRDefault="00F20D6F" w:rsidP="00AF56F2">
      <w:pPr>
        <w:pStyle w:val="ManualConsidrant"/>
        <w:spacing w:line="360" w:lineRule="auto"/>
        <w:jc w:val="left"/>
        <w:rPr>
          <w:noProof/>
        </w:rPr>
      </w:pPr>
      <w:r w:rsidRPr="00315B8A">
        <w:t>(27)</w:t>
      </w:r>
      <w:r w:rsidRPr="00315B8A">
        <w:tab/>
        <w:t xml:space="preserve">Sen varmistamiseksi, että talletusten vakuusjärjestelmiltä ennaltaehkäisevien toimenpiteiden muodossa tukea saavat luottolaitokset täyttävät sitoumuksensa, toimivaltaisten viranomaisten olisi pyydettävä korjaussuunnitelma sellaisilta luottolaitoksilta, jotka eivät täyttäneet sitoumuksiaan, </w:t>
      </w:r>
      <w:r w:rsidRPr="00315B8A">
        <w:rPr>
          <w:b/>
          <w:i/>
        </w:rPr>
        <w:t>tai pyydettävä niitä maksamaan takaisin ennaltaehkäisevien toimenpiteiden nojalla myönnetyt summat taikka noudattamaan irtautumisstrategiaa</w:t>
      </w:r>
      <w:r w:rsidRPr="00315B8A">
        <w:t xml:space="preserve">. Jos toimivaltainen viranomainen on sitä mieltä, että korjaussuunnitelmassa esitetyillä toimenpiteillä ei kyetä saavuttamaan luottolaitoksen pitkän aikavälin elinkelpoisuutta, talletusten vakuusjärjestelmän ei pitäisi antaa luottolaitokselle enempää ennaltaehkäisevää tukea. </w:t>
      </w:r>
      <w:r w:rsidRPr="00315B8A">
        <w:rPr>
          <w:b/>
          <w:i/>
        </w:rPr>
        <w:t>Asianomaisten viranomaisten olisi myös direktiivin 2014/59/EU 32 artiklan mukaisesti arvioitava, onko laitos lähellä kaatumista tai kaatuuko se todennäköisesti. Samoja seurauksia olisi sovellettava tapauksissa, joissa luottolaitos ei noudata korjaussuunnitelmaa.</w:t>
      </w:r>
      <w:r w:rsidRPr="00315B8A">
        <w:t xml:space="preserve"> Sen varmistamiseksi, että ennaltaehkäisevien toimenpiteiden soveltamisessa noudatetaan johdonmukaista lähestymistapaa kaikkialla unionissa, </w:t>
      </w:r>
      <w:proofErr w:type="spellStart"/>
      <w:r w:rsidRPr="00315B8A">
        <w:t>EPV:n</w:t>
      </w:r>
      <w:proofErr w:type="spellEnd"/>
      <w:r w:rsidRPr="00315B8A">
        <w:t xml:space="preserve"> olisi annettava ohjeita, jotka auttavat luottolaitoksia laatimaan tällaisen korjaussuunnitelman.</w:t>
      </w:r>
    </w:p>
    <w:p w:rsidR="00F20D6F" w:rsidRPr="00315B8A" w:rsidRDefault="00F20D6F" w:rsidP="00AF56F2">
      <w:pPr>
        <w:pStyle w:val="ManualConsidrant"/>
        <w:spacing w:line="360" w:lineRule="auto"/>
        <w:jc w:val="left"/>
        <w:rPr>
          <w:rStyle w:val="eop"/>
          <w:noProof/>
        </w:rPr>
      </w:pPr>
      <w:r w:rsidRPr="00315B8A">
        <w:rPr>
          <w:rStyle w:val="eop"/>
        </w:rPr>
        <w:t>(28)</w:t>
      </w:r>
      <w:r w:rsidRPr="00315B8A">
        <w:rPr>
          <w:rStyle w:val="eop"/>
        </w:rPr>
        <w:tab/>
      </w:r>
      <w:r w:rsidRPr="00315B8A">
        <w:rPr>
          <w:rStyle w:val="normaltextrun"/>
          <w:shd w:val="clear" w:color="auto" w:fill="FFFFFF"/>
        </w:rPr>
        <w:t>Kilpailuun ja sisämarkkinoihin kohdistuvien haitallisten vaikutusten välttämiseksi on tarpeen säätää, että maksukyvyttömyystilanteessa käytettävien vaihtoehtoisten toimenpiteiden tapauksessa</w:t>
      </w:r>
      <w:bookmarkStart w:id="15" w:name="_Hlk132534258"/>
      <w:r w:rsidRPr="00315B8A">
        <w:rPr>
          <w:rStyle w:val="normaltextrun"/>
          <w:shd w:val="clear" w:color="auto" w:fill="FFFFFF"/>
        </w:rPr>
        <w:t xml:space="preserve"> asiaankuuluvien elinten, jotka edustavat luottolaitosta kansallisten maksukyvyttömyysmenettelyjen yhteydessä (selvittäjä, pesänhoitaja, hallinnonhoitaja tai muu),</w:t>
      </w:r>
      <w:bookmarkEnd w:id="15"/>
      <w:r w:rsidRPr="00315B8A">
        <w:rPr>
          <w:rStyle w:val="normaltextrun"/>
          <w:shd w:val="clear" w:color="auto" w:fill="FFFFFF"/>
        </w:rPr>
        <w:t xml:space="preserve"> olisi tehtävä järjestelyjä markkinoidakseen luottolaitoksen liiketoimintaa tai sen liiketoiminnan osia avoimella, läpinäkyvällä ja syrjimättömällä tavalla pyrkien mahdollisuuksien mukaan maksimoimaan myyntihinnan.</w:t>
      </w:r>
      <w:r w:rsidRPr="00315B8A">
        <w:rPr>
          <w:rStyle w:val="ui-provider"/>
        </w:rPr>
        <w:t xml:space="preserve"> </w:t>
      </w:r>
      <w:r w:rsidRPr="00315B8A">
        <w:rPr>
          <w:rStyle w:val="normaltextrun"/>
        </w:rPr>
        <w:t>Luottolaitoksen tai minkä tahansa kyseisen luottolaitoksen puolesta toimivan välittäjän olisi noudatettava sääntöjä, jotka ovat asianmukaisia niiden varojen, oikeuksien ja velkojen markkinoinnissa, jotka on määrä siirtää mahdollisille ostajille.</w:t>
      </w:r>
      <w:r w:rsidRPr="00315B8A">
        <w:rPr>
          <w:rStyle w:val="normaltextrun"/>
          <w:shd w:val="clear" w:color="auto" w:fill="FFFFFF"/>
        </w:rPr>
        <w:t xml:space="preserve"> Valtion varojen käyttöön olisi joka tapauksessa sovellettava asiaan liittyviä perussopimuksen mukaisia valtiontukisääntöjä.</w:t>
      </w:r>
    </w:p>
    <w:p w:rsidR="00F20D6F" w:rsidRPr="00315B8A" w:rsidRDefault="00F20D6F" w:rsidP="00AF56F2">
      <w:pPr>
        <w:pStyle w:val="ManualConsidrant"/>
        <w:spacing w:line="360" w:lineRule="auto"/>
        <w:jc w:val="left"/>
        <w:rPr>
          <w:noProof/>
        </w:rPr>
      </w:pPr>
      <w:r w:rsidRPr="00315B8A">
        <w:t>(29)</w:t>
      </w:r>
      <w:r w:rsidRPr="00315B8A">
        <w:tab/>
        <w:t xml:space="preserve">Koska talletusten vakuusjärjestelmien päätavoite on suojattujen talletusten suojaaminen, talletusten vakuusjärjestelmien olisi annettava rahoittaa muita toimia kuin korvausten maksamista vain silloin, kun tällaiset toimet ovat halvempia kuin </w:t>
      </w:r>
      <w:r w:rsidRPr="00315B8A">
        <w:lastRenderedPageBreak/>
        <w:t xml:space="preserve">korvausten maksaminen. Kyseisen säännön (pienimmän kustannuksen testin) soveltamisesta saadut kokemukset ovat paljastaneet useita puutteita, koska nykyisessä kehyksessä ei täsmennetä, miten näiden toimien kustannukset tai korvausten suorittamisen kustannukset määritetään. Sen varmistamiseksi, että pienimmän kustannuksen testiä sovelletaan johdonmukaisesti kaikkialla unionissa, on tarpeen täsmentää kyseisten kustannusten laskemista. Samalla on vältettävä liian tiukkoja ehtoja, jotka käytännössä estäisivät talletusten vakuusjärjestelmän varojen käytön muihin toimiin kuin korvausten suorittamiseen. Suorittaessaan alhaisimpien kustannusten arviointia talletusten vakuusjärjestelmien olisi ensin tarkistettava, että valitun toimenpiteen rahoittamisen kustannukset ovat alhaisemmat kuin suojattujen talletusten takaisinmaksun kustannukset. Alhaisimpien kustannusten arviointia koskevissa menetelmissä olisi otettava huomioon rahan aika-arvo. </w:t>
      </w:r>
    </w:p>
    <w:p w:rsidR="00F20D6F" w:rsidRPr="00315B8A" w:rsidRDefault="00F20D6F" w:rsidP="00AF56F2">
      <w:pPr>
        <w:pStyle w:val="ManualConsidrant"/>
        <w:spacing w:line="360" w:lineRule="auto"/>
        <w:jc w:val="left"/>
        <w:rPr>
          <w:noProof/>
        </w:rPr>
      </w:pPr>
      <w:r w:rsidRPr="00315B8A">
        <w:t>(30)</w:t>
      </w:r>
      <w:r w:rsidRPr="00315B8A">
        <w:tab/>
        <w:t>Likvidaatio voi olla pitkäkestoinen prosessi, jonka tehokkuus riippuu kansallisten oikeusjärjestelmien tehokkuudesta, maksukyvyttömyysjärjestelmistä, yksittäisten pankkien ominaispiirteistä ja maksukyvyttömyyteen liittyvistä olosuhteista. Osana vaihtoehtoisia toimenpiteitä toteutettavissa talletusten vakuusjärjestelmän toimissa pienimmän kustannuksen testin olisi perustuttava direktiivin 2014/59/EU 36 artiklan 1 kohdassa tarkoitettuun luottolaitoksen varojen ja velkojen arvotukseen ja kyseisen direktiivin 36 artiklan 8 kohdassa tarkoitettuun arvioon. Ennaltaehkäiseviä toimenpiteitä koskevan pienimmän kustannuksen testin yhteydessä voi kuitenkin olla vaikeaa arvioida tarkasti likvidaation yhteydessä perittäviä saatavia, sillä toimenpiteet olisi tarkoitus toteuttaa paljon ennen mahdollista ennakoitua likvidaatiota. Siksi ennaltaehkäiseviä toimenpiteitä koskevan, pienimmän kustannuksen testin vaihtoehtoista skenaariota olisi mukautettava tämän perusteella ja odotetut perittävät saatavat olisi joka tapauksessa rajoitettava kohtuulliseen määrään aiemmissa korvaustilanteissa perittyjen saatavien perusteella.</w:t>
      </w:r>
    </w:p>
    <w:p w:rsidR="00F20D6F" w:rsidRPr="00315B8A" w:rsidRDefault="00F20D6F" w:rsidP="00AF56F2">
      <w:pPr>
        <w:pStyle w:val="ManualConsidrant"/>
        <w:spacing w:line="360" w:lineRule="auto"/>
        <w:jc w:val="left"/>
        <w:rPr>
          <w:noProof/>
        </w:rPr>
      </w:pPr>
      <w:r w:rsidRPr="00315B8A">
        <w:t>(31)</w:t>
      </w:r>
      <w:r w:rsidRPr="00315B8A">
        <w:tab/>
        <w:t xml:space="preserve">Nimettyjen viranomaisten olisi arvioitava toimenpiteestä talletusten vakuusjärjestelmälle aiheutuvat kustannukset myös lainan takaisinmaksun, pääomanlisäyksen tai vakuuden käytön jälkeen siten, että niistä on vähennetty odotetut tuotot, toimintamenot ja mahdolliset tappiot, sellaista vaihtoehtoista skenaariota vastaan, joka perustuu oletettuun lopulliseen tappioon maksukyvyttömyysmenettelyjen lopussa. Tässä skenaariossa olisi otettava huomioon talletusten vakuusjärjestelmältä osana pankin likvidaatiomenettelyjä perityt saatavat. </w:t>
      </w:r>
      <w:r w:rsidRPr="00315B8A">
        <w:rPr>
          <w:b/>
          <w:i/>
        </w:rPr>
        <w:t xml:space="preserve">Lisäksi vaihtoehtoisessa skenaariossa olisi otettava huomioon mahdolliset kustannukset, joita talletusten </w:t>
      </w:r>
      <w:r w:rsidRPr="00315B8A">
        <w:rPr>
          <w:b/>
          <w:i/>
        </w:rPr>
        <w:lastRenderedPageBreak/>
        <w:t xml:space="preserve">vakuusjärjestelmälle aiheutuu taloudellisesta ja rahoituksellisesta epävakaudesta, mukaan lukien tarve käyttää talletusten vakuusjärjestelmän toimeksiannon puitteissa lisävaroja tallettajien ja rahoitusvakauden suojelemiseksi sekä häiriöiden leviämisen estämiseksi. </w:t>
      </w:r>
      <w:r w:rsidRPr="00315B8A">
        <w:t xml:space="preserve">Jotta saadaan oikeudenmukainen ja kattavampi kuva tallettajille korvaamisen todellisista kustannuksista, suojattujen talletusten korvaamisesta syntyvän tappion arviointiin olisi sisällytettävä kustannukset, jotka liittyvät tallettajille korvaamiseen välillisesti. Näiden kustannusten olisi sisällettävä ▌kustannukset, </w:t>
      </w:r>
      <w:r w:rsidRPr="00315B8A">
        <w:rPr>
          <w:b/>
          <w:i/>
        </w:rPr>
        <w:t>joita</w:t>
      </w:r>
      <w:r w:rsidRPr="00315B8A">
        <w:t xml:space="preserve"> talletusten vakuusjärjestelmälle saattaa aiheutua vaihtoehtoisen rahoituksen käytöstä. Pienimmän kustannuksen testin johdonmukaisen soveltamisen varmistamiseksi </w:t>
      </w:r>
      <w:proofErr w:type="spellStart"/>
      <w:r w:rsidRPr="00315B8A">
        <w:t>EPV:n</w:t>
      </w:r>
      <w:proofErr w:type="spellEnd"/>
      <w:r w:rsidRPr="00315B8A">
        <w:t xml:space="preserve"> olisi laadittava teknisten sääntelystandardien luonnoksia menetelmistä, joilla lasketaan talletusten vakuusjärjestelmien eri toimien kustannukset. Alhaisimpien kustannusten testiä koskevien menetelmien sekä talletusten vakuusjärjestelmän lakisääteisen tai sopimusperusteisen toimeksiannon välisen johdonmukaisuuden varmistamiseksi ▌ </w:t>
      </w:r>
      <w:proofErr w:type="spellStart"/>
      <w:r w:rsidRPr="00315B8A">
        <w:t>EPV:n</w:t>
      </w:r>
      <w:proofErr w:type="spellEnd"/>
      <w:r w:rsidRPr="00315B8A">
        <w:t xml:space="preserve"> olisi </w:t>
      </w:r>
      <w:r w:rsidRPr="00315B8A">
        <w:rPr>
          <w:b/>
          <w:i/>
        </w:rPr>
        <w:t>laadittava</w:t>
      </w:r>
      <w:r w:rsidRPr="00315B8A">
        <w:t xml:space="preserve"> teknisten sääntelystandardien luonnoksia ▌.</w:t>
      </w:r>
    </w:p>
    <w:p w:rsidR="00F20D6F" w:rsidRPr="00315B8A" w:rsidRDefault="00F20D6F" w:rsidP="00AF56F2">
      <w:pPr>
        <w:pStyle w:val="ManualConsidrant"/>
        <w:spacing w:line="360" w:lineRule="auto"/>
        <w:jc w:val="left"/>
        <w:rPr>
          <w:noProof/>
        </w:rPr>
      </w:pPr>
      <w:r w:rsidRPr="00315B8A">
        <w:t>(32)</w:t>
      </w:r>
      <w:r w:rsidRPr="00315B8A">
        <w:tab/>
        <w:t xml:space="preserve">Jotta voidaan parantaa tallettajien yhdenmukaista suojaa ja määrittää asiaan liittyvät tehtävät koko unionissa, kotijäsenvaltion talletusten vakuusjärjestelmän olisi varmistettava korvausten maksaminen sellaisissa jäsenvaltioissa sijaitseville tallettajille, joissa talletusten vakuusjärjestelmän jäsenenä olevat luottolaitokset vastaanottavat talletuksia ja muita takaisinmaksettavia varoja tarjoamalla </w:t>
      </w:r>
      <w:proofErr w:type="spellStart"/>
      <w:r w:rsidRPr="00315B8A">
        <w:t>rajatylittäviä</w:t>
      </w:r>
      <w:proofErr w:type="spellEnd"/>
      <w:r w:rsidRPr="00315B8A">
        <w:t xml:space="preserve"> talletuspalveluja sijoittautumatta vastaanottavaan jäsenvaltioon. Jotta voidaan helpottaa maksujen suorittamista ja tietojen antamista tallettajille, vastaanottavan jäsenvaltion talletusten vakuusjärjestelmän olisi annettava toimia yhteyspisteenä palvelujen tarjoamisen vapautta käyttävien luottolaitosten tallettajille.</w:t>
      </w:r>
    </w:p>
    <w:p w:rsidR="00F20D6F" w:rsidRPr="00315B8A" w:rsidRDefault="00F20D6F" w:rsidP="00AF56F2">
      <w:pPr>
        <w:pStyle w:val="ManualConsidrant"/>
        <w:spacing w:line="360" w:lineRule="auto"/>
        <w:jc w:val="left"/>
        <w:rPr>
          <w:noProof/>
        </w:rPr>
      </w:pPr>
      <w:r w:rsidRPr="00315B8A">
        <w:t>(33)</w:t>
      </w:r>
      <w:r w:rsidRPr="00315B8A">
        <w:tab/>
        <w:t xml:space="preserve">Talletusten vakuusjärjestelmien välinen yhteistyö kaikkialla unionissa on ratkaisevan tärkeää, jotta korvaukset voidaan maksaa nopeasti ja kustannustehokkaasti tallettajille silloin, kun luottolaitokset tarjoavat pankkipalvelua muissa jäsenvaltioissa sijaitsevien sivukonttorien kautta. Kun otetaan huomioon teknologian kehitys, joka edistää </w:t>
      </w:r>
      <w:proofErr w:type="spellStart"/>
      <w:r w:rsidRPr="00315B8A">
        <w:t>rajatylittävien</w:t>
      </w:r>
      <w:proofErr w:type="spellEnd"/>
      <w:r w:rsidRPr="00315B8A">
        <w:t xml:space="preserve"> siirtojen ja etätunnistuksen käyttöä, kotijäsenvaltion talletusten vakuusjärjestelmästä olisi voitava maksaa korvaukset suoraan toisessa jäsenvaltiossa sijaitsevien sivukonttoreiden tallettajille edellyttäen, että hallinnollinen rasite ja kustannukset ovat alhaisemmat kuin jos korvaukset maksettaisiin vastaanottavan jäsenvaltion talletusten vakuusjärjestelmästä. Tämän joustavuuden olisi täydennettävä nykyistä yhteistyömekanismia, jossa edellytetään, että vastaanottavan jäsenvaltion </w:t>
      </w:r>
      <w:r w:rsidRPr="00315B8A">
        <w:lastRenderedPageBreak/>
        <w:t xml:space="preserve">talletusten vakuusjärjestelmästä maksetaan korvaukset sivukonttoreiden tallettajille kotijäsenvaltion talletusten vakuusjärjestelmän puolesta. Tallettajien luottamuksen säilyttämiseksi sekä vastaanottavassa että kotijäsenvaltiossa </w:t>
      </w:r>
      <w:proofErr w:type="spellStart"/>
      <w:r w:rsidRPr="00315B8A">
        <w:t>EPV:n</w:t>
      </w:r>
      <w:proofErr w:type="spellEnd"/>
      <w:r w:rsidRPr="00315B8A">
        <w:t xml:space="preserve"> olisi annettava ohjeita talletusten vakuusjärjestelmien avustamiseksi tällaisessa yhteistyössä muun muassa ehdottamalla luetteloa edellytyksistä, joiden mukaisesti kotijäsenvaltion talletusten vakuusjärjestelmä voisi päättää maksaa korvaukset vastaanottavassa jäsenvaltiossa sijaitsevien sivukonttoreiden tallettajille.</w:t>
      </w:r>
    </w:p>
    <w:p w:rsidR="00F20D6F" w:rsidRPr="00315B8A" w:rsidRDefault="00F20D6F" w:rsidP="00AF56F2">
      <w:pPr>
        <w:pStyle w:val="ManualConsidrant"/>
        <w:spacing w:line="360" w:lineRule="auto"/>
        <w:jc w:val="left"/>
        <w:rPr>
          <w:noProof/>
        </w:rPr>
      </w:pPr>
      <w:r w:rsidRPr="00315B8A">
        <w:t>(34)</w:t>
      </w:r>
      <w:r w:rsidRPr="00315B8A">
        <w:tab/>
        <w:t xml:space="preserve">Luottolaitokset voivat muuttaa talletusten vakuusjärjestelmään kuulumista siitä syystä, että ne siirtävät kotipaikkansa toiseen jäsenvaltioon tai muuttavat tytäryhtiönsä sivukonttoriksi tai sivukonttorinsa tytäryhtiöksi. Direktiivin 2014/49/EU 14 artiklan 3 kohdassa edellytetään, että kannatusmaksut, jotka luottolaitos on maksanut siirtoa edeltävien 12 kuukauden aikana, siirretään kyseiseen toiseen talletusten vakuusjärjestelmään. Sen varmistamiseksi, että kannatusmaksujen siirto vastaanottavaan talletusten vakuusjärjestelmään ei ole riippuvainen erilaisista kansallisista laskutusta tai kannatusmaksujen tosiasiallista suorituspäivää koskevista säännöistä, alkuperäisen talletusten vakuusjärjestelmän olisi laskettava siirrettävä määrä </w:t>
      </w:r>
      <w:r w:rsidRPr="00315B8A">
        <w:rPr>
          <w:b/>
          <w:i/>
        </w:rPr>
        <w:t>vastaanottavalle talletusten vakuusjärjestelmälle siirron seurauksena aiheutuvien mahdollisten velkojen</w:t>
      </w:r>
      <w:r w:rsidRPr="00315B8A">
        <w:t xml:space="preserve"> perusteella. </w:t>
      </w:r>
      <w:proofErr w:type="spellStart"/>
      <w:r w:rsidRPr="00315B8A">
        <w:rPr>
          <w:b/>
          <w:i/>
        </w:rPr>
        <w:t>EPV:n</w:t>
      </w:r>
      <w:proofErr w:type="spellEnd"/>
      <w:r w:rsidRPr="00315B8A">
        <w:rPr>
          <w:b/>
          <w:i/>
        </w:rPr>
        <w:t xml:space="preserve"> olisi laadittava teknisten sääntelystandardien luonnokset, joissa täsmennetään siirrettävän määrän laskentamenetelmä sen varmistamiseksi, että siirrolla on neutraali vaikutus sekä vastaanottavan talletusten </w:t>
      </w:r>
      <w:proofErr w:type="gramStart"/>
      <w:r w:rsidRPr="00315B8A">
        <w:rPr>
          <w:b/>
          <w:i/>
        </w:rPr>
        <w:t>vakuusjärjestelmän</w:t>
      </w:r>
      <w:proofErr w:type="gramEnd"/>
      <w:r w:rsidRPr="00315B8A">
        <w:rPr>
          <w:b/>
          <w:i/>
        </w:rPr>
        <w:t xml:space="preserve"> että alkuperäisen talletusten vakuusjärjestelmän rahoitustilanteeseen niiden kattamien riskien osalta.</w:t>
      </w:r>
      <w:r w:rsidRPr="00315B8A">
        <w:t xml:space="preserve"> </w:t>
      </w:r>
    </w:p>
    <w:p w:rsidR="00F20D6F" w:rsidRPr="00315B8A" w:rsidRDefault="00F20D6F" w:rsidP="00AF56F2">
      <w:pPr>
        <w:pStyle w:val="ManualConsidrant"/>
        <w:spacing w:line="360" w:lineRule="auto"/>
        <w:jc w:val="left"/>
        <w:rPr>
          <w:noProof/>
        </w:rPr>
      </w:pPr>
      <w:r w:rsidRPr="00315B8A">
        <w:t>(35)</w:t>
      </w:r>
      <w:r w:rsidRPr="00315B8A">
        <w:tab/>
        <w:t xml:space="preserve">On tarpeen varmistaa tallettajille yhtäläinen suoja kaikkialla unionissa. Sitä ei voidaan täysin taata järjestelmällä, jolla arvioidaan talletussuojan vastaavuutta kolmansissa maissa. Tästä syystä sellaisen luottolaitoksen, jonka kotipaikka on kolmannessa maassa, unionissa sijaitsevien sivukonttoreiden olisi osallistuttava talletusten vakuusjärjestelmään siinä jäsenvaltiossa, jossa ne harjoittavat talletusten vastaanottamista. Tällä vaatimuksella varmistettaisiin myös johdonmukaisuus direktiivien 2013/36/EU ja 2014/59/EU kanssa. Niiden tavoitteena on ottaa käyttöön perusteellisempi vakavaraisuus- ja kriisinratkaisukehys kolmannen maan ryhmille, jotka tarjoavat pankkipalveluja unionissa. Sitä vastoin olisi vältettävä sitä, että talletusten vakuusjärjestelmät altistuvat kolmansien maiden taloudellisille ja rahoitukseen liittyville riskeille. Siksi kolmansiin maihin sijoittautuneiden unionin luottolaitosten sivukonttoreissa olevia talletuksia ei pitäisi suojata. </w:t>
      </w:r>
    </w:p>
    <w:p w:rsidR="00F20D6F" w:rsidRPr="00315B8A" w:rsidRDefault="00F20D6F" w:rsidP="00AF56F2">
      <w:pPr>
        <w:pStyle w:val="ManualConsidrant"/>
        <w:spacing w:line="360" w:lineRule="auto"/>
        <w:jc w:val="left"/>
        <w:rPr>
          <w:noProof/>
        </w:rPr>
      </w:pPr>
      <w:r w:rsidRPr="00315B8A">
        <w:lastRenderedPageBreak/>
        <w:t>(36)</w:t>
      </w:r>
      <w:r w:rsidRPr="00315B8A">
        <w:tab/>
        <w:t xml:space="preserve">Standardoitu ja säännöllinen tietojen julkistaminen lisää tallettajien tietoisuutta talletussuojasta. Jotta voidaan saattaa tietojen julkistamista koskevat vaatimukset vastaamaan teknologian kehitystä, näissä vaatimuksissa olisi otettava huomioon uudet digitaaliset viestintäkanavat, joiden kautta luottolaitokset ovat vuorovaikutuksessa tallettajien kanssa. Tallettajien olisi saatava selkeää ja yhtenäistä tietoa, jossa selitetään heidän talletussuojansa. Samalla on kuitenkin rajoitettava asiasta luottolaitoksille tai talletusten vakuusjärjestelmille aiheutuvaa hallinnollista rasitetta. </w:t>
      </w:r>
      <w:proofErr w:type="spellStart"/>
      <w:r w:rsidRPr="00315B8A">
        <w:t>EPV:lle</w:t>
      </w:r>
      <w:proofErr w:type="spellEnd"/>
      <w:r w:rsidRPr="00315B8A">
        <w:t xml:space="preserve"> olisi annettava tehtäväksi laatia teknisten täytäntöönpanostandardien luonnoksia, joissa täsmennetään toisaalta tallettajalle annettavan tiedotteen sisältö ja muoto, jotta voidaan tiedottaa tallettajille vuosittain, ja toisaalta sellaisten tietojen malli, jotka joko talletusten vakuusjärjestelmien tai luottolaitosten on annettava tallettajille tietyissä tilanteissa, kuten luottolaitosten sulautumien yhteydessä, silloin, kun talletuksia ei kyetä maksamaan, tai kun asiakasvarojen talletuksia korvataan. </w:t>
      </w:r>
    </w:p>
    <w:p w:rsidR="00F20D6F" w:rsidRPr="00315B8A" w:rsidRDefault="00F20D6F" w:rsidP="00AF56F2">
      <w:pPr>
        <w:pStyle w:val="ManualConsidrant"/>
        <w:spacing w:line="360" w:lineRule="auto"/>
        <w:jc w:val="left"/>
        <w:rPr>
          <w:noProof/>
        </w:rPr>
      </w:pPr>
      <w:r w:rsidRPr="00315B8A">
        <w:t>(37)</w:t>
      </w:r>
      <w:r w:rsidRPr="00315B8A">
        <w:tab/>
        <w:t>Luottolaitoksen sulautuminen, tytäryhtiön muuttaminen sivukonttoriksi tai sivukonttorin muuttaminen tytäryhtiöksi voi vaikuttaa talletussuojan keskeisiin piirteisiin. Jotta vältetään haitalliset vaikutukset tallettajiin, joilla on talletuksia molemmissa sulautuvissa pankeissa ja joiden vaatimus talletussuojaan pienenisi talletusten vakuusjärjestelmään kuulumisessa tapahtuvien muutosten vuoksi, kaikille tallettajille olisi ilmoitettava tällaisista muutoksista ja heillä olisi oltava oikeus nostaa enintään menetettyä talletusten suojaa vastaava määrä varojaan ilman seuraamuksia.</w:t>
      </w:r>
    </w:p>
    <w:p w:rsidR="00F20D6F" w:rsidRPr="00315B8A" w:rsidRDefault="00F20D6F" w:rsidP="00AF56F2">
      <w:pPr>
        <w:pStyle w:val="ManualConsidrant"/>
        <w:spacing w:line="360" w:lineRule="auto"/>
        <w:jc w:val="left"/>
        <w:rPr>
          <w:noProof/>
        </w:rPr>
      </w:pPr>
      <w:r w:rsidRPr="00315B8A">
        <w:t>(38)</w:t>
      </w:r>
      <w:r w:rsidRPr="00315B8A">
        <w:tab/>
        <w:t>Jotta säilytetään rahoitusvakaus, vältetään häiriöiden leviäminen ja annetaan tallettajille mahdollisuus käyttää oikeuttaan vaatia talletuksia soveltuvissa tapauksissa, asianomaisten nimettyjen viranomaisten, talletusten vakuusjärjestelmien ja luottolaitosten olisi ilmoitettava tallettajille siitä, että talletuksia ei kyetä maksamaan.</w:t>
      </w:r>
    </w:p>
    <w:p w:rsidR="00F20D6F" w:rsidRPr="00315B8A" w:rsidRDefault="00F20D6F" w:rsidP="00AF56F2">
      <w:pPr>
        <w:pStyle w:val="ManualConsidrant"/>
        <w:spacing w:line="360" w:lineRule="auto"/>
        <w:jc w:val="left"/>
        <w:rPr>
          <w:noProof/>
        </w:rPr>
      </w:pPr>
      <w:r w:rsidRPr="00315B8A">
        <w:t>(39)</w:t>
      </w:r>
      <w:r w:rsidRPr="00315B8A">
        <w:tab/>
        <w:t xml:space="preserve">Jotta voidaan lisätä avoimuutta tallettajien kannalta sekä edistää talletusten vakuusjärjestelmien taloudellista vakautta ja keskinäistä luottamusta niiden suorittaessa toimeksiantoaan, nykyisiä raportointivaatimuksia olisi parannettava. Sen pohjalta, että nykyisissä vaatimuksissa annetaan talletusten vakuusjärjestelmille mahdollisuus pyytää niiden jäseninä olevilta laitoksilta kaikki tiedot, joita tarvitaan korvausten valmisteluun, talletusten vakuusjärjestelmien olisi myös voitava pyytää tietoja, joita tarvitaan korvausten valmisteluun </w:t>
      </w:r>
      <w:proofErr w:type="spellStart"/>
      <w:r w:rsidRPr="00315B8A">
        <w:t>rajatylittävän</w:t>
      </w:r>
      <w:proofErr w:type="spellEnd"/>
      <w:r w:rsidRPr="00315B8A">
        <w:t xml:space="preserve"> yhteistyön yhteydessä. Olisi edellytettävä, että jäseninä olevat laitokset toimittavat talletusten vakuusjärjestelmän pyynnöstä yleiset tiedot mahdollisesta olennaisesta </w:t>
      </w:r>
      <w:proofErr w:type="spellStart"/>
      <w:r w:rsidRPr="00315B8A">
        <w:t>rajatylittävästä</w:t>
      </w:r>
      <w:proofErr w:type="spellEnd"/>
      <w:r w:rsidRPr="00315B8A">
        <w:t xml:space="preserve"> </w:t>
      </w:r>
      <w:r w:rsidRPr="00315B8A">
        <w:lastRenderedPageBreak/>
        <w:t xml:space="preserve">liiketoiminnasta muissa jäsenvaltioissa. Tarjotakseen </w:t>
      </w:r>
      <w:proofErr w:type="spellStart"/>
      <w:r w:rsidRPr="00315B8A">
        <w:t>EPV:lle</w:t>
      </w:r>
      <w:proofErr w:type="spellEnd"/>
      <w:r w:rsidRPr="00315B8A">
        <w:t xml:space="preserve"> riittävästi tietoa talletusten vakuusjärjestelmien käytettävissä olevien rahoitusvarojen kehityksestä ja käytöstä jäsenvaltioiden olisi varmistettava, että talletusten vakuusjärjestelmät ilmoittavat </w:t>
      </w:r>
      <w:proofErr w:type="spellStart"/>
      <w:r w:rsidRPr="00315B8A">
        <w:t>EPV:lle</w:t>
      </w:r>
      <w:proofErr w:type="spellEnd"/>
      <w:r w:rsidRPr="00315B8A">
        <w:t xml:space="preserve"> vuosittain suojattujen talletusten määrän ja käytettävissä olevien rahoitusvarojen määrän ja tiedottavat </w:t>
      </w:r>
      <w:proofErr w:type="spellStart"/>
      <w:r w:rsidRPr="00315B8A">
        <w:t>EPV:lle</w:t>
      </w:r>
      <w:proofErr w:type="spellEnd"/>
      <w:r w:rsidRPr="00315B8A">
        <w:t xml:space="preserve"> olosuhteista, jotka johtivat siihen, että talletusten vakuusjärjestelmän varoja käytettiin joko korvausten maksamiseen tai muihin toimenpiteisiin. Jotta voidaan myös ottaa huomioon talletusten vakuusjärjestelmien tehostettu pankkien kriisinhallintaan liittyvä rooli, jonka tavoitteena on helpottaa talletusten vakuusjärjestelmän varojen käyttöä kriisinratkaisussa, talletusten vakuusjärjestelmillä olisi oltava oikeus saada </w:t>
      </w:r>
      <w:r w:rsidRPr="00315B8A">
        <w:rPr>
          <w:b/>
          <w:i/>
        </w:rPr>
        <w:t>vuosittain</w:t>
      </w:r>
      <w:r w:rsidRPr="00315B8A">
        <w:t xml:space="preserve"> tiivistelmä luottolaitosten kriisinratkaisusuunnitelmista, jotta niillä on paremmat yleiset valmiudet </w:t>
      </w:r>
      <w:proofErr w:type="gramStart"/>
      <w:r w:rsidRPr="00315B8A">
        <w:t>asettaa</w:t>
      </w:r>
      <w:proofErr w:type="gramEnd"/>
      <w:r w:rsidRPr="00315B8A">
        <w:t xml:space="preserve"> varat saataville. </w:t>
      </w:r>
    </w:p>
    <w:p w:rsidR="00F20D6F" w:rsidRPr="00315B8A" w:rsidRDefault="00F20D6F" w:rsidP="00AF56F2">
      <w:pPr>
        <w:pStyle w:val="ManualConsidrant"/>
        <w:spacing w:line="360" w:lineRule="auto"/>
        <w:jc w:val="left"/>
        <w:rPr>
          <w:noProof/>
        </w:rPr>
      </w:pPr>
      <w:r w:rsidRPr="00315B8A">
        <w:t>(40)</w:t>
      </w:r>
      <w:r w:rsidRPr="00315B8A">
        <w:tab/>
        <w:t xml:space="preserve">Rahoituspalvelualan teknisillä standardeilla olisi helpotettava jatkuvaa yhdenmukaistamista sekä tallettajien riittävää suojaa kaikkialla unionissa. Koska </w:t>
      </w:r>
      <w:proofErr w:type="spellStart"/>
      <w:r w:rsidRPr="00315B8A">
        <w:t>EPV:llä</w:t>
      </w:r>
      <w:proofErr w:type="spellEnd"/>
      <w:r w:rsidRPr="00315B8A">
        <w:t xml:space="preserve"> on pitkälle menevää erityisasiantuntemusta, olisi tehokasta ja asianmukaista antaa sen tehtäväksi laatia komissiolle hyväksyttäväksi toimitettavat luonnokset teknisiksi sääntelystandardeiksi ja teknisiksi täytäntöönpanostandardeiksi, joihin ei liity toimintapoliittisia valintoja. </w:t>
      </w:r>
    </w:p>
    <w:p w:rsidR="00F20D6F" w:rsidRPr="00315B8A" w:rsidRDefault="00F20D6F" w:rsidP="00AF56F2">
      <w:pPr>
        <w:pStyle w:val="ManualConsidrant"/>
        <w:spacing w:line="360" w:lineRule="auto"/>
        <w:jc w:val="left"/>
        <w:rPr>
          <w:noProof/>
        </w:rPr>
      </w:pPr>
      <w:r w:rsidRPr="00315B8A">
        <w:t>(41)</w:t>
      </w:r>
      <w:r w:rsidRPr="00315B8A">
        <w:tab/>
        <w:t>Komission olisi hyväksyttävä tässä direktiivissä määritellyissä tapauksissa Euroopan unionin toiminnasta tehdyn sopimuksen 290 artiklan ja Euroopan parlamentin ja neuvoston asetuksen (EU) N:o 1093/2010</w:t>
      </w:r>
      <w:r w:rsidRPr="00315B8A">
        <w:rPr>
          <w:rStyle w:val="FootnoteReference"/>
          <w:noProof/>
        </w:rPr>
        <w:footnoteReference w:id="12"/>
      </w:r>
      <w:r w:rsidRPr="00315B8A">
        <w:t xml:space="preserve"> 10–14 artiklan mukaisesti delegoiduilla säädöksillä </w:t>
      </w:r>
      <w:proofErr w:type="spellStart"/>
      <w:r w:rsidRPr="00315B8A">
        <w:t>EPV:n</w:t>
      </w:r>
      <w:proofErr w:type="spellEnd"/>
      <w:r w:rsidRPr="00315B8A">
        <w:t xml:space="preserve"> laatimat teknisten sääntelystandardien luonnokset, joissa täsmennetään a) rahoituslaitosten asiakkaiden tunnistamiseen liittyvät tekniset yksityiskohdat asiakasvarojen talletuksia koskevien korvausten maksamista varten, kriteerit, jotka koskevat korvausten suorittamista tilinhaltijalle kunkin asiakkaan hyväksi tai suoraan asiakkaalle, ja säännöt, joilla vältetään useat samaa edunsaajaa koskevat korvausvaatimukset; b) pienimmän kustannuksen testiä koskevat menetelmät ja c) tavoitetason saavuttamiseen hyväksyttävien käytettävissä olevien rahoitusvarojen laskennassa käytettävät menetelmät. </w:t>
      </w:r>
    </w:p>
    <w:p w:rsidR="00F20D6F" w:rsidRPr="00315B8A" w:rsidRDefault="00F20D6F" w:rsidP="00AF56F2">
      <w:pPr>
        <w:pStyle w:val="ManualConsidrant"/>
        <w:spacing w:line="360" w:lineRule="auto"/>
        <w:jc w:val="left"/>
        <w:rPr>
          <w:noProof/>
        </w:rPr>
      </w:pPr>
      <w:r w:rsidRPr="00315B8A">
        <w:lastRenderedPageBreak/>
        <w:t>(42)</w:t>
      </w:r>
      <w:r w:rsidRPr="00315B8A">
        <w:tab/>
        <w:t xml:space="preserve">Komission olisi hyväksyttävä </w:t>
      </w:r>
      <w:proofErr w:type="spellStart"/>
      <w:r w:rsidRPr="00315B8A">
        <w:t>EPV:n</w:t>
      </w:r>
      <w:proofErr w:type="spellEnd"/>
      <w:r w:rsidRPr="00315B8A">
        <w:t xml:space="preserve"> laatimat teknisten täytäntöönpanostandardien luonnokset Euroopan unionin toiminnasta tehdyn sopimuksen 291 artiklan ja asetuksen (EU) N:o 1093/2010 15 artiklan mukaisilla täytäntöönpanosäädöksillä, joissa täsmennetään a) tallettajalle annettavan tiedotteen sisältö ja muoto, sellaisia tietoja koskeva malli, jotka joko talletusten vakuusjärjestelmien tai luottolaitosten olisi ilmoitettava tallettajille; b) menettelyt, joita on noudatettava, kun luottolaitokset toimittavat tietoja talletusten vakuusjärjestelmälleen ja kun talletusten vakuusjärjestelmät ja nimetyt viranomaiset toimittavat tietoja </w:t>
      </w:r>
      <w:proofErr w:type="spellStart"/>
      <w:r w:rsidRPr="00315B8A">
        <w:t>EPV:lle</w:t>
      </w:r>
      <w:proofErr w:type="spellEnd"/>
      <w:r w:rsidRPr="00315B8A">
        <w:t>, ja mallit kyseisten tietojen toimittamista varten.</w:t>
      </w:r>
    </w:p>
    <w:p w:rsidR="00F20D6F" w:rsidRPr="00315B8A" w:rsidRDefault="00F20D6F" w:rsidP="00AF56F2">
      <w:pPr>
        <w:pStyle w:val="ManualConsidrant"/>
        <w:spacing w:line="360" w:lineRule="auto"/>
        <w:jc w:val="left"/>
        <w:rPr>
          <w:noProof/>
        </w:rPr>
      </w:pPr>
      <w:r w:rsidRPr="00315B8A">
        <w:t>(43)</w:t>
      </w:r>
      <w:r w:rsidRPr="00315B8A">
        <w:tab/>
        <w:t>Direktiiviä 2014/49/EU olisi sen vuoksi muutettava.</w:t>
      </w:r>
    </w:p>
    <w:p w:rsidR="00F20D6F" w:rsidRPr="00315B8A" w:rsidRDefault="00F20D6F" w:rsidP="00AF56F2">
      <w:pPr>
        <w:pStyle w:val="ManualConsidrant"/>
        <w:spacing w:line="360" w:lineRule="auto"/>
        <w:jc w:val="left"/>
        <w:rPr>
          <w:noProof/>
        </w:rPr>
      </w:pPr>
      <w:r w:rsidRPr="00315B8A">
        <w:t>(44)</w:t>
      </w:r>
      <w:r w:rsidRPr="00315B8A">
        <w:tab/>
        <w:t xml:space="preserve">Jotta sellaisten luottolaitosten sivukonttorit, joiden kotipaikka on unionin ulkopuolella ja jotka eivät ole unioniin sijoittautuneen talletusten vakuusjärjestelmän jäseniä, voivat liittyä unionissa olevaan talletusten vakuusjärjestelmään, kyseisille sivukonttoreille olisi annettava riittävästi aikaa toteuttaa tämän vaatimuksen noudattamiseksi tarvittavat toimet. </w:t>
      </w:r>
    </w:p>
    <w:p w:rsidR="00F20D6F" w:rsidRPr="00315B8A" w:rsidRDefault="00F20D6F" w:rsidP="00AF56F2">
      <w:pPr>
        <w:pStyle w:val="ManualConsidrant"/>
        <w:spacing w:line="360" w:lineRule="auto"/>
        <w:jc w:val="left"/>
        <w:rPr>
          <w:noProof/>
        </w:rPr>
      </w:pPr>
      <w:r w:rsidRPr="00315B8A">
        <w:t>(45)</w:t>
      </w:r>
      <w:r w:rsidRPr="00315B8A">
        <w:tab/>
        <w:t xml:space="preserve">Direktiivin 2014/49/EU mukaan jäsenvaltiot voivat hyväksyä laitosten suojajärjestelmän talletusten vakuusjärjestelmäksi, jos se täyttää asetuksen (EU) </w:t>
      </w:r>
      <w:proofErr w:type="gramStart"/>
      <w:r w:rsidRPr="00315B8A">
        <w:t>N:o</w:t>
      </w:r>
      <w:proofErr w:type="gramEnd"/>
      <w:r w:rsidRPr="00315B8A">
        <w:t xml:space="preserve"> 575/2013 113 artiklan 7 kohdassa vahvistetut edellytykset ja on direktiivin 2014/49/EU mukainen. Tällaisten laitosten suojajärjestelmien erityisen liiketoimintamallin ja etenkin niiden toimeksiannon keskiössä olevien </w:t>
      </w:r>
      <w:r w:rsidRPr="00315B8A">
        <w:rPr>
          <w:b/>
          <w:i/>
        </w:rPr>
        <w:t>tehtävien, joita ne hoitavat tämän direktiivin soveltamisalaan kuuluvien tehtävien lisäksi,</w:t>
      </w:r>
      <w:r w:rsidRPr="00315B8A">
        <w:t xml:space="preserve"> merkityksen huomioon ottamiseksi on aiheellista antaa jäsenvaltioille mahdollisuus sallia </w:t>
      </w:r>
      <w:r w:rsidRPr="00315B8A">
        <w:rPr>
          <w:b/>
          <w:i/>
        </w:rPr>
        <w:t>laitosten suojajärjestelmien jatkaa tällaisten tehtävien hoitamista. Lisäksi laitosten suojajärjestelmille olisi myönnettävä kolmen vuoden siirtymäaika, jotta niillä on riittävästi aikaa sopeutua uusiin säännöksiin, erityisesti</w:t>
      </w:r>
      <w:r w:rsidRPr="00315B8A">
        <w:t xml:space="preserve"> ennaltaehkäisevien toimenpiteiden ▌ </w:t>
      </w:r>
      <w:r w:rsidRPr="00315B8A">
        <w:rPr>
          <w:b/>
          <w:i/>
        </w:rPr>
        <w:t>soveltamisen osalta</w:t>
      </w:r>
      <w:r w:rsidRPr="00315B8A">
        <w:t>. ▌</w:t>
      </w:r>
      <w:r w:rsidRPr="00315B8A">
        <w:rPr>
          <w:b/>
          <w:i/>
        </w:rPr>
        <w:t>Tasapuolisten toimintaedellytysten varmistamiseksi ja tallettajien korkeatasoisen suojan säilyttämiseksi tämän direktiivin soveltamisalaan kuuluvien toimien ja tehtävien lisäksi suoritettavat toimet ja tehtävät olisi rahoitettava erillisin, tavoitetason ylittävin rahoitusvaroin. Laitosten suojajärjestelmien olisi luotava erillinen rahasto laitosten suojajärjestelmän muihin kuin tämän direktiivin soveltamisalaan kuuluviin tehtäviin</w:t>
      </w:r>
      <w:r w:rsidRPr="00315B8A">
        <w:t xml:space="preserve"> liittyviin tarkoituksiin Euroopan keskuspankin, kansallisen toimivaltaisen viranomaisen ja asiaan liittyvien laitosten suojajärjestelmien sopimalla tavalla. </w:t>
      </w:r>
    </w:p>
    <w:p w:rsidR="00F20D6F" w:rsidRPr="00315B8A" w:rsidRDefault="00F20D6F" w:rsidP="00AF56F2">
      <w:pPr>
        <w:pStyle w:val="ManualConsidrant"/>
        <w:spacing w:line="360" w:lineRule="auto"/>
        <w:jc w:val="left"/>
        <w:rPr>
          <w:noProof/>
        </w:rPr>
      </w:pPr>
      <w:r w:rsidRPr="00315B8A">
        <w:lastRenderedPageBreak/>
        <w:t>(46)</w:t>
      </w:r>
      <w:r w:rsidRPr="00315B8A">
        <w:tab/>
        <w:t xml:space="preserve">Sen varmistamiseksi, että talletusten vakuusjärjestelmillä ja nimetyillä viranomaisilla on mahdollisuus kehittää tarvittavat toiminnalliset valmiudet ennaltaehkäisevien toimenpiteiden käyttöä koskevien uusien sääntöjen soveltamiseksi, on aiheellista säätää kyseisten uusien sääntöjen soveltamisen lykkäämisestä. </w:t>
      </w:r>
    </w:p>
    <w:p w:rsidR="00F20D6F" w:rsidRPr="00315B8A" w:rsidRDefault="00F20D6F" w:rsidP="00AF56F2">
      <w:pPr>
        <w:pStyle w:val="ManualConsidrant"/>
        <w:spacing w:line="360" w:lineRule="auto"/>
        <w:jc w:val="left"/>
        <w:rPr>
          <w:noProof/>
        </w:rPr>
      </w:pPr>
      <w:r w:rsidRPr="00315B8A">
        <w:t>(47)</w:t>
      </w:r>
      <w:r w:rsidRPr="00315B8A">
        <w:tab/>
        <w:t>Jäsenvaltiot eivät voi riittävällä tavalla saavuttaa tämän direktiivin tavoitteita eli taata tallettajille yhtenäistä suojaa unionissa sen vuoksi, että erilaisista kansallisista lähestymistavoista saattaa aiheutua riskejä sisämarkkinoiden eheydelle, vaan ne voidaan saavuttaa paremmin unionin tasolla muuttamalla unionin tasolla jo vahvistettuja sääntöjä, joten unioni voi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p w:rsidR="00F20D6F" w:rsidRPr="00315B8A" w:rsidRDefault="00F20D6F" w:rsidP="00AF56F2">
      <w:pPr>
        <w:pStyle w:val="Formuledadoption"/>
        <w:spacing w:line="360" w:lineRule="auto"/>
        <w:jc w:val="left"/>
        <w:rPr>
          <w:noProof/>
        </w:rPr>
      </w:pPr>
      <w:r w:rsidRPr="00315B8A">
        <w:t>OVAT HYVÄKSYNEET TÄMÄN DIREKTIIVIN:</w:t>
      </w:r>
    </w:p>
    <w:p w:rsidR="00F20D6F" w:rsidRPr="00315B8A" w:rsidRDefault="00F20D6F" w:rsidP="00811334">
      <w:pPr>
        <w:pStyle w:val="Titrearticle"/>
        <w:spacing w:line="360" w:lineRule="auto"/>
        <w:rPr>
          <w:noProof/>
        </w:rPr>
      </w:pPr>
      <w:r w:rsidRPr="00315B8A">
        <w:t>1 artikla</w:t>
      </w:r>
    </w:p>
    <w:p w:rsidR="00F20D6F" w:rsidRPr="00315B8A" w:rsidRDefault="00F20D6F" w:rsidP="00811334">
      <w:pPr>
        <w:widowControl/>
        <w:shd w:val="clear" w:color="auto" w:fill="FFFFFF"/>
        <w:spacing w:before="60" w:line="360" w:lineRule="auto"/>
        <w:jc w:val="center"/>
        <w:rPr>
          <w:b/>
          <w:bCs/>
          <w:noProof/>
          <w:color w:val="000000"/>
          <w:szCs w:val="24"/>
        </w:rPr>
      </w:pPr>
      <w:r w:rsidRPr="00315B8A">
        <w:rPr>
          <w:b/>
          <w:color w:val="000000"/>
        </w:rPr>
        <w:t xml:space="preserve">Direktiivin 2014/49/EU muuttaminen </w:t>
      </w:r>
    </w:p>
    <w:p w:rsidR="00F20D6F" w:rsidRPr="00315B8A" w:rsidRDefault="00F20D6F" w:rsidP="00811334">
      <w:pPr>
        <w:widowControl/>
        <w:spacing w:line="360" w:lineRule="auto"/>
        <w:rPr>
          <w:noProof/>
        </w:rPr>
      </w:pPr>
      <w:r w:rsidRPr="00315B8A">
        <w:t>Muutetaan direktiivi 2014/49/EU seuraavasti:</w:t>
      </w:r>
    </w:p>
    <w:p w:rsidR="00F20D6F" w:rsidRPr="00315B8A" w:rsidRDefault="00F20D6F" w:rsidP="00AF56F2">
      <w:pPr>
        <w:pStyle w:val="Point0"/>
        <w:spacing w:line="360" w:lineRule="auto"/>
        <w:jc w:val="left"/>
        <w:rPr>
          <w:noProof/>
        </w:rPr>
      </w:pPr>
      <w:r w:rsidRPr="00315B8A">
        <w:t>1)</w:t>
      </w:r>
      <w:r w:rsidRPr="00315B8A">
        <w:tab/>
        <w:t>Muutetaan 1 artikla seuraavasti:</w:t>
      </w:r>
    </w:p>
    <w:p w:rsidR="00F20D6F" w:rsidRPr="00315B8A" w:rsidRDefault="00F20D6F" w:rsidP="00AF56F2">
      <w:pPr>
        <w:pStyle w:val="Point1"/>
        <w:spacing w:line="360" w:lineRule="auto"/>
        <w:jc w:val="left"/>
        <w:rPr>
          <w:noProof/>
        </w:rPr>
      </w:pPr>
      <w:r w:rsidRPr="00315B8A">
        <w:t>a)</w:t>
      </w:r>
      <w:r w:rsidRPr="00315B8A">
        <w:tab/>
        <w:t>korvataan 1 kohta seuraavasti:</w:t>
      </w:r>
    </w:p>
    <w:p w:rsidR="00F20D6F" w:rsidRPr="00315B8A" w:rsidRDefault="00F20D6F" w:rsidP="00AF56F2">
      <w:pPr>
        <w:pStyle w:val="Text2"/>
        <w:spacing w:line="360" w:lineRule="auto"/>
        <w:jc w:val="left"/>
        <w:rPr>
          <w:noProof/>
        </w:rPr>
      </w:pPr>
      <w:r w:rsidRPr="00315B8A">
        <w:t>”1. Tässä direktiivissä vahvistetaan säännöt ja menettelyt, jotka koskevat talletusten vakuusjärjestelmien perustamista ja toimintaa, talletussuojan tasoa ja korvausten maksamista sekä talletusten vakuusjärjestelmän varojen käyttöä toimenpiteisiin, joiden tavoitteena on varmistaa tallettajien mahdollisuus saada omat talletuksensa käyttöönsä.”;</w:t>
      </w:r>
    </w:p>
    <w:p w:rsidR="00F20D6F" w:rsidRPr="00315B8A" w:rsidRDefault="00F20D6F" w:rsidP="00AF56F2">
      <w:pPr>
        <w:pStyle w:val="Point1"/>
        <w:spacing w:line="360" w:lineRule="auto"/>
        <w:jc w:val="left"/>
        <w:rPr>
          <w:noProof/>
        </w:rPr>
      </w:pPr>
      <w:r w:rsidRPr="00315B8A">
        <w:t>b)</w:t>
      </w:r>
      <w:r w:rsidRPr="00315B8A">
        <w:tab/>
        <w:t xml:space="preserve">korvataan 2 kohdan d alakohta seuraavasti: </w:t>
      </w:r>
    </w:p>
    <w:p w:rsidR="00F20D6F" w:rsidRPr="00315B8A" w:rsidRDefault="00F20D6F" w:rsidP="00AF56F2">
      <w:pPr>
        <w:pStyle w:val="Text2"/>
        <w:spacing w:line="360" w:lineRule="auto"/>
        <w:jc w:val="left"/>
        <w:rPr>
          <w:noProof/>
        </w:rPr>
      </w:pPr>
      <w:r w:rsidRPr="00315B8A">
        <w:t>”d) luottolaitoksiin ja unionin ulkopuolella kotipaikkaansa pitävien luottolaitosten sivukonttoreihin, jotka kuuluvat tämän kohdan a, b tai c alakohdassa tarkoitettuihin järjestelmiin.”</w:t>
      </w:r>
    </w:p>
    <w:p w:rsidR="00F20D6F" w:rsidRPr="00315B8A" w:rsidRDefault="00F20D6F" w:rsidP="00AF56F2">
      <w:pPr>
        <w:pStyle w:val="Point0"/>
        <w:spacing w:line="360" w:lineRule="auto"/>
        <w:jc w:val="left"/>
        <w:rPr>
          <w:noProof/>
        </w:rPr>
      </w:pPr>
      <w:r w:rsidRPr="00315B8A">
        <w:t>2)</w:t>
      </w:r>
      <w:r w:rsidRPr="00315B8A">
        <w:tab/>
        <w:t>Muutetaan 2 artiklan 1 kohta seuraavasti:</w:t>
      </w:r>
    </w:p>
    <w:p w:rsidR="00F20D6F" w:rsidRPr="00315B8A" w:rsidRDefault="00F20D6F" w:rsidP="00AF56F2">
      <w:pPr>
        <w:pStyle w:val="Point1"/>
        <w:spacing w:line="360" w:lineRule="auto"/>
        <w:jc w:val="left"/>
        <w:rPr>
          <w:noProof/>
        </w:rPr>
      </w:pPr>
      <w:r w:rsidRPr="00315B8A">
        <w:t>a)</w:t>
      </w:r>
      <w:r w:rsidRPr="00315B8A">
        <w:tab/>
        <w:t>korvataan 3 alakohdan johdantokappale seuraavasti:</w:t>
      </w:r>
    </w:p>
    <w:p w:rsidR="00F20D6F" w:rsidRPr="00315B8A" w:rsidRDefault="00F20D6F" w:rsidP="00AF56F2">
      <w:pPr>
        <w:pStyle w:val="Text2"/>
        <w:spacing w:line="360" w:lineRule="auto"/>
        <w:jc w:val="left"/>
        <w:rPr>
          <w:noProof/>
        </w:rPr>
      </w:pPr>
      <w:r w:rsidRPr="00315B8A">
        <w:lastRenderedPageBreak/>
        <w:t xml:space="preserve">”3) ’talletuksella’ sellaista saatavaa, joka syntyy tilille jätetyistä varoista tai luottolaitosten tavanomaisesti osana liiketoimintaansa harjoittamassa tavanomaisessa pankkitoiminnassa syntyvissä väliaikaisissa maksujen siirroissa ja joka luottolaitoksen edellytetään maksavan sovellettavan lain ja sopimusten ehtojen mukaisesti takaisin, mukaan lukien määräaikaistalletukset ja säästötalletukset, mutta </w:t>
      </w:r>
      <w:proofErr w:type="spellStart"/>
      <w:proofErr w:type="gramStart"/>
      <w:r w:rsidRPr="00315B8A">
        <w:t>poislukien</w:t>
      </w:r>
      <w:proofErr w:type="spellEnd"/>
      <w:proofErr w:type="gramEnd"/>
      <w:r w:rsidRPr="00315B8A">
        <w:t xml:space="preserve"> sellaiset saatavat, joiden:”;</w:t>
      </w:r>
    </w:p>
    <w:p w:rsidR="00F20D6F" w:rsidRPr="00315B8A" w:rsidRDefault="00F20D6F" w:rsidP="00AF56F2">
      <w:pPr>
        <w:pStyle w:val="Point1"/>
        <w:spacing w:line="360" w:lineRule="auto"/>
        <w:jc w:val="left"/>
        <w:rPr>
          <w:noProof/>
        </w:rPr>
      </w:pPr>
      <w:r w:rsidRPr="00315B8A">
        <w:t>b)</w:t>
      </w:r>
      <w:r w:rsidRPr="00315B8A">
        <w:tab/>
        <w:t>korvataan 13 alakohdan johdantokappale seuraavasti:</w:t>
      </w:r>
    </w:p>
    <w:p w:rsidR="00F20D6F" w:rsidRPr="00315B8A" w:rsidRDefault="00F20D6F" w:rsidP="00AF56F2">
      <w:pPr>
        <w:pStyle w:val="Text2"/>
        <w:spacing w:line="360" w:lineRule="auto"/>
        <w:jc w:val="left"/>
        <w:rPr>
          <w:noProof/>
        </w:rPr>
      </w:pPr>
      <w:r w:rsidRPr="00315B8A">
        <w:t>”13) ’maksusitoumuksella’ luottolaitoksen tekemää peruuttamatonta, kokonaan vakuudellista sitoumusta rahamäärän maksamisesta talletusten vakuusjärjestelmälle kyseisen talletusten vakuusjärjestelmän vaatimuksesta, edellyttäen, että:”;</w:t>
      </w:r>
    </w:p>
    <w:p w:rsidR="00F20D6F" w:rsidRPr="00315B8A" w:rsidRDefault="00F20D6F" w:rsidP="00AF56F2">
      <w:pPr>
        <w:pStyle w:val="Point1"/>
        <w:spacing w:line="360" w:lineRule="auto"/>
        <w:jc w:val="left"/>
        <w:rPr>
          <w:noProof/>
        </w:rPr>
      </w:pPr>
      <w:r w:rsidRPr="00315B8A">
        <w:t>c)</w:t>
      </w:r>
      <w:r w:rsidRPr="00315B8A">
        <w:tab/>
        <w:t xml:space="preserve">lisätään 19–23 alakohta seuraavasti: </w:t>
      </w:r>
    </w:p>
    <w:p w:rsidR="00F20D6F" w:rsidRPr="00315B8A" w:rsidRDefault="00F20D6F" w:rsidP="00AF56F2">
      <w:pPr>
        <w:pStyle w:val="Text2"/>
        <w:spacing w:line="360" w:lineRule="auto"/>
        <w:jc w:val="left"/>
        <w:rPr>
          <w:noProof/>
        </w:rPr>
      </w:pPr>
      <w:r w:rsidRPr="00315B8A">
        <w:t>19) ’kriisinratkaisuviranomaisella’ direktiivin 2014/59/EY 2 artiklan 1 kohdan 18 alakohdassa määriteltyä kriisinratkaisuviranomaista;</w:t>
      </w:r>
    </w:p>
    <w:p w:rsidR="00F20D6F" w:rsidRPr="00315B8A" w:rsidRDefault="00F20D6F" w:rsidP="00AF56F2">
      <w:pPr>
        <w:pStyle w:val="Text2"/>
        <w:spacing w:line="360" w:lineRule="auto"/>
        <w:jc w:val="left"/>
        <w:rPr>
          <w:noProof/>
        </w:rPr>
      </w:pPr>
      <w:r w:rsidRPr="00315B8A">
        <w:t xml:space="preserve">20) ’asiakasvarojen talletuksilla’ varoja, jotka tilinhaltijat, jotka ovat asetuksen (EU) </w:t>
      </w:r>
      <w:proofErr w:type="gramStart"/>
      <w:r w:rsidRPr="00315B8A">
        <w:t>N:o</w:t>
      </w:r>
      <w:proofErr w:type="gramEnd"/>
      <w:r w:rsidRPr="00315B8A">
        <w:t xml:space="preserve"> 575/2013 4 artiklan 1 kohdan 26 alakohdassa määriteltyjä rahoituslaitoksia, tallettavat asiakkaidensa lukuun luottolaitokseen harjoittaessaan liiketoimintaansa;</w:t>
      </w:r>
    </w:p>
    <w:p w:rsidR="00F20D6F" w:rsidRPr="00315B8A" w:rsidRDefault="00F20D6F" w:rsidP="00AF56F2">
      <w:pPr>
        <w:pStyle w:val="Text2"/>
        <w:spacing w:line="360" w:lineRule="auto"/>
        <w:jc w:val="left"/>
        <w:rPr>
          <w:noProof/>
        </w:rPr>
      </w:pPr>
      <w:r w:rsidRPr="00315B8A">
        <w:t>21) ’unionin valtiontukikehyksellä’ Euroopan unionin toiminnasta tehdyn sopimuksen 107, 108 ja 109 artiklalla perustettua kehystä sekä kaikkia Euroopan unionin toiminnasta tehdyn sopimuksen 108 artiklan 4 kohdan tai 109 artiklan nojalla laadittuja tai hyväksyttyjä asetuksia ja unionin säädöksiä, mukaan lukien suuntaviivat, tiedonannot ja ilmoitukset;</w:t>
      </w:r>
    </w:p>
    <w:p w:rsidR="00F20D6F" w:rsidRPr="00315B8A" w:rsidRDefault="00F20D6F" w:rsidP="00AF56F2">
      <w:pPr>
        <w:pStyle w:val="Text2"/>
        <w:spacing w:line="360" w:lineRule="auto"/>
        <w:jc w:val="left"/>
        <w:rPr>
          <w:noProof/>
        </w:rPr>
      </w:pPr>
      <w:r w:rsidRPr="00315B8A">
        <w:t xml:space="preserve">22) ’rahanpesulla’ asetuksen* [lisätään viite – ehdotus rahanpesun vastaiseksi asetukseksi – </w:t>
      </w:r>
      <w:proofErr w:type="gramStart"/>
      <w:r w:rsidRPr="00315B8A">
        <w:t>COM(</w:t>
      </w:r>
      <w:proofErr w:type="gramEnd"/>
      <w:r w:rsidRPr="00315B8A">
        <w:t>2021) 420 </w:t>
      </w:r>
      <w:proofErr w:type="spellStart"/>
      <w:r w:rsidRPr="00315B8A">
        <w:t>final</w:t>
      </w:r>
      <w:proofErr w:type="spellEnd"/>
      <w:r w:rsidRPr="00315B8A">
        <w:t>] 2 artiklan 1 alakohdassa määriteltyä rahanpesua;</w:t>
      </w:r>
    </w:p>
    <w:p w:rsidR="00F20D6F" w:rsidRPr="00315B8A" w:rsidRDefault="00F20D6F" w:rsidP="00AF56F2">
      <w:pPr>
        <w:pStyle w:val="Text2"/>
        <w:spacing w:line="360" w:lineRule="auto"/>
        <w:jc w:val="left"/>
        <w:rPr>
          <w:noProof/>
        </w:rPr>
      </w:pPr>
      <w:r w:rsidRPr="00315B8A">
        <w:t xml:space="preserve">23) ’terrorismin rahoituksella’ asetuksen** [lisätään viite – ehdotus rahanpesun vastaiseksi asetukseksi – </w:t>
      </w:r>
      <w:proofErr w:type="gramStart"/>
      <w:r w:rsidRPr="00315B8A">
        <w:t>COM(</w:t>
      </w:r>
      <w:proofErr w:type="gramEnd"/>
      <w:r w:rsidRPr="00315B8A">
        <w:t>2021) 420 </w:t>
      </w:r>
      <w:proofErr w:type="spellStart"/>
      <w:r w:rsidRPr="00315B8A">
        <w:t>final</w:t>
      </w:r>
      <w:proofErr w:type="spellEnd"/>
      <w:r w:rsidRPr="00315B8A">
        <w:t>] 2 artiklan 2 alakohdassa määriteltyä terrorismin rahoitusta. **”;</w:t>
      </w:r>
    </w:p>
    <w:p w:rsidR="00F20D6F" w:rsidRPr="00315B8A" w:rsidRDefault="00F20D6F" w:rsidP="00AF56F2">
      <w:pPr>
        <w:pStyle w:val="Point1"/>
        <w:spacing w:line="360" w:lineRule="auto"/>
        <w:jc w:val="left"/>
        <w:rPr>
          <w:noProof/>
        </w:rPr>
      </w:pPr>
      <w:r w:rsidRPr="00315B8A">
        <w:t>d)</w:t>
      </w:r>
      <w:r w:rsidRPr="00315B8A">
        <w:tab/>
        <w:t xml:space="preserve">korvataan 3 kohta seuraavasti: </w:t>
      </w:r>
    </w:p>
    <w:p w:rsidR="00F20D6F" w:rsidRPr="00315B8A" w:rsidRDefault="00F20D6F" w:rsidP="00AF56F2">
      <w:pPr>
        <w:pStyle w:val="Text2"/>
        <w:spacing w:line="360" w:lineRule="auto"/>
        <w:jc w:val="left"/>
        <w:rPr>
          <w:noProof/>
        </w:rPr>
      </w:pPr>
      <w:r w:rsidRPr="00315B8A">
        <w:lastRenderedPageBreak/>
        <w:t>”3. Asunto-osuuskuntien (</w:t>
      </w:r>
      <w:proofErr w:type="spellStart"/>
      <w:r w:rsidRPr="00315B8A">
        <w:t>building</w:t>
      </w:r>
      <w:proofErr w:type="spellEnd"/>
      <w:r w:rsidRPr="00315B8A">
        <w:t xml:space="preserve"> </w:t>
      </w:r>
      <w:proofErr w:type="spellStart"/>
      <w:r w:rsidRPr="00315B8A">
        <w:t>society</w:t>
      </w:r>
      <w:proofErr w:type="spellEnd"/>
      <w:r w:rsidRPr="00315B8A">
        <w:t>) osuudet Irlannissa, lukuun ottamatta niitä, jotka ovat pääomaluonteisia ja joihin sovelletaan 5 artiklan 1 kohdan b alakohtaa, katsotaan talletuksiksi.</w:t>
      </w:r>
    </w:p>
    <w:p w:rsidR="00F20D6F" w:rsidRPr="00315B8A" w:rsidRDefault="00F20D6F" w:rsidP="00811334">
      <w:pPr>
        <w:widowControl/>
        <w:spacing w:line="360" w:lineRule="auto"/>
        <w:rPr>
          <w:noProof/>
        </w:rPr>
      </w:pPr>
      <w:r w:rsidRPr="00315B8A">
        <w:t>____________________________________________</w:t>
      </w:r>
    </w:p>
    <w:p w:rsidR="00F20D6F" w:rsidRPr="00315B8A" w:rsidRDefault="00F20D6F" w:rsidP="00AF56F2">
      <w:pPr>
        <w:pStyle w:val="Text2"/>
        <w:spacing w:line="360" w:lineRule="auto"/>
        <w:jc w:val="left"/>
        <w:rPr>
          <w:noProof/>
        </w:rPr>
      </w:pPr>
      <w:r w:rsidRPr="00315B8A">
        <w:t>*</w:t>
      </w:r>
      <w:r w:rsidRPr="00315B8A">
        <w:tab/>
        <w:t xml:space="preserve">[Lisätään täydellinen viite – ehdotus rahanpesun vastaiseksi asetukseksi – </w:t>
      </w:r>
      <w:proofErr w:type="gramStart"/>
      <w:r w:rsidRPr="00315B8A">
        <w:t>COM(</w:t>
      </w:r>
      <w:proofErr w:type="gramEnd"/>
      <w:r w:rsidRPr="00315B8A">
        <w:t xml:space="preserve">2021) 420 </w:t>
      </w:r>
      <w:proofErr w:type="spellStart"/>
      <w:r w:rsidRPr="00315B8A">
        <w:t>final</w:t>
      </w:r>
      <w:proofErr w:type="spellEnd"/>
      <w:r w:rsidRPr="00315B8A">
        <w:t>].</w:t>
      </w:r>
    </w:p>
    <w:p w:rsidR="00F20D6F" w:rsidRPr="00315B8A" w:rsidRDefault="00F20D6F" w:rsidP="00AF56F2">
      <w:pPr>
        <w:pStyle w:val="Text2"/>
        <w:spacing w:line="360" w:lineRule="auto"/>
        <w:jc w:val="left"/>
        <w:rPr>
          <w:noProof/>
        </w:rPr>
      </w:pPr>
      <w:r w:rsidRPr="00315B8A">
        <w:t>**</w:t>
      </w:r>
      <w:r w:rsidRPr="00315B8A">
        <w:tab/>
        <w:t xml:space="preserve">[Lisätään täydellinen viite – ehdotus rahanpesun vastaiseksi asetukseksi – </w:t>
      </w:r>
      <w:proofErr w:type="gramStart"/>
      <w:r w:rsidRPr="00315B8A">
        <w:t>COM(</w:t>
      </w:r>
      <w:proofErr w:type="gramEnd"/>
      <w:r w:rsidRPr="00315B8A">
        <w:t xml:space="preserve">2021) 420 </w:t>
      </w:r>
      <w:proofErr w:type="spellStart"/>
      <w:r w:rsidRPr="00315B8A">
        <w:t>final</w:t>
      </w:r>
      <w:proofErr w:type="spellEnd"/>
      <w:r w:rsidRPr="00315B8A">
        <w:t>].”</w:t>
      </w:r>
    </w:p>
    <w:p w:rsidR="00F20D6F" w:rsidRPr="00315B8A" w:rsidRDefault="00F20D6F" w:rsidP="00AF56F2">
      <w:pPr>
        <w:pStyle w:val="Point0"/>
        <w:spacing w:line="360" w:lineRule="auto"/>
        <w:jc w:val="left"/>
        <w:rPr>
          <w:noProof/>
        </w:rPr>
      </w:pPr>
      <w:r w:rsidRPr="00315B8A">
        <w:t>3)</w:t>
      </w:r>
      <w:r w:rsidRPr="00315B8A">
        <w:tab/>
        <w:t xml:space="preserve">Muutetaan 4 artikla seuraavasti: </w:t>
      </w:r>
    </w:p>
    <w:p w:rsidR="00F20D6F" w:rsidRPr="00315B8A" w:rsidRDefault="00F20D6F" w:rsidP="00AF56F2">
      <w:pPr>
        <w:pStyle w:val="Point1"/>
        <w:spacing w:line="360" w:lineRule="auto"/>
        <w:jc w:val="left"/>
        <w:rPr>
          <w:b/>
          <w:i/>
        </w:rPr>
      </w:pPr>
      <w:r w:rsidRPr="00315B8A">
        <w:rPr>
          <w:b/>
          <w:i/>
        </w:rPr>
        <w:t xml:space="preserve">-a) </w:t>
      </w:r>
      <w:r w:rsidRPr="00315B8A">
        <w:rPr>
          <w:b/>
          <w:i/>
        </w:rPr>
        <w:tab/>
        <w:t>korvataan 2 kohta seuraavasti:</w:t>
      </w:r>
    </w:p>
    <w:p w:rsidR="00F20D6F" w:rsidRPr="00315B8A" w:rsidRDefault="00F20D6F" w:rsidP="00AF56F2">
      <w:pPr>
        <w:pStyle w:val="Point1"/>
        <w:spacing w:line="360" w:lineRule="auto"/>
        <w:ind w:firstLine="1"/>
        <w:jc w:val="left"/>
        <w:rPr>
          <w:b/>
          <w:i/>
        </w:rPr>
      </w:pPr>
      <w:r w:rsidRPr="00315B8A">
        <w:rPr>
          <w:b/>
          <w:i/>
        </w:rPr>
        <w:t>”2. Tämän direktiivin 1 artiklan 2 kohdan b alakohdassa tarkoitettu sopimusperusteinen järjestelmä voidaan virallisesti hyväksyä talletusten vakuusjärjestelmäksi, jos se on tämän direktiivin mukainen.</w:t>
      </w:r>
    </w:p>
    <w:p w:rsidR="00F20D6F" w:rsidRPr="00315B8A" w:rsidRDefault="00F20D6F" w:rsidP="00AF56F2">
      <w:pPr>
        <w:pStyle w:val="Point1"/>
        <w:spacing w:line="360" w:lineRule="auto"/>
        <w:ind w:firstLine="1"/>
        <w:jc w:val="left"/>
        <w:rPr>
          <w:b/>
          <w:i/>
        </w:rPr>
      </w:pPr>
      <w:r w:rsidRPr="00315B8A">
        <w:rPr>
          <w:b/>
          <w:i/>
        </w:rPr>
        <w:t xml:space="preserve">Laitosten suojajärjestelmä voidaan virallisesti hyväksyä talletusten vakuusjärjestelmäksi, jos se täyttää asetuksen (EU) </w:t>
      </w:r>
      <w:proofErr w:type="gramStart"/>
      <w:r w:rsidRPr="00315B8A">
        <w:rPr>
          <w:b/>
          <w:i/>
        </w:rPr>
        <w:t>N:o</w:t>
      </w:r>
      <w:proofErr w:type="gramEnd"/>
      <w:r w:rsidRPr="00315B8A">
        <w:rPr>
          <w:b/>
          <w:i/>
        </w:rPr>
        <w:t> 575/2013 113 artiklan 7 kohdassa vahvistetut edellytykset ja on tämän direktiivin mukainen.</w:t>
      </w:r>
    </w:p>
    <w:p w:rsidR="00F20D6F" w:rsidRPr="00315B8A" w:rsidRDefault="00F20D6F" w:rsidP="00AF56F2">
      <w:pPr>
        <w:pStyle w:val="Point1"/>
        <w:spacing w:line="360" w:lineRule="auto"/>
        <w:ind w:firstLine="1"/>
        <w:jc w:val="left"/>
        <w:rPr>
          <w:b/>
          <w:i/>
        </w:rPr>
      </w:pPr>
      <w:r w:rsidRPr="00315B8A">
        <w:rPr>
          <w:b/>
          <w:i/>
        </w:rPr>
        <w:t>Jäsenvaltioiden on varmistettava, että [36 kuukauden kuluttua tämän muutosdirektiivin voimaantulopäivästä] mennessä laitosten suojajärjestelmä, joka on hyväksytty talletusten vakuusjärjestelmäksi tämän kohdan nojalla, erottaa käytettävissä olevat rahoitusvaransa, joihin sovelletaan tavoitetasoa tämän direktiivin 10 artiklan 2 kohdan mukaisesti, muista varoista, jotka on tarkoitettu muiden toimeksiantojen kuin tämän direktiivin mukaisen toimeksiannon täyttämiseen.”;</w:t>
      </w:r>
    </w:p>
    <w:p w:rsidR="00F20D6F" w:rsidRPr="00315B8A" w:rsidRDefault="00F20D6F" w:rsidP="00AF56F2">
      <w:pPr>
        <w:pStyle w:val="Point1"/>
        <w:spacing w:line="360" w:lineRule="auto"/>
        <w:jc w:val="left"/>
        <w:rPr>
          <w:noProof/>
        </w:rPr>
      </w:pPr>
      <w:r w:rsidRPr="00315B8A">
        <w:t>a)</w:t>
      </w:r>
      <w:r w:rsidRPr="00315B8A">
        <w:tab/>
        <w:t>korvataan 4 kohta seuraavasti:</w:t>
      </w:r>
    </w:p>
    <w:p w:rsidR="00F20D6F" w:rsidRPr="00315B8A" w:rsidRDefault="00F20D6F" w:rsidP="00AF56F2">
      <w:pPr>
        <w:pStyle w:val="Text2"/>
        <w:spacing w:line="360" w:lineRule="auto"/>
        <w:jc w:val="left"/>
        <w:rPr>
          <w:noProof/>
        </w:rPr>
      </w:pPr>
      <w:r w:rsidRPr="00315B8A">
        <w:t xml:space="preserve">”4. Jäsenvaltioiden on varmistettava, että jos luottolaitos ei täytä sille tietyn talletusten vakuusjärjestelmän jäsenenä kuuluvia velvoitteita, kyseinen talletusten vakuusjärjestelmä ilmoittaa tästä heti kyseisen luottolaitoksen </w:t>
      </w:r>
      <w:r w:rsidRPr="00315B8A">
        <w:rPr>
          <w:b/>
          <w:i/>
        </w:rPr>
        <w:t>nimetylle viranomaiselle</w:t>
      </w:r>
      <w:r w:rsidRPr="00315B8A">
        <w:t xml:space="preserve"> ja toimivaltaiselle viranomaiselle. </w:t>
      </w:r>
    </w:p>
    <w:p w:rsidR="00F20D6F" w:rsidRPr="00315B8A" w:rsidRDefault="00F20D6F" w:rsidP="00AF56F2">
      <w:pPr>
        <w:pStyle w:val="Text2"/>
        <w:spacing w:line="360" w:lineRule="auto"/>
        <w:jc w:val="left"/>
        <w:rPr>
          <w:noProof/>
        </w:rPr>
      </w:pPr>
      <w:r w:rsidRPr="00315B8A">
        <w:t>Jäsenvaltioiden on varmistettava, että toimivaltainen viranomainen</w:t>
      </w:r>
      <w:r w:rsidRPr="00315B8A">
        <w:rPr>
          <w:b/>
          <w:i/>
          <w:color w:val="000000"/>
        </w:rPr>
        <w:t xml:space="preserve"> yhteistyössä nimetyn viranomaisen kanssa</w:t>
      </w:r>
      <w:r w:rsidRPr="00315B8A">
        <w:t xml:space="preserve"> toteuttaa viivyttelemättä </w:t>
      </w:r>
      <w:r w:rsidRPr="00315B8A">
        <w:rPr>
          <w:b/>
          <w:i/>
          <w:color w:val="000000"/>
        </w:rPr>
        <w:t xml:space="preserve">kaikki </w:t>
      </w:r>
      <w:r w:rsidRPr="00315B8A">
        <w:rPr>
          <w:b/>
          <w:i/>
          <w:color w:val="000000"/>
        </w:rPr>
        <w:lastRenderedPageBreak/>
        <w:t>asiaankuuluvat toimenpiteet, mukaan lukien tarvittaessa seuraamusten määrääminen,</w:t>
      </w:r>
      <w:r w:rsidRPr="00315B8A">
        <w:t xml:space="preserve"> sen takaamiseksi, että asianomainen luottolaitos täyttää velvoitteensa </w:t>
      </w:r>
      <w:r w:rsidRPr="00315B8A">
        <w:rPr>
          <w:b/>
          <w:i/>
          <w:color w:val="000000"/>
        </w:rPr>
        <w:t>talletusten vakuusjärjestelmän jäsenenä.</w:t>
      </w:r>
      <w:r w:rsidRPr="00315B8A">
        <w:rPr>
          <w:rFonts w:ascii="Arial" w:hAnsi="Arial"/>
        </w:rPr>
        <w:t xml:space="preserve"> ▌</w:t>
      </w:r>
    </w:p>
    <w:p w:rsidR="00F20D6F" w:rsidRPr="00315B8A" w:rsidRDefault="00F20D6F" w:rsidP="00AF56F2">
      <w:pPr>
        <w:pStyle w:val="Text2"/>
        <w:spacing w:line="360" w:lineRule="auto"/>
        <w:jc w:val="left"/>
        <w:rPr>
          <w:noProof/>
        </w:rPr>
      </w:pPr>
      <w:r w:rsidRPr="00315B8A">
        <w:rPr>
          <w:b/>
          <w:i/>
          <w:color w:val="000000"/>
        </w:rPr>
        <w:t xml:space="preserve">Jäsenvaltioiden on vahvistettava säännöt seuraamuksista, joita sovelletaan tapauksissa, joissa luottolaitos ei täytä sille talletusten vakuusjärjestelmän jäsenenä kuuluvia velvoitteita. </w:t>
      </w:r>
      <w:r w:rsidRPr="00315B8A">
        <w:rPr>
          <w:b/>
          <w:i/>
        </w:rPr>
        <w:t>Seuraamusten on oltava tehokkaita, oikeasuhteisia ja varoittavia.</w:t>
      </w:r>
      <w:r w:rsidRPr="00315B8A">
        <w:t>”;</w:t>
      </w:r>
    </w:p>
    <w:p w:rsidR="00F20D6F" w:rsidRPr="00315B8A" w:rsidRDefault="00F20D6F" w:rsidP="00AF56F2">
      <w:pPr>
        <w:pStyle w:val="Point1"/>
        <w:spacing w:line="360" w:lineRule="auto"/>
        <w:jc w:val="left"/>
        <w:rPr>
          <w:noProof/>
        </w:rPr>
      </w:pPr>
      <w:r w:rsidRPr="00315B8A">
        <w:t>b)</w:t>
      </w:r>
      <w:r w:rsidRPr="00315B8A">
        <w:tab/>
        <w:t>lisätään 4 a kohta seuraavasti:</w:t>
      </w:r>
    </w:p>
    <w:p w:rsidR="00F20D6F" w:rsidRPr="00315B8A" w:rsidRDefault="00F20D6F" w:rsidP="00AF56F2">
      <w:pPr>
        <w:pStyle w:val="Text2"/>
        <w:spacing w:line="360" w:lineRule="auto"/>
        <w:jc w:val="left"/>
        <w:rPr>
          <w:noProof/>
        </w:rPr>
      </w:pPr>
      <w:r w:rsidRPr="00315B8A">
        <w:t>”4 a. ”4 a. Jäsenvaltioiden on varmistettava, että jos luottolaitos ei maksa 10 artiklassa ja 11 artiklan 4 kohdassa tarkoitettuja kannatusmaksuja talletusten vakuusjärjestelmän määrittämässä määräajassa, kyseinen talletusten vakuusjärjestelmä veloittaa erääntyneestä määrästä lakisääteisen koron viivästysajalta.”;</w:t>
      </w:r>
    </w:p>
    <w:p w:rsidR="00F20D6F" w:rsidRPr="00315B8A" w:rsidRDefault="00F20D6F" w:rsidP="00AF56F2">
      <w:pPr>
        <w:pStyle w:val="Point1"/>
        <w:spacing w:line="360" w:lineRule="auto"/>
        <w:jc w:val="left"/>
        <w:rPr>
          <w:noProof/>
        </w:rPr>
      </w:pPr>
      <w:r w:rsidRPr="00315B8A">
        <w:t>c)</w:t>
      </w:r>
      <w:r w:rsidRPr="00315B8A">
        <w:tab/>
        <w:t>korvataan 5 ja 6 kohta seuraavasti:</w:t>
      </w:r>
    </w:p>
    <w:p w:rsidR="00F20D6F" w:rsidRPr="00315B8A" w:rsidRDefault="00F20D6F" w:rsidP="00AF56F2">
      <w:pPr>
        <w:pStyle w:val="Text2"/>
        <w:spacing w:line="360" w:lineRule="auto"/>
        <w:jc w:val="left"/>
        <w:rPr>
          <w:noProof/>
        </w:rPr>
      </w:pPr>
      <w:r w:rsidRPr="00315B8A">
        <w:t>”5. Jäsenvaltioiden on varmistettava, että talletusten vakuusjärjestelmä ilmoittaa nimetylle viranomaiselle, jos 4 ja 4 a kohdassa tarkoitetuilla toimenpiteillä ei pystytä varmistamaan, että luottolaitos täyttää jälleen velvoitteensa. Jäsenvaltioiden on varmistettava, että nimetty viranomainen arvioi, täyttääkö laitos edelleen talletusten vakuusjärjestelmän jäsenyyden jatkumisen ehdot, ja ilmoittaa toimivaltaiselle viranomaiselle kyseisen arvioinnin tuloksesta.</w:t>
      </w:r>
    </w:p>
    <w:p w:rsidR="00F20D6F" w:rsidRPr="00315B8A" w:rsidRDefault="00F20D6F" w:rsidP="00AF56F2">
      <w:pPr>
        <w:pStyle w:val="Text2"/>
        <w:spacing w:line="360" w:lineRule="auto"/>
        <w:jc w:val="left"/>
        <w:rPr>
          <w:noProof/>
        </w:rPr>
      </w:pPr>
      <w:r w:rsidRPr="00315B8A">
        <w:t xml:space="preserve">6. Jäsenvaltioiden on varmistettava, että jos toimivaltainen viranomainen päättää peruuttaa toimiluvan direktiivin 2013/36/EU 18 artiklan mukaisesti, luottolaitos lakkaa olemasta talletusten vakuusjärjestelmän jäsen. Jäsenvaltioiden on varmistettava, että talletukset, jotka ovat luottolaitoksen hallussa päivänä, jona luottolaitos lakkasi olemasta talletusten vakuusjärjestelmän jäsen, kuuluvat edelleen kyseiseen talletusten vakuusjärjestelmään </w:t>
      </w:r>
      <w:r w:rsidRPr="00315B8A">
        <w:rPr>
          <w:b/>
          <w:i/>
          <w:color w:val="000000"/>
        </w:rPr>
        <w:t>enintään kuuden kuukauden ajan</w:t>
      </w:r>
      <w:r w:rsidRPr="00315B8A">
        <w:t>.”;</w:t>
      </w:r>
    </w:p>
    <w:p w:rsidR="00F20D6F" w:rsidRPr="00315B8A" w:rsidRDefault="00F20D6F" w:rsidP="00AF56F2">
      <w:pPr>
        <w:widowControl/>
        <w:autoSpaceDE w:val="0"/>
        <w:autoSpaceDN w:val="0"/>
        <w:adjustRightInd w:val="0"/>
        <w:spacing w:after="120" w:line="360" w:lineRule="auto"/>
        <w:ind w:left="130" w:firstLine="720"/>
        <w:rPr>
          <w:b/>
          <w:i/>
          <w:color w:val="000000"/>
        </w:rPr>
      </w:pPr>
      <w:r w:rsidRPr="00315B8A">
        <w:rPr>
          <w:b/>
          <w:i/>
          <w:color w:val="000000"/>
        </w:rPr>
        <w:t>c a)</w:t>
      </w:r>
      <w:r w:rsidRPr="00315B8A">
        <w:rPr>
          <w:b/>
          <w:i/>
          <w:color w:val="000000"/>
        </w:rPr>
        <w:tab/>
        <w:t>lisätään 7 kohtaan alakohta seuraavasti:</w:t>
      </w:r>
    </w:p>
    <w:p w:rsidR="00F20D6F" w:rsidRPr="00315B8A" w:rsidRDefault="00F20D6F" w:rsidP="00AF56F2">
      <w:pPr>
        <w:pStyle w:val="Text2"/>
        <w:spacing w:line="360" w:lineRule="auto"/>
        <w:jc w:val="left"/>
        <w:rPr>
          <w:noProof/>
        </w:rPr>
      </w:pPr>
      <w:r w:rsidRPr="00315B8A">
        <w:rPr>
          <w:b/>
          <w:i/>
          <w:color w:val="000000"/>
        </w:rPr>
        <w:t xml:space="preserve">”Jos talletusten vakuusjärjestelmä rikkoo tätä direktiiviä, nimetyillä viranomaisilla on oltava tarvittavat täytäntöönpanovaltuudet, mukaan lukien </w:t>
      </w:r>
      <w:r w:rsidRPr="00315B8A">
        <w:rPr>
          <w:b/>
          <w:i/>
          <w:color w:val="000000"/>
        </w:rPr>
        <w:lastRenderedPageBreak/>
        <w:t>valtuudet määrätä seuraamuksia tai muita hallinnollisia toimenpiteitä, tämän rikkomisen korjaamiseksi.”;</w:t>
      </w:r>
    </w:p>
    <w:p w:rsidR="00F20D6F" w:rsidRPr="00315B8A" w:rsidRDefault="00F20D6F" w:rsidP="00AF56F2">
      <w:pPr>
        <w:pStyle w:val="Point1"/>
        <w:spacing w:line="360" w:lineRule="auto"/>
        <w:jc w:val="left"/>
        <w:rPr>
          <w:noProof/>
        </w:rPr>
      </w:pPr>
      <w:r w:rsidRPr="00315B8A">
        <w:t>d)</w:t>
      </w:r>
      <w:r w:rsidRPr="00315B8A">
        <w:tab/>
        <w:t>kumotaan 8 kohta;</w:t>
      </w:r>
    </w:p>
    <w:p w:rsidR="00F20D6F" w:rsidRPr="00315B8A" w:rsidRDefault="00F20D6F" w:rsidP="00AF56F2">
      <w:pPr>
        <w:pStyle w:val="Point1"/>
        <w:spacing w:line="360" w:lineRule="auto"/>
        <w:jc w:val="left"/>
        <w:rPr>
          <w:noProof/>
        </w:rPr>
      </w:pPr>
      <w:r w:rsidRPr="00315B8A">
        <w:t>e)</w:t>
      </w:r>
      <w:r w:rsidRPr="00315B8A">
        <w:tab/>
        <w:t>lisätään 13 kohta seuraavasti:</w:t>
      </w:r>
    </w:p>
    <w:p w:rsidR="00F20D6F" w:rsidRPr="00315B8A" w:rsidRDefault="00F20D6F" w:rsidP="00AF56F2">
      <w:pPr>
        <w:pStyle w:val="Text2"/>
        <w:spacing w:line="360" w:lineRule="auto"/>
        <w:jc w:val="left"/>
        <w:rPr>
          <w:noProof/>
        </w:rPr>
      </w:pPr>
      <w:r w:rsidRPr="00315B8A">
        <w:t xml:space="preserve">”13. </w:t>
      </w:r>
      <w:r w:rsidRPr="00315B8A">
        <w:rPr>
          <w:rFonts w:ascii="Arial" w:hAnsi="Arial"/>
        </w:rPr>
        <w:t>▌</w:t>
      </w:r>
      <w:r w:rsidRPr="00315B8A">
        <w:t xml:space="preserve"> EPV laatii </w:t>
      </w:r>
      <w:r w:rsidRPr="00315B8A">
        <w:rPr>
          <w:b/>
          <w:i/>
        </w:rPr>
        <w:t>luonnoksen teknisistä sääntelystandardeista</w:t>
      </w:r>
      <w:r w:rsidRPr="00315B8A">
        <w:t>, jotka koskevat 10 kohdassa tarkoitettujen stressitestien soveltamisalaa, sisältöä ja menettelyjä.</w:t>
      </w:r>
    </w:p>
    <w:p w:rsidR="00F20D6F" w:rsidRPr="00315B8A" w:rsidRDefault="00F20D6F" w:rsidP="00AF56F2">
      <w:pPr>
        <w:pStyle w:val="Text1"/>
        <w:spacing w:line="360" w:lineRule="auto"/>
        <w:ind w:left="1418"/>
        <w:jc w:val="left"/>
        <w:rPr>
          <w:b/>
          <w:i/>
          <w:color w:val="000000"/>
        </w:rPr>
      </w:pPr>
      <w:r w:rsidRPr="00315B8A">
        <w:rPr>
          <w:b/>
          <w:i/>
          <w:color w:val="000000"/>
        </w:rPr>
        <w:t>EPV toimittaa nämä teknisten sääntelystandardien luonnokset komissiolle viimeistään … päivänä …kuuta … [24 kuukauden kuluttua tämän muutosdirektiivin voimaantulopäivästä].</w:t>
      </w:r>
    </w:p>
    <w:p w:rsidR="00F20D6F" w:rsidRPr="00315B8A" w:rsidRDefault="00F20D6F" w:rsidP="00AF56F2">
      <w:pPr>
        <w:pStyle w:val="Text2"/>
        <w:spacing w:line="360" w:lineRule="auto"/>
        <w:jc w:val="left"/>
        <w:rPr>
          <w:noProof/>
        </w:rPr>
      </w:pPr>
      <w:r w:rsidRPr="00315B8A">
        <w:rPr>
          <w:b/>
          <w:i/>
          <w:color w:val="000000"/>
        </w:rPr>
        <w:t xml:space="preserve">Siirretään komissiolle valta täydentää tätä direktiiviä hyväksymällä tämän kohdan ensimmäisessä alakohdassa tarkoitetut tekniset sääntelystandardit asetuksen (EU) </w:t>
      </w:r>
      <w:proofErr w:type="gramStart"/>
      <w:r w:rsidRPr="00315B8A">
        <w:rPr>
          <w:b/>
          <w:i/>
          <w:color w:val="000000"/>
        </w:rPr>
        <w:t>N:o</w:t>
      </w:r>
      <w:proofErr w:type="gramEnd"/>
      <w:r w:rsidRPr="00315B8A">
        <w:rPr>
          <w:b/>
          <w:i/>
          <w:color w:val="000000"/>
        </w:rPr>
        <w:t> 1093/2010 10–14 artiklan mukaisesti.</w:t>
      </w:r>
      <w:r w:rsidRPr="00315B8A">
        <w:rPr>
          <w:color w:val="000000"/>
        </w:rPr>
        <w:t>”;</w:t>
      </w:r>
    </w:p>
    <w:p w:rsidR="00F20D6F" w:rsidRPr="00315B8A" w:rsidRDefault="00F20D6F" w:rsidP="00AF56F2">
      <w:pPr>
        <w:pStyle w:val="Point0"/>
        <w:spacing w:line="360" w:lineRule="auto"/>
        <w:jc w:val="left"/>
        <w:rPr>
          <w:noProof/>
        </w:rPr>
      </w:pPr>
      <w:r w:rsidRPr="00315B8A">
        <w:t>4)</w:t>
      </w:r>
      <w:r w:rsidRPr="00315B8A">
        <w:tab/>
        <w:t xml:space="preserve">Muutetaan 5 artikla seuraavasti: </w:t>
      </w:r>
    </w:p>
    <w:p w:rsidR="00F20D6F" w:rsidRPr="00315B8A" w:rsidRDefault="00F20D6F" w:rsidP="00AF56F2">
      <w:pPr>
        <w:pStyle w:val="Point1"/>
        <w:spacing w:line="360" w:lineRule="auto"/>
        <w:jc w:val="left"/>
        <w:rPr>
          <w:noProof/>
        </w:rPr>
      </w:pPr>
      <w:r w:rsidRPr="00315B8A">
        <w:t>a)</w:t>
      </w:r>
      <w:r w:rsidRPr="00315B8A">
        <w:tab/>
        <w:t>muutetaan 1 kohta seuraavasti:</w:t>
      </w:r>
    </w:p>
    <w:p w:rsidR="00F20D6F" w:rsidRPr="00315B8A" w:rsidRDefault="00F20D6F" w:rsidP="00AF56F2">
      <w:pPr>
        <w:pStyle w:val="Point2"/>
        <w:spacing w:line="360" w:lineRule="auto"/>
        <w:jc w:val="left"/>
        <w:rPr>
          <w:noProof/>
        </w:rPr>
      </w:pPr>
      <w:r w:rsidRPr="00315B8A">
        <w:t>i)</w:t>
      </w:r>
      <w:r w:rsidRPr="00315B8A">
        <w:tab/>
        <w:t>korvataan johdantokappale seuraavasti:</w:t>
      </w:r>
    </w:p>
    <w:p w:rsidR="00F20D6F" w:rsidRPr="00315B8A" w:rsidRDefault="00F20D6F" w:rsidP="00AF56F2">
      <w:pPr>
        <w:pStyle w:val="Text3"/>
        <w:spacing w:line="360" w:lineRule="auto"/>
        <w:jc w:val="left"/>
        <w:rPr>
          <w:noProof/>
        </w:rPr>
      </w:pPr>
      <w:r w:rsidRPr="00315B8A">
        <w:t>”1. Seuraavista ei saa korvausta talletusten vakuusjärjestelmiltä:”;</w:t>
      </w:r>
    </w:p>
    <w:p w:rsidR="00F20D6F" w:rsidRPr="00315B8A" w:rsidRDefault="00F20D6F" w:rsidP="00AF56F2">
      <w:pPr>
        <w:pStyle w:val="Point2"/>
        <w:spacing w:line="360" w:lineRule="auto"/>
        <w:jc w:val="left"/>
        <w:rPr>
          <w:noProof/>
        </w:rPr>
      </w:pPr>
      <w:r w:rsidRPr="00315B8A">
        <w:t>ii)</w:t>
      </w:r>
      <w:r w:rsidRPr="00315B8A">
        <w:tab/>
        <w:t>korvataan c alakohta seuraavasti:</w:t>
      </w:r>
    </w:p>
    <w:p w:rsidR="00F20D6F" w:rsidRPr="00315B8A" w:rsidRDefault="00F20D6F" w:rsidP="00AF56F2">
      <w:pPr>
        <w:pStyle w:val="Text3"/>
        <w:spacing w:line="360" w:lineRule="auto"/>
        <w:jc w:val="left"/>
        <w:rPr>
          <w:noProof/>
        </w:rPr>
      </w:pPr>
      <w:r w:rsidRPr="00315B8A">
        <w:t>”c) talletukset, jotka perustuvat liiketoimiin, joihin liittyen on annettu rikostuomio rahanpesusta ja terrorismin rahoituksesta;”;</w:t>
      </w:r>
    </w:p>
    <w:p w:rsidR="00F20D6F" w:rsidRPr="00315B8A" w:rsidRDefault="00F20D6F" w:rsidP="00AF56F2">
      <w:pPr>
        <w:pStyle w:val="Point2"/>
        <w:spacing w:line="360" w:lineRule="auto"/>
        <w:jc w:val="left"/>
        <w:rPr>
          <w:noProof/>
        </w:rPr>
      </w:pPr>
      <w:r w:rsidRPr="00315B8A">
        <w:t>▌</w:t>
      </w:r>
    </w:p>
    <w:p w:rsidR="00F20D6F" w:rsidRPr="00315B8A" w:rsidRDefault="00F20D6F" w:rsidP="00AF56F2">
      <w:pPr>
        <w:pStyle w:val="Point2"/>
        <w:spacing w:line="360" w:lineRule="auto"/>
        <w:jc w:val="left"/>
        <w:rPr>
          <w:noProof/>
        </w:rPr>
      </w:pPr>
      <w:r w:rsidRPr="00315B8A">
        <w:t>iv)</w:t>
      </w:r>
      <w:r w:rsidRPr="00315B8A">
        <w:tab/>
        <w:t>korvataan f alakohta seuraavasti:</w:t>
      </w:r>
    </w:p>
    <w:p w:rsidR="00F20D6F" w:rsidRPr="00315B8A" w:rsidRDefault="00F20D6F" w:rsidP="00AF56F2">
      <w:pPr>
        <w:pStyle w:val="Text3"/>
        <w:spacing w:line="360" w:lineRule="auto"/>
        <w:jc w:val="left"/>
        <w:rPr>
          <w:noProof/>
        </w:rPr>
      </w:pPr>
      <w:r w:rsidRPr="00315B8A">
        <w:t xml:space="preserve">”f) talletukset, joiden haltijan henkilöllisyyttä ei ole koskaan todennettu asetuksen (EU) …/… [lisätään lyhyt viite – ehdotus rahanpesun vastaiseksi asetukseksi – </w:t>
      </w:r>
      <w:proofErr w:type="gramStart"/>
      <w:r w:rsidRPr="00315B8A">
        <w:t>COM(</w:t>
      </w:r>
      <w:proofErr w:type="gramEnd"/>
      <w:r w:rsidRPr="00315B8A">
        <w:t xml:space="preserve">2021) 420 </w:t>
      </w:r>
      <w:proofErr w:type="spellStart"/>
      <w:r w:rsidRPr="00315B8A">
        <w:t>final</w:t>
      </w:r>
      <w:proofErr w:type="spellEnd"/>
      <w:r w:rsidRPr="00315B8A">
        <w:t>] 16 artiklan mukaisesti, kun kyseisiä talletuksia ei kyetä maksamaan, paitsi jos haltija pyytää korvauksen maksamista ja todistaa, ettei henkilöllisyyden todentamatta jättäminen johtunut hänen toiminnastaan;”;</w:t>
      </w:r>
    </w:p>
    <w:p w:rsidR="00F20D6F" w:rsidRPr="00315B8A" w:rsidRDefault="00F20D6F" w:rsidP="00AF56F2">
      <w:pPr>
        <w:pStyle w:val="Point2"/>
        <w:spacing w:line="360" w:lineRule="auto"/>
        <w:jc w:val="left"/>
        <w:rPr>
          <w:noProof/>
        </w:rPr>
      </w:pPr>
      <w:r w:rsidRPr="00315B8A">
        <w:t>v)</w:t>
      </w:r>
      <w:r w:rsidRPr="00315B8A">
        <w:tab/>
        <w:t xml:space="preserve">kumotaan j alakohta; </w:t>
      </w:r>
    </w:p>
    <w:p w:rsidR="00F20D6F" w:rsidRPr="00315B8A" w:rsidRDefault="00F20D6F" w:rsidP="00AF56F2">
      <w:pPr>
        <w:widowControl/>
        <w:autoSpaceDE w:val="0"/>
        <w:autoSpaceDN w:val="0"/>
        <w:adjustRightInd w:val="0"/>
        <w:spacing w:after="120" w:line="360" w:lineRule="auto"/>
        <w:ind w:left="1418"/>
        <w:rPr>
          <w:b/>
          <w:i/>
          <w:color w:val="000000"/>
        </w:rPr>
      </w:pPr>
      <w:r w:rsidRPr="00315B8A">
        <w:rPr>
          <w:b/>
          <w:i/>
          <w:color w:val="000000"/>
        </w:rPr>
        <w:t xml:space="preserve">v a) </w:t>
      </w:r>
      <w:r w:rsidRPr="00315B8A">
        <w:rPr>
          <w:b/>
          <w:i/>
          <w:color w:val="000000"/>
        </w:rPr>
        <w:tab/>
        <w:t>lisätään alakohta seuraavasti:</w:t>
      </w:r>
    </w:p>
    <w:p w:rsidR="00F20D6F" w:rsidRPr="00315B8A" w:rsidRDefault="00F20D6F" w:rsidP="00AF56F2">
      <w:pPr>
        <w:pStyle w:val="Point2"/>
        <w:spacing w:line="360" w:lineRule="auto"/>
        <w:ind w:firstLine="1"/>
        <w:jc w:val="left"/>
        <w:rPr>
          <w:noProof/>
        </w:rPr>
      </w:pPr>
      <w:r w:rsidRPr="00315B8A">
        <w:rPr>
          <w:b/>
          <w:i/>
          <w:color w:val="000000"/>
        </w:rPr>
        <w:lastRenderedPageBreak/>
        <w:t>” k a) unionin hyväksymien kohdennettujen talouspakotteiden kohteena olevien henkilöiden tai oikeushenkilöiden talletukset.”;</w:t>
      </w:r>
    </w:p>
    <w:p w:rsidR="00F20D6F" w:rsidRPr="00315B8A" w:rsidRDefault="00F20D6F" w:rsidP="00AF56F2">
      <w:pPr>
        <w:pStyle w:val="Point1"/>
        <w:spacing w:line="360" w:lineRule="auto"/>
        <w:jc w:val="left"/>
        <w:rPr>
          <w:noProof/>
        </w:rPr>
      </w:pPr>
      <w:r w:rsidRPr="00315B8A">
        <w:t>b)</w:t>
      </w:r>
      <w:r w:rsidRPr="00315B8A">
        <w:tab/>
        <w:t>korvataan 2 kohta seuraavasti:</w:t>
      </w:r>
    </w:p>
    <w:p w:rsidR="00F20D6F" w:rsidRPr="00315B8A" w:rsidRDefault="00F20D6F" w:rsidP="00AF56F2">
      <w:pPr>
        <w:pStyle w:val="Text2"/>
        <w:spacing w:line="360" w:lineRule="auto"/>
        <w:jc w:val="left"/>
        <w:rPr>
          <w:noProof/>
        </w:rPr>
      </w:pPr>
      <w:r w:rsidRPr="00315B8A">
        <w:t>”2. Poiketen siitä, mitä 1 kohdan i alakohdassa säädetään, jäsenvaltiot voivat päättää, että 6 artiklan 1 kohdassa vahvistetun talletussuojan tason puitteissa suojakelpoisiksi luetaan henkilökohtaisiin eläkejärjestelmiin tai pienten ja keskisuurten yritysten ammatillisiin lisäeläkejärjestelmiin tehdyt talletukset.”</w:t>
      </w:r>
    </w:p>
    <w:p w:rsidR="00F20D6F" w:rsidRPr="00315B8A" w:rsidRDefault="00F20D6F" w:rsidP="00AF56F2">
      <w:pPr>
        <w:pStyle w:val="Point0"/>
        <w:spacing w:line="360" w:lineRule="auto"/>
        <w:jc w:val="left"/>
        <w:rPr>
          <w:noProof/>
        </w:rPr>
      </w:pPr>
      <w:r w:rsidRPr="00315B8A">
        <w:t>5)</w:t>
      </w:r>
      <w:r w:rsidRPr="00315B8A">
        <w:tab/>
        <w:t>Muutetaan 6 artikla seuraavasti:</w:t>
      </w:r>
    </w:p>
    <w:p w:rsidR="00F20D6F" w:rsidRPr="00315B8A" w:rsidRDefault="00F20D6F" w:rsidP="00AF56F2">
      <w:pPr>
        <w:pStyle w:val="Point1"/>
        <w:spacing w:line="360" w:lineRule="auto"/>
        <w:jc w:val="left"/>
        <w:rPr>
          <w:noProof/>
        </w:rPr>
      </w:pPr>
      <w:r w:rsidRPr="00315B8A">
        <w:t>a)</w:t>
      </w:r>
      <w:r w:rsidRPr="00315B8A">
        <w:tab/>
        <w:t>muutetaan 2 kohta seuraavasti:</w:t>
      </w:r>
    </w:p>
    <w:p w:rsidR="00F20D6F" w:rsidRPr="00315B8A" w:rsidRDefault="00F20D6F" w:rsidP="00AF56F2">
      <w:pPr>
        <w:pStyle w:val="Point2"/>
        <w:spacing w:line="360" w:lineRule="auto"/>
        <w:jc w:val="left"/>
        <w:rPr>
          <w:noProof/>
        </w:rPr>
      </w:pPr>
      <w:r w:rsidRPr="00315B8A">
        <w:t>i)</w:t>
      </w:r>
      <w:r w:rsidRPr="00315B8A">
        <w:tab/>
        <w:t>korvataan johdantokappale seuraavasti:</w:t>
      </w:r>
    </w:p>
    <w:p w:rsidR="00F20D6F" w:rsidRPr="00315B8A" w:rsidRDefault="00F20D6F" w:rsidP="00AF56F2">
      <w:pPr>
        <w:pStyle w:val="Text3"/>
        <w:spacing w:line="360" w:lineRule="auto"/>
        <w:jc w:val="left"/>
        <w:rPr>
          <w:noProof/>
        </w:rPr>
      </w:pPr>
      <w:r w:rsidRPr="00315B8A">
        <w:t>”Edellä 1 kohdassa säädetyn lisäksi jäsenvaltioiden on varmistettava, että seuraavien talletusten suoja on vähintään 500 000 euroa</w:t>
      </w:r>
      <w:r w:rsidRPr="00315B8A">
        <w:rPr>
          <w:b/>
          <w:i/>
        </w:rPr>
        <w:t xml:space="preserve"> ja enintään 2 500 000 euroa</w:t>
      </w:r>
      <w:r w:rsidRPr="00315B8A">
        <w:t xml:space="preserve"> kuuden kuukauden ajan siitä, kun kyseinen määrä on hyvitetty tai kun kyseiset talletukset ovat laillisesti siirrettävissä:”;</w:t>
      </w:r>
    </w:p>
    <w:p w:rsidR="00F20D6F" w:rsidRPr="00315B8A" w:rsidRDefault="00F20D6F" w:rsidP="00AF56F2">
      <w:pPr>
        <w:pStyle w:val="Point2"/>
        <w:spacing w:line="360" w:lineRule="auto"/>
        <w:jc w:val="left"/>
        <w:rPr>
          <w:noProof/>
        </w:rPr>
      </w:pPr>
      <w:r w:rsidRPr="00315B8A">
        <w:t>ii)</w:t>
      </w:r>
      <w:r w:rsidRPr="00315B8A">
        <w:tab/>
        <w:t>korvataan a alakohta seuraavasti:</w:t>
      </w:r>
    </w:p>
    <w:p w:rsidR="00F20D6F" w:rsidRPr="00315B8A" w:rsidRDefault="00F20D6F" w:rsidP="00AF56F2">
      <w:pPr>
        <w:pStyle w:val="Text3"/>
        <w:spacing w:line="360" w:lineRule="auto"/>
        <w:jc w:val="left"/>
        <w:rPr>
          <w:noProof/>
        </w:rPr>
      </w:pPr>
      <w:r w:rsidRPr="00315B8A">
        <w:t xml:space="preserve">”a) yksityisiin asuinkiinteistöihin liittyviin kiinteistökauppoihin liittyvät talletukset ja tällaisiin kauppoihin tarkoitetut talletukset, jos luonnollinen henkilö tekee nämä kaupat </w:t>
      </w:r>
      <w:r w:rsidRPr="00315B8A">
        <w:rPr>
          <w:b/>
          <w:i/>
        </w:rPr>
        <w:t>neljässä</w:t>
      </w:r>
      <w:r w:rsidRPr="00315B8A">
        <w:t xml:space="preserve"> kuukaudessa ja jos kyseinen luonnollinen henkilö voi toimittaa asiakirjat, jotka todistavat tällaisen kaupan;”;</w:t>
      </w:r>
    </w:p>
    <w:p w:rsidR="00F20D6F" w:rsidRPr="00315B8A" w:rsidRDefault="00F20D6F" w:rsidP="00AF56F2">
      <w:pPr>
        <w:pStyle w:val="Point2"/>
        <w:spacing w:line="360" w:lineRule="auto"/>
        <w:jc w:val="left"/>
        <w:rPr>
          <w:b/>
          <w:i/>
          <w:noProof/>
        </w:rPr>
      </w:pPr>
      <w:r w:rsidRPr="00315B8A">
        <w:rPr>
          <w:b/>
          <w:i/>
        </w:rPr>
        <w:t>ii a)</w:t>
      </w:r>
      <w:r w:rsidRPr="00315B8A">
        <w:rPr>
          <w:b/>
          <w:i/>
        </w:rPr>
        <w:tab/>
        <w:t>lisätään alakohta seuraavasti:</w:t>
      </w:r>
    </w:p>
    <w:p w:rsidR="00F20D6F" w:rsidRPr="00315B8A" w:rsidRDefault="00F20D6F" w:rsidP="00AF56F2">
      <w:pPr>
        <w:pStyle w:val="Text3"/>
        <w:spacing w:line="360" w:lineRule="auto"/>
        <w:jc w:val="left"/>
        <w:rPr>
          <w:noProof/>
        </w:rPr>
      </w:pPr>
      <w:r w:rsidRPr="00315B8A">
        <w:rPr>
          <w:b/>
          <w:i/>
        </w:rPr>
        <w:t>Komissio tarkastelee viimeistään ... päivänä ...kuuta ... [36 kuukauden kuluttua tämän muutosdirektiivin voimaantulopäivästä] uudelleen ensimmäisessä alakohdassa tarkoitettuja suojattuja määriä, sellaisina kuin jäsenvaltiot ovat saattaneet ne osaksi kansallista lainsäädäntöään, määrittääkseen, olisiko kyseisessä alakohdassa tarkoitettua enimmäismäärää alennettava, sekä tarkastelee, ovatko suojatut määrät oikeasuhteisia ja varmistavatko ne tasapuoliset toimintaedellytykset kaikkialla unionissa. Komissio toimittaa kertomuksen Euroopan parlamentille ja neuvostolle ja liittää siihen tarvittaessa lainsäädäntöehdotuksen.”;</w:t>
      </w:r>
    </w:p>
    <w:p w:rsidR="00F20D6F" w:rsidRPr="00315B8A" w:rsidRDefault="00F20D6F" w:rsidP="00AF56F2">
      <w:pPr>
        <w:pStyle w:val="Point1"/>
        <w:spacing w:line="360" w:lineRule="auto"/>
        <w:jc w:val="left"/>
        <w:rPr>
          <w:noProof/>
        </w:rPr>
      </w:pPr>
      <w:r w:rsidRPr="00315B8A">
        <w:lastRenderedPageBreak/>
        <w:t>b)</w:t>
      </w:r>
      <w:r w:rsidRPr="00315B8A">
        <w:tab/>
        <w:t>lisätään 2 a kohta seuraavasti:</w:t>
      </w:r>
    </w:p>
    <w:p w:rsidR="00F20D6F" w:rsidRPr="00315B8A" w:rsidRDefault="00F20D6F" w:rsidP="00AF56F2">
      <w:pPr>
        <w:pStyle w:val="Text2"/>
        <w:spacing w:line="360" w:lineRule="auto"/>
        <w:jc w:val="left"/>
        <w:rPr>
          <w:noProof/>
        </w:rPr>
      </w:pPr>
      <w:r w:rsidRPr="00315B8A">
        <w:t>”2 a. ”2 a. Jäsenvaltioiden on varmistettava, että 2 kohdassa vahvistettu talletussuojan taso täydentää 1 kohdassa vahvistettua talletussuojan tasoa.”</w:t>
      </w:r>
    </w:p>
    <w:p w:rsidR="00F20D6F" w:rsidRPr="00315B8A" w:rsidRDefault="00F20D6F" w:rsidP="00AF56F2">
      <w:pPr>
        <w:pStyle w:val="Point0"/>
        <w:spacing w:line="360" w:lineRule="auto"/>
        <w:jc w:val="left"/>
        <w:rPr>
          <w:noProof/>
        </w:rPr>
      </w:pPr>
      <w:r w:rsidRPr="00315B8A">
        <w:t>6)</w:t>
      </w:r>
      <w:r w:rsidRPr="00315B8A">
        <w:tab/>
        <w:t>Muutetaan 7 artikla seuraavasti:</w:t>
      </w:r>
    </w:p>
    <w:p w:rsidR="00F20D6F" w:rsidRPr="00315B8A" w:rsidRDefault="00F20D6F" w:rsidP="00AF56F2">
      <w:pPr>
        <w:pStyle w:val="Point1"/>
        <w:spacing w:line="360" w:lineRule="auto"/>
        <w:jc w:val="left"/>
        <w:rPr>
          <w:noProof/>
        </w:rPr>
      </w:pPr>
      <w:r w:rsidRPr="00315B8A">
        <w:t>a)</w:t>
      </w:r>
      <w:r w:rsidRPr="00315B8A">
        <w:tab/>
        <w:t>kumotaan 5 kohta;</w:t>
      </w:r>
    </w:p>
    <w:p w:rsidR="00F20D6F" w:rsidRPr="00315B8A" w:rsidRDefault="00F20D6F" w:rsidP="00AF56F2">
      <w:pPr>
        <w:pStyle w:val="Point1"/>
        <w:spacing w:line="360" w:lineRule="auto"/>
        <w:jc w:val="left"/>
      </w:pPr>
      <w:r w:rsidRPr="00315B8A">
        <w:rPr>
          <w:b/>
          <w:i/>
        </w:rPr>
        <w:t>a a)</w:t>
      </w:r>
      <w:r w:rsidRPr="00315B8A">
        <w:rPr>
          <w:b/>
          <w:i/>
        </w:rPr>
        <w:tab/>
        <w:t>korvataan 6 kohta seuraavasti:</w:t>
      </w:r>
    </w:p>
    <w:p w:rsidR="00F20D6F" w:rsidRPr="00315B8A" w:rsidRDefault="00F20D6F" w:rsidP="00AF56F2">
      <w:pPr>
        <w:pStyle w:val="Point1"/>
        <w:spacing w:line="360" w:lineRule="auto"/>
        <w:ind w:firstLine="1"/>
        <w:jc w:val="left"/>
        <w:rPr>
          <w:b/>
          <w:i/>
          <w:noProof/>
        </w:rPr>
      </w:pPr>
      <w:r w:rsidRPr="00315B8A">
        <w:rPr>
          <w:b/>
          <w:i/>
        </w:rPr>
        <w:t>”6. Jäsenvaltioiden on varmistettava, että luottolaitokset ilmoittavat talletusten vakuusjärjestelmilleen suojakelpoisten talletusten yhteenlasketun määrän vähintään kerran vuodessa. Jäsenvaltioiden on varmistettava, että talletusten vakuusjärjestelmä voi milloin tahansa pyytää luottolaitosta ilmoittamaan sille kunkin tallettajan suojakelpoisten talletusten kokonaismäärän.”;</w:t>
      </w:r>
    </w:p>
    <w:p w:rsidR="00F20D6F" w:rsidRPr="00315B8A" w:rsidRDefault="00F20D6F" w:rsidP="00AF56F2">
      <w:pPr>
        <w:pStyle w:val="Point1"/>
        <w:spacing w:line="360" w:lineRule="auto"/>
        <w:jc w:val="left"/>
        <w:rPr>
          <w:noProof/>
        </w:rPr>
      </w:pPr>
      <w:r w:rsidRPr="00315B8A">
        <w:t>b)</w:t>
      </w:r>
      <w:r w:rsidRPr="00315B8A">
        <w:tab/>
        <w:t>korvataan 7 kohta seuraavasti:</w:t>
      </w:r>
    </w:p>
    <w:p w:rsidR="00F20D6F" w:rsidRPr="00315B8A" w:rsidRDefault="00F20D6F" w:rsidP="00AF56F2">
      <w:pPr>
        <w:pStyle w:val="Text2"/>
        <w:spacing w:line="360" w:lineRule="auto"/>
        <w:jc w:val="left"/>
        <w:rPr>
          <w:noProof/>
        </w:rPr>
      </w:pPr>
      <w:r w:rsidRPr="00315B8A">
        <w:t>”7. Jäsenvaltioiden on varmistettava, että talletusten vakuusjärjestelmästä korvataan korko, joka on kertynyt talletuksista siihen päivään saakka, jona asianomainen hallintoviranomainen tekee 2 artiklan 1 kohdan 8 alakohdan a alakohdassa tarkoitetun määrityksen tai jona oikeusviranomainen antaa 2 artiklan 1 kohdan 8 alakohdan b alakohdassa tarkoitetun päätöksen, mutta jota ei ole hyvitetty tai veloitettu kyseisenä päivänä. Edellä 6 artiklan 1 kohdassa säädettyä talletussuojan tasoa tai 6 artiklan 2 kohdassa tarkoitetuissa olosuhteissa kyseisessä kohdassa säädettyä talletussuojan tasoa ei saa ylittää.</w:t>
      </w:r>
    </w:p>
    <w:p w:rsidR="00F20D6F" w:rsidRPr="00315B8A" w:rsidRDefault="00F20D6F" w:rsidP="00AF56F2">
      <w:pPr>
        <w:pStyle w:val="Text2"/>
        <w:spacing w:line="360" w:lineRule="auto"/>
        <w:jc w:val="left"/>
        <w:rPr>
          <w:noProof/>
        </w:rPr>
      </w:pPr>
      <w:r w:rsidRPr="00315B8A">
        <w:rPr>
          <w:b/>
          <w:i/>
        </w:rPr>
        <w:t xml:space="preserve">Jos tiettyjen talletusten korot ylittävät merkittävästi vallitsevan markkinakoron, joka on määritetty läpinäkyvien ja julkisesti saatavilla olevien tietojen perusteella, talletusten vakuusjärjestelmällä on oltava valta mukauttaa maksettua korkoa siten, että se vastaa markkinakorkotasoa, joka vallitsi asiaankuuluvan hallintoviranomaisen tekemän määrityksen tai oikeusviranomaisen antaman päätöksen ajankohtana. Tämä mukautus on tehtävä moraalikadon vaaran estämiseksi. Kriteerit ja menetelmät, joilla määritellään ”merkittävästi ylittäminen” ja mukautus, vahvistetaan avoimesti, </w:t>
      </w:r>
      <w:proofErr w:type="spellStart"/>
      <w:r w:rsidRPr="00315B8A">
        <w:rPr>
          <w:b/>
          <w:i/>
        </w:rPr>
        <w:t>EPV:n</w:t>
      </w:r>
      <w:proofErr w:type="spellEnd"/>
      <w:r w:rsidRPr="00315B8A">
        <w:rPr>
          <w:b/>
          <w:i/>
        </w:rPr>
        <w:t xml:space="preserve"> laatimien suuntaviivojen mukaisesti ja toimivaltaisen viranomaisen suostumuksella.</w:t>
      </w:r>
      <w:r w:rsidRPr="00315B8A">
        <w:t xml:space="preserve">” </w:t>
      </w:r>
    </w:p>
    <w:p w:rsidR="00F20D6F" w:rsidRPr="00315B8A" w:rsidRDefault="00F20D6F" w:rsidP="00AF56F2">
      <w:pPr>
        <w:pStyle w:val="Point0"/>
        <w:spacing w:line="360" w:lineRule="auto"/>
        <w:jc w:val="left"/>
        <w:rPr>
          <w:noProof/>
        </w:rPr>
      </w:pPr>
      <w:r w:rsidRPr="00315B8A">
        <w:lastRenderedPageBreak/>
        <w:t>7)</w:t>
      </w:r>
      <w:r w:rsidRPr="00315B8A">
        <w:tab/>
        <w:t>Lisätään 7 a artikla seuraavasti:</w:t>
      </w:r>
    </w:p>
    <w:p w:rsidR="00F20D6F" w:rsidRPr="00315B8A" w:rsidRDefault="00F20D6F" w:rsidP="00811334">
      <w:pPr>
        <w:pStyle w:val="Text1"/>
        <w:spacing w:line="360" w:lineRule="auto"/>
        <w:jc w:val="center"/>
        <w:rPr>
          <w:i/>
          <w:iCs/>
          <w:noProof/>
        </w:rPr>
      </w:pPr>
      <w:r w:rsidRPr="00315B8A">
        <w:rPr>
          <w:i/>
        </w:rPr>
        <w:t>”7 a artikla</w:t>
      </w:r>
    </w:p>
    <w:p w:rsidR="00F20D6F" w:rsidRPr="00315B8A" w:rsidRDefault="00F20D6F" w:rsidP="00811334">
      <w:pPr>
        <w:pStyle w:val="Text1"/>
        <w:spacing w:line="360" w:lineRule="auto"/>
        <w:jc w:val="center"/>
        <w:rPr>
          <w:b/>
          <w:bCs/>
          <w:noProof/>
        </w:rPr>
      </w:pPr>
      <w:r w:rsidRPr="00315B8A">
        <w:rPr>
          <w:b/>
        </w:rPr>
        <w:t>Talletusten suojakelpoisuutta ja oikeutta talletuksiin koskeva todistustaakka</w:t>
      </w:r>
    </w:p>
    <w:p w:rsidR="00F20D6F" w:rsidRPr="00315B8A" w:rsidRDefault="00F20D6F" w:rsidP="00AF56F2">
      <w:pPr>
        <w:pStyle w:val="Text2"/>
        <w:spacing w:line="360" w:lineRule="auto"/>
        <w:jc w:val="left"/>
        <w:rPr>
          <w:noProof/>
        </w:rPr>
      </w:pPr>
      <w:r w:rsidRPr="00315B8A">
        <w:t>Jäsenvaltioiden on varmistettava, että 6 artiklan 2 kohdassa ja 7 artiklan 3 kohdassa tarkoitetuissa tapauksissa tallettaja tai soveltuvin osin tilinhaltija todistaa, että asianomaiset talletukset täyttävät 6 artiklan 2 kohdan ehdot, tai todistaa oikeuden talletuksiin 7 artiklan 3 kohdassa tarkoitetuissa olosuhteissa.”</w:t>
      </w:r>
    </w:p>
    <w:p w:rsidR="00F20D6F" w:rsidRPr="00315B8A" w:rsidRDefault="00F20D6F" w:rsidP="00AF56F2">
      <w:pPr>
        <w:pStyle w:val="Point0"/>
        <w:spacing w:line="360" w:lineRule="auto"/>
        <w:jc w:val="left"/>
        <w:rPr>
          <w:noProof/>
        </w:rPr>
      </w:pPr>
      <w:r w:rsidRPr="00315B8A">
        <w:t>8)</w:t>
      </w:r>
      <w:r w:rsidRPr="00315B8A">
        <w:tab/>
        <w:t>Muutetaan 8 artikla seuraavasti:</w:t>
      </w:r>
    </w:p>
    <w:p w:rsidR="00F20D6F" w:rsidRPr="00315B8A" w:rsidRDefault="00F20D6F" w:rsidP="00AF56F2">
      <w:pPr>
        <w:pStyle w:val="Point0"/>
        <w:spacing w:line="360" w:lineRule="auto"/>
        <w:ind w:firstLine="1"/>
        <w:jc w:val="left"/>
        <w:rPr>
          <w:b/>
          <w:i/>
        </w:rPr>
      </w:pPr>
      <w:r w:rsidRPr="00315B8A">
        <w:rPr>
          <w:b/>
          <w:i/>
        </w:rPr>
        <w:t>-a)</w:t>
      </w:r>
      <w:r w:rsidRPr="00315B8A">
        <w:rPr>
          <w:b/>
          <w:i/>
        </w:rPr>
        <w:tab/>
        <w:t>korvataan 1 kohta seuraavasti:</w:t>
      </w:r>
    </w:p>
    <w:p w:rsidR="00F20D6F" w:rsidRPr="00315B8A" w:rsidRDefault="00F20D6F" w:rsidP="00AF56F2">
      <w:pPr>
        <w:pStyle w:val="Point0"/>
        <w:spacing w:line="360" w:lineRule="auto"/>
        <w:ind w:left="1418" w:firstLine="1"/>
        <w:jc w:val="left"/>
        <w:rPr>
          <w:b/>
          <w:i/>
        </w:rPr>
      </w:pPr>
      <w:r w:rsidRPr="00315B8A">
        <w:rPr>
          <w:b/>
          <w:i/>
        </w:rPr>
        <w:t>”1. Talletusten vakuusjärjestelmissä on varmistettava, että korvattava määrä asetetaan saataville mahdollisimman pian ja joka tapauksessa seitsemän työpäivän kuluessa siitä päivästä, jona asianmukainen hallintoviranomainen tekee 2 artiklan 1 kohdan 8 alakohdan a alakohdassa tarkoitetun määrityksen tai jona oikeusviranomainen antaa 2 artiklan 1 kohdan 8 alakohdan b alakohdassa tarkoitetun päätöksen.”;</w:t>
      </w:r>
    </w:p>
    <w:p w:rsidR="00F20D6F" w:rsidRPr="00315B8A" w:rsidRDefault="00F20D6F" w:rsidP="00AF56F2">
      <w:pPr>
        <w:widowControl/>
        <w:autoSpaceDE w:val="0"/>
        <w:autoSpaceDN w:val="0"/>
        <w:adjustRightInd w:val="0"/>
        <w:spacing w:after="120" w:line="360" w:lineRule="auto"/>
        <w:ind w:left="130" w:firstLine="720"/>
        <w:rPr>
          <w:b/>
          <w:i/>
          <w:noProof/>
        </w:rPr>
      </w:pPr>
      <w:r w:rsidRPr="00315B8A">
        <w:rPr>
          <w:b/>
          <w:i/>
          <w:color w:val="000000"/>
        </w:rPr>
        <w:t>-a a)</w:t>
      </w:r>
      <w:r w:rsidRPr="00315B8A">
        <w:rPr>
          <w:b/>
          <w:i/>
          <w:color w:val="000000"/>
        </w:rPr>
        <w:tab/>
        <w:t>kumotaan 2 kohta;</w:t>
      </w:r>
    </w:p>
    <w:p w:rsidR="00F20D6F" w:rsidRPr="00315B8A" w:rsidRDefault="00F20D6F" w:rsidP="00AF56F2">
      <w:pPr>
        <w:pStyle w:val="Point1"/>
        <w:spacing w:line="360" w:lineRule="auto"/>
        <w:jc w:val="left"/>
        <w:rPr>
          <w:noProof/>
        </w:rPr>
      </w:pPr>
      <w:r w:rsidRPr="00315B8A">
        <w:t>a)</w:t>
      </w:r>
      <w:r w:rsidRPr="00315B8A">
        <w:tab/>
        <w:t>korvataan 3 kohta seuraavasti:</w:t>
      </w:r>
    </w:p>
    <w:p w:rsidR="00F20D6F" w:rsidRPr="00315B8A" w:rsidRDefault="00F20D6F" w:rsidP="00AF56F2">
      <w:pPr>
        <w:pStyle w:val="Text2"/>
        <w:spacing w:line="360" w:lineRule="auto"/>
        <w:jc w:val="left"/>
        <w:rPr>
          <w:noProof/>
        </w:rPr>
      </w:pPr>
      <w:r w:rsidRPr="00315B8A">
        <w:t>”3. Poiketen siitä, mitä 1 kohdassa säädetään, jäsenvaltioiden on annettava talletusten vakuusjärjestelmien soveltaa 6 artiklan 2 kohdassa, 7 artiklan 3 kohdassa ja 8 b artiklassa tarkoitettuihin talletuksiin pidempää korvausaikaa, joka ei ylitä 20:tä työpäivää siitä päivästä, jona kyseiset talletusten vakuusjärjestelmät vastaanottavat tallettajalta</w:t>
      </w:r>
      <w:r w:rsidRPr="00315B8A">
        <w:rPr>
          <w:b/>
          <w:i/>
        </w:rPr>
        <w:t xml:space="preserve"> tai tarvittaessa tilinhaltijalta</w:t>
      </w:r>
      <w:r w:rsidRPr="00315B8A">
        <w:t xml:space="preserve"> pyytämänsä kattavan dokumentaation vaatimusten tutkimiseksi ja sen tarkistamiseksi, että korvausten maksamisen edellytykset täyttyvät. </w:t>
      </w:r>
      <w:r w:rsidRPr="00315B8A">
        <w:rPr>
          <w:b/>
          <w:i/>
        </w:rPr>
        <w:t>Jos talletusten vakuusjärjestelmä ei voi asettaa korvattavaa määrää saataville alle seitsemän työpäivän kuluessa 6 artiklan 2 kohdassa ja 7 artiklan 3 kohdassa tarkoitettujen talletusten osalta, talletusten vakuusjärjestelmän on varmistettava, että tallettajilla on mahdollisuus saada käyttöönsä viiden työpäivän kuluessa asiaa koskevan pyynnön esittämisestä asianmukainen määrä suojattuja talletuksiaan elinkustannustensa kattamiseksi.</w:t>
      </w:r>
      <w:r w:rsidRPr="00315B8A">
        <w:t>”;</w:t>
      </w:r>
    </w:p>
    <w:p w:rsidR="00F20D6F" w:rsidRPr="00315B8A" w:rsidRDefault="00F20D6F" w:rsidP="00AF56F2">
      <w:pPr>
        <w:pStyle w:val="Text2"/>
        <w:spacing w:line="360" w:lineRule="auto"/>
        <w:ind w:left="851"/>
        <w:jc w:val="left"/>
        <w:rPr>
          <w:noProof/>
        </w:rPr>
      </w:pPr>
      <w:r w:rsidRPr="00315B8A">
        <w:rPr>
          <w:b/>
          <w:i/>
          <w:color w:val="000000"/>
        </w:rPr>
        <w:t>a a)</w:t>
      </w:r>
      <w:r w:rsidRPr="00315B8A">
        <w:rPr>
          <w:b/>
          <w:i/>
          <w:color w:val="000000"/>
        </w:rPr>
        <w:tab/>
        <w:t>kumotaan 4 kohta;</w:t>
      </w:r>
    </w:p>
    <w:p w:rsidR="00F20D6F" w:rsidRPr="00315B8A" w:rsidRDefault="00F20D6F" w:rsidP="00AF56F2">
      <w:pPr>
        <w:pStyle w:val="Point1"/>
        <w:spacing w:line="360" w:lineRule="auto"/>
        <w:jc w:val="left"/>
        <w:rPr>
          <w:noProof/>
        </w:rPr>
      </w:pPr>
      <w:r w:rsidRPr="00315B8A">
        <w:lastRenderedPageBreak/>
        <w:t>b)</w:t>
      </w:r>
      <w:r w:rsidRPr="00315B8A">
        <w:tab/>
        <w:t>muutetaan 5 kohta seuraavasti:</w:t>
      </w:r>
    </w:p>
    <w:p w:rsidR="00F20D6F" w:rsidRPr="00315B8A" w:rsidRDefault="00F20D6F" w:rsidP="00AF56F2">
      <w:pPr>
        <w:pStyle w:val="Point2"/>
        <w:spacing w:line="360" w:lineRule="auto"/>
        <w:jc w:val="left"/>
        <w:rPr>
          <w:noProof/>
        </w:rPr>
      </w:pPr>
      <w:r w:rsidRPr="00315B8A">
        <w:t>i)</w:t>
      </w:r>
      <w:r w:rsidRPr="00315B8A">
        <w:tab/>
        <w:t>korvataan c alakohta seuraavasti:</w:t>
      </w:r>
    </w:p>
    <w:p w:rsidR="00F20D6F" w:rsidRPr="00315B8A" w:rsidRDefault="00F20D6F" w:rsidP="00AF56F2">
      <w:pPr>
        <w:pStyle w:val="Text3"/>
        <w:spacing w:line="360" w:lineRule="auto"/>
        <w:jc w:val="left"/>
        <w:rPr>
          <w:noProof/>
        </w:rPr>
      </w:pPr>
      <w:r w:rsidRPr="00315B8A">
        <w:t>”c) poiketen siitä, mitä 9 kohdassa säädetään, talletukseen ei ole liittynyt mitään tapahtumia viimeksi kuluneiden 24 kuukauden aikana (tili on ollut käyttämättömänä), paitsi jos tallettajalla on myös talletuksia toisella tilillä, joka ei ole ollut käyttämättömänä;”;</w:t>
      </w:r>
    </w:p>
    <w:p w:rsidR="00F20D6F" w:rsidRPr="00315B8A" w:rsidRDefault="00F20D6F" w:rsidP="00AF56F2">
      <w:pPr>
        <w:pStyle w:val="Point2"/>
        <w:spacing w:line="360" w:lineRule="auto"/>
        <w:jc w:val="left"/>
        <w:rPr>
          <w:noProof/>
        </w:rPr>
      </w:pPr>
      <w:r w:rsidRPr="00315B8A">
        <w:t>ii)</w:t>
      </w:r>
      <w:r w:rsidRPr="00315B8A">
        <w:tab/>
        <w:t>kumotaan d alakohta;</w:t>
      </w:r>
    </w:p>
    <w:p w:rsidR="00F20D6F" w:rsidRPr="00315B8A" w:rsidRDefault="00F20D6F" w:rsidP="00AF56F2">
      <w:pPr>
        <w:pStyle w:val="Point1"/>
        <w:spacing w:line="360" w:lineRule="auto"/>
        <w:jc w:val="left"/>
        <w:rPr>
          <w:noProof/>
        </w:rPr>
      </w:pPr>
      <w:r w:rsidRPr="00315B8A">
        <w:t>c)</w:t>
      </w:r>
      <w:r w:rsidRPr="00315B8A">
        <w:tab/>
        <w:t xml:space="preserve">kumotaan 8 kohta; </w:t>
      </w:r>
    </w:p>
    <w:p w:rsidR="00F20D6F" w:rsidRPr="00315B8A" w:rsidRDefault="00F20D6F" w:rsidP="00AF56F2">
      <w:pPr>
        <w:pStyle w:val="Point1"/>
        <w:spacing w:line="360" w:lineRule="auto"/>
        <w:jc w:val="left"/>
        <w:rPr>
          <w:noProof/>
        </w:rPr>
      </w:pPr>
      <w:r w:rsidRPr="00315B8A">
        <w:t>d)</w:t>
      </w:r>
      <w:r w:rsidRPr="00315B8A">
        <w:tab/>
        <w:t xml:space="preserve">korvataan 9 kohta seuraavasti: </w:t>
      </w:r>
    </w:p>
    <w:p w:rsidR="00F20D6F" w:rsidRPr="00315B8A" w:rsidRDefault="00F20D6F" w:rsidP="00AF56F2">
      <w:pPr>
        <w:pStyle w:val="Text2"/>
        <w:spacing w:line="360" w:lineRule="auto"/>
        <w:jc w:val="left"/>
        <w:rPr>
          <w:noProof/>
        </w:rPr>
      </w:pPr>
      <w:r w:rsidRPr="00315B8A">
        <w:t>”9. Jäsenvaltioiden on varmistettava, että jos talletukseen ei ole liittynyt mitään tapahtumia viimeksi kuluneiden 24 kuukauden aikana, talletusten vakuusjärjestelmät voivat määrittää kynnysarvon hallinnollisille kuluille, joita niille aiheutuu tällaiseen talletukseen liittyvän korvauksen suorittamisesta. Talletusten vakuusjärjestelmiä ei velvoiteta toteuttamaan aktiivisia toimia kyseistä kynnysarvoa pienempien talletusten korvaamiseksi tallettajille. Jäsenvaltioiden on varmistettava, että talletusten vakuusjärjestelmät korvaavat tallettajille tätä kynnysarvoa pienemmät talletukset näiden tallettajien pyynnöstä.”</w:t>
      </w:r>
    </w:p>
    <w:p w:rsidR="00F20D6F" w:rsidRPr="00315B8A" w:rsidRDefault="00F20D6F" w:rsidP="00AF56F2">
      <w:pPr>
        <w:pStyle w:val="Point0"/>
        <w:spacing w:line="360" w:lineRule="auto"/>
        <w:jc w:val="left"/>
        <w:rPr>
          <w:noProof/>
        </w:rPr>
      </w:pPr>
      <w:r w:rsidRPr="00315B8A">
        <w:t>9)</w:t>
      </w:r>
      <w:r w:rsidRPr="00315B8A">
        <w:tab/>
        <w:t>Lisätään 8 a, 8 b ja 8 c artikla seuraavasti:</w:t>
      </w:r>
    </w:p>
    <w:p w:rsidR="00F20D6F" w:rsidRPr="00315B8A" w:rsidRDefault="00F20D6F" w:rsidP="00811334">
      <w:pPr>
        <w:pStyle w:val="Text1"/>
        <w:spacing w:line="360" w:lineRule="auto"/>
        <w:jc w:val="center"/>
        <w:rPr>
          <w:i/>
          <w:iCs/>
          <w:noProof/>
        </w:rPr>
      </w:pPr>
      <w:r w:rsidRPr="00315B8A">
        <w:rPr>
          <w:i/>
        </w:rPr>
        <w:t>”8 a artikla</w:t>
      </w:r>
    </w:p>
    <w:p w:rsidR="00F20D6F" w:rsidRPr="00315B8A" w:rsidRDefault="00F20D6F" w:rsidP="00811334">
      <w:pPr>
        <w:pStyle w:val="Text1"/>
        <w:spacing w:line="360" w:lineRule="auto"/>
        <w:jc w:val="center"/>
        <w:rPr>
          <w:b/>
          <w:iCs/>
          <w:noProof/>
        </w:rPr>
      </w:pPr>
      <w:r w:rsidRPr="00315B8A">
        <w:rPr>
          <w:b/>
        </w:rPr>
        <w:t>Yli 10 000 euron suuruisten talletusten korvaaminen</w:t>
      </w:r>
    </w:p>
    <w:p w:rsidR="00F20D6F" w:rsidRPr="00315B8A" w:rsidRDefault="00F20D6F" w:rsidP="00AF56F2">
      <w:pPr>
        <w:pStyle w:val="Text1"/>
        <w:spacing w:line="360" w:lineRule="auto"/>
        <w:jc w:val="left"/>
        <w:rPr>
          <w:noProof/>
        </w:rPr>
      </w:pPr>
      <w:r w:rsidRPr="00315B8A">
        <w:t>Jäsenvaltioiden on varmistettava, että jos korvauksen määrä on yli 10 000 euroa, talletusten vakuusjärjestelmät maksavat korvauksen tallettajille Euroopan parlamentin ja neuvoston direktiivin 2014/92/EU* 2 artiklan 20 alakohdassa määritellyillä tilisiirroilla.</w:t>
      </w:r>
    </w:p>
    <w:p w:rsidR="00F20D6F" w:rsidRPr="00315B8A" w:rsidRDefault="00F20D6F" w:rsidP="00811334">
      <w:pPr>
        <w:pStyle w:val="Text1"/>
        <w:spacing w:line="360" w:lineRule="auto"/>
        <w:jc w:val="center"/>
        <w:rPr>
          <w:i/>
          <w:iCs/>
          <w:noProof/>
        </w:rPr>
      </w:pPr>
      <w:r w:rsidRPr="00315B8A">
        <w:rPr>
          <w:i/>
        </w:rPr>
        <w:t>8 b artikla</w:t>
      </w:r>
    </w:p>
    <w:p w:rsidR="00F20D6F" w:rsidRPr="00315B8A" w:rsidRDefault="00F20D6F" w:rsidP="00811334">
      <w:pPr>
        <w:pStyle w:val="Text1"/>
        <w:spacing w:line="360" w:lineRule="auto"/>
        <w:jc w:val="center"/>
        <w:rPr>
          <w:b/>
          <w:iCs/>
          <w:noProof/>
        </w:rPr>
      </w:pPr>
      <w:r w:rsidRPr="00315B8A">
        <w:rPr>
          <w:b/>
        </w:rPr>
        <w:t>Asiakasvarojen talletusten suoja</w:t>
      </w:r>
    </w:p>
    <w:p w:rsidR="00F20D6F" w:rsidRPr="00315B8A" w:rsidRDefault="00F20D6F" w:rsidP="00AF56F2">
      <w:pPr>
        <w:pStyle w:val="Text1"/>
        <w:spacing w:line="360" w:lineRule="auto"/>
        <w:jc w:val="left"/>
        <w:rPr>
          <w:noProof/>
        </w:rPr>
      </w:pPr>
      <w:r w:rsidRPr="00315B8A">
        <w:t>1. Jäsenvaltioiden on varmistettava, että asiakasvarojen talletukset ovat suojattuja talletusten vakuusjärjestelmissä, kun kaikki seuraavat edellytykset täyttyvät:</w:t>
      </w:r>
    </w:p>
    <w:p w:rsidR="00F20D6F" w:rsidRPr="00315B8A" w:rsidRDefault="00F20D6F" w:rsidP="00AF56F2">
      <w:pPr>
        <w:pStyle w:val="Point1"/>
        <w:spacing w:line="360" w:lineRule="auto"/>
        <w:jc w:val="left"/>
        <w:rPr>
          <w:noProof/>
        </w:rPr>
      </w:pPr>
      <w:r w:rsidRPr="00315B8A">
        <w:lastRenderedPageBreak/>
        <w:t>a)</w:t>
      </w:r>
      <w:r w:rsidRPr="00315B8A">
        <w:tab/>
        <w:t xml:space="preserve">tällaiset talletukset tehdään 5 artiklan 1 kohdan mukaisesti suojakelpoisten asiakkaiden nimissä ja </w:t>
      </w:r>
      <w:r w:rsidRPr="00315B8A">
        <w:rPr>
          <w:b/>
          <w:i/>
        </w:rPr>
        <w:t xml:space="preserve">yksinomaan näiden </w:t>
      </w:r>
      <w:r w:rsidRPr="00315B8A">
        <w:t>lukuun;</w:t>
      </w:r>
    </w:p>
    <w:p w:rsidR="00F20D6F" w:rsidRPr="00315B8A" w:rsidRDefault="00F20D6F" w:rsidP="00AF56F2">
      <w:pPr>
        <w:pStyle w:val="Point1"/>
        <w:spacing w:line="360" w:lineRule="auto"/>
        <w:jc w:val="left"/>
        <w:rPr>
          <w:noProof/>
        </w:rPr>
      </w:pPr>
      <w:r w:rsidRPr="00315B8A">
        <w:t>b)</w:t>
      </w:r>
      <w:r w:rsidRPr="00315B8A">
        <w:tab/>
        <w:t xml:space="preserve">tällaiset talletukset tehdään asiakasvarojen erottelemiseksi 5 artiklan 1 kohdan d alakohdassa tarkoitettujen yhteisöjen toimintaa sääntelevässä unionin lainsäädännössä vahvistettujen suojaamista koskevien vaatimusten mukaisesti; </w:t>
      </w:r>
    </w:p>
    <w:p w:rsidR="00F20D6F" w:rsidRPr="00315B8A" w:rsidRDefault="00F20D6F" w:rsidP="00AF56F2">
      <w:pPr>
        <w:pStyle w:val="Point1"/>
        <w:spacing w:line="360" w:lineRule="auto"/>
        <w:jc w:val="left"/>
        <w:rPr>
          <w:noProof/>
        </w:rPr>
      </w:pPr>
      <w:r w:rsidRPr="00315B8A">
        <w:t>c)</w:t>
      </w:r>
      <w:r w:rsidRPr="00315B8A">
        <w:tab/>
        <w:t xml:space="preserve">a alakohdassa tarkoitetut asiakkaat on tunnistettu tai ovat tunnistettavissa </w:t>
      </w:r>
      <w:r w:rsidRPr="00315B8A">
        <w:rPr>
          <w:b/>
          <w:i/>
        </w:rPr>
        <w:t>viime kädessä asiakkaan lukuun tiliä pitävän yhteisön vastuulla</w:t>
      </w:r>
      <w:r w:rsidRPr="00315B8A">
        <w:t xml:space="preserve"> ennen sitä päivää, jona asianomainen hallintoviranomainen tekee 2 artiklan 1 kohdan 8 alakohdan a alakohdassa tarkoitetun määrityksen tai jona oikeusviranomainen antaa 2 artiklan 1 kohdan 8 alakohdan b alakohdassa tarkoitetun päätöksen.</w:t>
      </w:r>
    </w:p>
    <w:p w:rsidR="00F20D6F" w:rsidRPr="00315B8A" w:rsidRDefault="00F20D6F" w:rsidP="00AF56F2">
      <w:pPr>
        <w:pStyle w:val="Text1"/>
        <w:spacing w:line="360" w:lineRule="auto"/>
        <w:jc w:val="left"/>
        <w:rPr>
          <w:noProof/>
        </w:rPr>
      </w:pPr>
      <w:r w:rsidRPr="00315B8A">
        <w:t xml:space="preserve">2. Jäsenvaltioiden on varmistettava, että 6 artiklan 1 kohdassa tarkoitettua talletussuojan tasoa sovelletaan jokaiseen asiakkaaseen, joka täyttää tämän artiklan 1 kohdan c alakohdassa säädetyt ehdot. Poiketen siitä, mitä 7 artiklan 1 kohdassa säädetään, talletusten vakuusjärjestelmä ei yksilöllisen asiakkaan korvattavaa määrää määrittäessään ota huomioon kyseisen asiakkaan samaan luottolaitokseen tekemiä yhteenlaskettuja varojen talletuksia. </w:t>
      </w:r>
    </w:p>
    <w:p w:rsidR="00F20D6F" w:rsidRPr="00315B8A" w:rsidRDefault="00F20D6F" w:rsidP="00AF56F2">
      <w:pPr>
        <w:pStyle w:val="Text1"/>
        <w:spacing w:line="360" w:lineRule="auto"/>
        <w:jc w:val="left"/>
        <w:rPr>
          <w:noProof/>
        </w:rPr>
      </w:pPr>
      <w:r w:rsidRPr="00315B8A">
        <w:t xml:space="preserve">3. Jäsenvaltioiden on varmistettava, että korvaukset suojatuista talletuksista maksetaan talletusten vakuusjärjestelmistä </w:t>
      </w:r>
      <w:r w:rsidRPr="00315B8A">
        <w:rPr>
          <w:rFonts w:ascii="Arial" w:hAnsi="Arial"/>
        </w:rPr>
        <w:t>▌</w:t>
      </w:r>
      <w:r w:rsidRPr="00315B8A">
        <w:t xml:space="preserve"> suoraan asiakkaalle.</w:t>
      </w:r>
    </w:p>
    <w:p w:rsidR="00F20D6F" w:rsidRPr="00315B8A" w:rsidRDefault="00F20D6F" w:rsidP="00AF56F2">
      <w:pPr>
        <w:pStyle w:val="Text1"/>
        <w:spacing w:line="360" w:lineRule="auto"/>
        <w:jc w:val="left"/>
        <w:rPr>
          <w:noProof/>
        </w:rPr>
      </w:pPr>
      <w:r w:rsidRPr="00315B8A">
        <w:t>4. EPV laatii teknisten sääntelystandardien luonnokset, joissa täsmennetään</w:t>
      </w:r>
    </w:p>
    <w:p w:rsidR="00F20D6F" w:rsidRPr="00315B8A" w:rsidRDefault="00F20D6F" w:rsidP="00AF56F2">
      <w:pPr>
        <w:pStyle w:val="Point1"/>
        <w:spacing w:line="360" w:lineRule="auto"/>
        <w:jc w:val="left"/>
        <w:rPr>
          <w:noProof/>
        </w:rPr>
      </w:pPr>
      <w:r w:rsidRPr="00315B8A">
        <w:t>a)</w:t>
      </w:r>
      <w:r w:rsidRPr="00315B8A">
        <w:tab/>
        <w:t xml:space="preserve">tekniset yksityiskohdat, jotka liittyvät asiakkaiden tunnistamiseen 8 artiklan mukaista korvaamista varten; </w:t>
      </w:r>
    </w:p>
    <w:p w:rsidR="00F20D6F" w:rsidRPr="00315B8A" w:rsidRDefault="00F20D6F" w:rsidP="00AF56F2">
      <w:pPr>
        <w:pStyle w:val="Point1"/>
        <w:spacing w:line="360" w:lineRule="auto"/>
        <w:jc w:val="left"/>
        <w:rPr>
          <w:noProof/>
        </w:rPr>
      </w:pPr>
      <w:r w:rsidRPr="00315B8A">
        <w:t>▌</w:t>
      </w:r>
    </w:p>
    <w:p w:rsidR="00F20D6F" w:rsidRPr="00315B8A" w:rsidRDefault="00F20D6F" w:rsidP="00AF56F2">
      <w:pPr>
        <w:pStyle w:val="Point1"/>
        <w:spacing w:line="360" w:lineRule="auto"/>
        <w:jc w:val="left"/>
        <w:rPr>
          <w:noProof/>
        </w:rPr>
      </w:pPr>
      <w:r w:rsidRPr="00315B8A">
        <w:t>c)</w:t>
      </w:r>
      <w:r w:rsidRPr="00315B8A">
        <w:tab/>
        <w:t>säännöt, joilla vältetään useat samaa edunsaajaa koskevat korvausvaatimukset.</w:t>
      </w:r>
    </w:p>
    <w:p w:rsidR="00F20D6F" w:rsidRPr="00315B8A" w:rsidRDefault="00F20D6F" w:rsidP="00AF56F2">
      <w:pPr>
        <w:pStyle w:val="Text1"/>
        <w:spacing w:line="360" w:lineRule="auto"/>
        <w:jc w:val="left"/>
        <w:rPr>
          <w:noProof/>
        </w:rPr>
      </w:pPr>
      <w:r w:rsidRPr="00315B8A">
        <w:t>EPV ottaa näitä teknisten sääntelystandardien luonnoksia laatiessaan huomioon kaikki seuraavat seikat:</w:t>
      </w:r>
    </w:p>
    <w:p w:rsidR="00F20D6F" w:rsidRPr="00315B8A" w:rsidRDefault="00F20D6F" w:rsidP="00AF56F2">
      <w:pPr>
        <w:pStyle w:val="Point1"/>
        <w:spacing w:line="360" w:lineRule="auto"/>
        <w:jc w:val="left"/>
        <w:rPr>
          <w:noProof/>
        </w:rPr>
      </w:pPr>
      <w:r w:rsidRPr="00315B8A">
        <w:t>a)</w:t>
      </w:r>
      <w:r w:rsidRPr="00315B8A">
        <w:tab/>
        <w:t>5 artiklan 1 kohdan d alakohdassa tarkoitettujen erityyppisten rahoituslaitosten liiketoimintamallin erityispiirteet;</w:t>
      </w:r>
    </w:p>
    <w:p w:rsidR="00F20D6F" w:rsidRPr="00315B8A" w:rsidRDefault="00F20D6F" w:rsidP="00AF56F2">
      <w:pPr>
        <w:pStyle w:val="Point1"/>
        <w:spacing w:line="360" w:lineRule="auto"/>
        <w:jc w:val="left"/>
        <w:rPr>
          <w:noProof/>
        </w:rPr>
      </w:pPr>
      <w:r w:rsidRPr="00315B8A">
        <w:t>b)</w:t>
      </w:r>
      <w:r w:rsidRPr="00315B8A">
        <w:tab/>
        <w:t>5 artiklan 1 kohdan d alakohdassa tarkoitettujen rahoituslaitosten toimintaa sääntelevän sovellettavan unionin lainsäädännön erityisvaatimukset asiakasvarojen kohtelusta.</w:t>
      </w:r>
    </w:p>
    <w:p w:rsidR="00F20D6F" w:rsidRPr="00315B8A" w:rsidRDefault="00F20D6F" w:rsidP="00AF56F2">
      <w:pPr>
        <w:pStyle w:val="Text1"/>
        <w:spacing w:line="360" w:lineRule="auto"/>
        <w:jc w:val="left"/>
        <w:rPr>
          <w:noProof/>
        </w:rPr>
      </w:pPr>
      <w:r w:rsidRPr="00315B8A">
        <w:lastRenderedPageBreak/>
        <w:t>EPV toimittaa nämä teknisten sääntelystandardien luonnokset komissiolle viimeistään [julkaisutoimisto: lisätään päivämäärä, joka on 12 kuukautta tämän direktiivin voimaantulopäivästä].</w:t>
      </w:r>
    </w:p>
    <w:p w:rsidR="00F20D6F" w:rsidRPr="00315B8A" w:rsidRDefault="00F20D6F" w:rsidP="00AF56F2">
      <w:pPr>
        <w:pStyle w:val="Text1"/>
        <w:spacing w:line="360" w:lineRule="auto"/>
        <w:jc w:val="left"/>
        <w:rPr>
          <w:noProof/>
        </w:rPr>
      </w:pPr>
      <w:r w:rsidRPr="00315B8A">
        <w:t xml:space="preserve">Siirretään komissiolle valta täydentää tätä direktiiviä hyväksymällä tämän kohdan ensimmäisessä alakohdassa tarkoitetut tekniset sääntelystandardit asetuksen (EU) </w:t>
      </w:r>
      <w:proofErr w:type="gramStart"/>
      <w:r w:rsidRPr="00315B8A">
        <w:t>N:o</w:t>
      </w:r>
      <w:proofErr w:type="gramEnd"/>
      <w:r w:rsidRPr="00315B8A">
        <w:t xml:space="preserve"> 1093/2010 10–14 artiklan mukaisesti.</w:t>
      </w:r>
    </w:p>
    <w:p w:rsidR="00F20D6F" w:rsidRPr="00315B8A" w:rsidRDefault="00F20D6F" w:rsidP="00811334">
      <w:pPr>
        <w:pStyle w:val="Text1"/>
        <w:spacing w:line="360" w:lineRule="auto"/>
        <w:ind w:left="851"/>
        <w:jc w:val="center"/>
        <w:rPr>
          <w:i/>
          <w:iCs/>
          <w:noProof/>
        </w:rPr>
      </w:pPr>
      <w:r w:rsidRPr="00315B8A">
        <w:rPr>
          <w:i/>
        </w:rPr>
        <w:t>8 c artikla</w:t>
      </w:r>
    </w:p>
    <w:p w:rsidR="00F20D6F" w:rsidRPr="00315B8A" w:rsidRDefault="00F20D6F" w:rsidP="00811334">
      <w:pPr>
        <w:pStyle w:val="Text1"/>
        <w:keepNext/>
        <w:spacing w:line="360" w:lineRule="auto"/>
        <w:ind w:left="851"/>
        <w:jc w:val="center"/>
        <w:rPr>
          <w:b/>
          <w:iCs/>
          <w:noProof/>
        </w:rPr>
      </w:pPr>
      <w:r w:rsidRPr="00315B8A">
        <w:rPr>
          <w:b/>
        </w:rPr>
        <w:t xml:space="preserve">Korvausten maksamisen lykkääminen tapauksissa, jotka aiheuttavat huolta rahanpesusta tai terrorismin rahoituksesta </w:t>
      </w:r>
    </w:p>
    <w:p w:rsidR="00F20D6F" w:rsidRPr="00315B8A" w:rsidRDefault="00F20D6F" w:rsidP="00AF56F2">
      <w:pPr>
        <w:pStyle w:val="Text1"/>
        <w:spacing w:line="360" w:lineRule="auto"/>
        <w:jc w:val="left"/>
        <w:rPr>
          <w:noProof/>
        </w:rPr>
      </w:pPr>
      <w:r w:rsidRPr="00315B8A">
        <w:t>1. Jäsenvaltioiden on varmistettava, että nimetty viranomainen ilmoittaa talletusten vakuusjärjestelmälle 24 tunnin kuluessa siitä, kun se on vastaanottanut direktiivin (EU)</w:t>
      </w:r>
      <w:proofErr w:type="gramStart"/>
      <w:r w:rsidRPr="00315B8A">
        <w:t xml:space="preserve"> ….</w:t>
      </w:r>
      <w:proofErr w:type="gramEnd"/>
      <w:r w:rsidRPr="00315B8A">
        <w:t xml:space="preserve">/…. [lisätään viite – ehdotus rahanpesuntorjuntadirektiiviksi direktiivin (EU) 2015/849 kumoamisesta – </w:t>
      </w:r>
      <w:proofErr w:type="gramStart"/>
      <w:r w:rsidRPr="00315B8A">
        <w:t>COM(</w:t>
      </w:r>
      <w:proofErr w:type="gramEnd"/>
      <w:r w:rsidRPr="00315B8A">
        <w:t xml:space="preserve">2021) 423 </w:t>
      </w:r>
      <w:proofErr w:type="spellStart"/>
      <w:r w:rsidRPr="00315B8A">
        <w:t>final</w:t>
      </w:r>
      <w:proofErr w:type="spellEnd"/>
      <w:r w:rsidRPr="00315B8A">
        <w:t xml:space="preserve">] 48 artiklan 4 kohdassa tarkoitetut tiedot, asetuksen (EU) …./…. [lisätään lyhyt viite – ehdotus rahanpesun vastaiseksi asetukseksi – </w:t>
      </w:r>
      <w:proofErr w:type="gramStart"/>
      <w:r w:rsidRPr="00315B8A">
        <w:t>COM(</w:t>
      </w:r>
      <w:proofErr w:type="gramEnd"/>
      <w:r w:rsidRPr="00315B8A">
        <w:t xml:space="preserve">2021) 420 </w:t>
      </w:r>
      <w:proofErr w:type="spellStart"/>
      <w:r w:rsidRPr="00315B8A">
        <w:t>final</w:t>
      </w:r>
      <w:proofErr w:type="spellEnd"/>
      <w:r w:rsidRPr="00315B8A">
        <w:t>] 15 artiklan 4 kohdassa tarkoitettujen asiakkaan tuntemisvelvollisuutta koskevien toimenpiteiden tuloksista. Jäsenvaltioiden on varmistettava, että nimetyn viranomaisen ja talletusten vakuusjärjestelmän välillä vaihdetut tiedot rajoittuvat tietoihin, jotka ovat ehdottoman välttämättömiä talletusten vakuusjärjestelmän tämän direktiivin mukaisista tehtävistä ja vastuista huolehtimiseksi ja että tässä tietojenvaihdossa noudatetaan Euroopan parlamentin ja neuvoston direktiivissä 96/9/EY** säädettyjä vaatimuksia.</w:t>
      </w:r>
    </w:p>
    <w:p w:rsidR="00F20D6F" w:rsidRPr="00315B8A" w:rsidRDefault="00F20D6F" w:rsidP="00AF56F2">
      <w:pPr>
        <w:pStyle w:val="Text1"/>
        <w:spacing w:line="360" w:lineRule="auto"/>
        <w:jc w:val="left"/>
        <w:rPr>
          <w:noProof/>
        </w:rPr>
      </w:pPr>
      <w:r w:rsidRPr="00315B8A">
        <w:t>2. Jäsenvaltioiden on varmistettava, että talletusten vakuusjärjestelmät lykkäävät 8 artiklan 1 kohdassa tarkoitettua korvaamista, jos tallettaja tai muu henkilö, jolla on oikeuksia tilillään oleviin määriin, on asetettu syytteeseen rahanpesua tai terrorismin rahoitusta koskevasta rikoksesta, oikeuden päätöstä odotettaessa.</w:t>
      </w:r>
    </w:p>
    <w:p w:rsidR="00F20D6F" w:rsidRPr="00315B8A" w:rsidRDefault="00F20D6F" w:rsidP="00AF56F2">
      <w:pPr>
        <w:pStyle w:val="Text1"/>
        <w:spacing w:line="360" w:lineRule="auto"/>
        <w:jc w:val="left"/>
        <w:rPr>
          <w:noProof/>
        </w:rPr>
      </w:pPr>
      <w:r w:rsidRPr="00315B8A">
        <w:t>3. Jäsenvaltioiden on varmistettava, että talletusten vakuusjärjestelmät lykkäävät 8 artiklan 1 kohdassa tarkoitettua korvausten maksamista direktiivin (EU)</w:t>
      </w:r>
      <w:proofErr w:type="gramStart"/>
      <w:r w:rsidRPr="00315B8A">
        <w:t xml:space="preserve"> ….</w:t>
      </w:r>
      <w:proofErr w:type="gramEnd"/>
      <w:r w:rsidRPr="00315B8A">
        <w:t xml:space="preserve">/…. [lisätään viite – ehdotus rahanpesuntorjuntadirektiiviksi direktiivin (EU) 2015/849 kumoamisesta – </w:t>
      </w:r>
      <w:proofErr w:type="gramStart"/>
      <w:r w:rsidRPr="00315B8A">
        <w:t>COM(</w:t>
      </w:r>
      <w:proofErr w:type="gramEnd"/>
      <w:r w:rsidRPr="00315B8A">
        <w:t xml:space="preserve">2021) 423 </w:t>
      </w:r>
      <w:proofErr w:type="spellStart"/>
      <w:r w:rsidRPr="00315B8A">
        <w:t>final</w:t>
      </w:r>
      <w:proofErr w:type="spellEnd"/>
      <w:r w:rsidRPr="00315B8A">
        <w:t xml:space="preserve">] 20 artiklassa tarkoitetuksi ajaksi, jos direktiivin (EU) …./…. [lisätään viite – ehdotus rahanpesuntorjuntadirektiiviksi direktiivin (EU) 2015/849 kumoamisesta – </w:t>
      </w:r>
      <w:proofErr w:type="gramStart"/>
      <w:r w:rsidRPr="00315B8A">
        <w:t>COM(</w:t>
      </w:r>
      <w:proofErr w:type="gramEnd"/>
      <w:r w:rsidRPr="00315B8A">
        <w:t xml:space="preserve">2021) 423 </w:t>
      </w:r>
      <w:proofErr w:type="spellStart"/>
      <w:r w:rsidRPr="00315B8A">
        <w:t>final</w:t>
      </w:r>
      <w:proofErr w:type="spellEnd"/>
      <w:r w:rsidRPr="00315B8A">
        <w:t xml:space="preserve">] 32 artiklassa tarkoitettu rahanpesun selvittelykeskus ilmoittaa niille, että se on päättänyt keskeyttää liiketoimen tai olla antamatta suostumustaan sen jatkamiseen taikka </w:t>
      </w:r>
      <w:r w:rsidRPr="00315B8A">
        <w:lastRenderedPageBreak/>
        <w:t xml:space="preserve">päättänyt keskeyttää pankki- tai maksutilin käytön direktiivin (EU) …./…. [lisätään viite – ehdotus rahanpesuntorjuntadirektiiviksi direktiivin (EU) 2015/849 kumoamisesta – </w:t>
      </w:r>
      <w:proofErr w:type="gramStart"/>
      <w:r w:rsidRPr="00315B8A">
        <w:t>COM(</w:t>
      </w:r>
      <w:proofErr w:type="gramEnd"/>
      <w:r w:rsidRPr="00315B8A">
        <w:t xml:space="preserve">2021) 423 </w:t>
      </w:r>
      <w:proofErr w:type="spellStart"/>
      <w:r w:rsidRPr="00315B8A">
        <w:t>final</w:t>
      </w:r>
      <w:proofErr w:type="spellEnd"/>
      <w:r w:rsidRPr="00315B8A">
        <w:t xml:space="preserve">] 20 artiklan 1 tai 2 kohdan mukaisesti. </w:t>
      </w:r>
    </w:p>
    <w:p w:rsidR="008A068B" w:rsidRDefault="00F20D6F" w:rsidP="008A068B">
      <w:pPr>
        <w:pStyle w:val="Text1"/>
        <w:spacing w:line="360" w:lineRule="auto"/>
        <w:jc w:val="left"/>
      </w:pPr>
      <w:r w:rsidRPr="00315B8A">
        <w:t>4. Jäsenvaltioiden on varmistettava, että talletusten vakuusjärjestelmien ei katsota olevan vastuussa rahanpesun selvittelykeskuksen ohjeiden mukaisesti toteutetuista toimenpiteistä. Talletusten vakuusjärjestelmät saavat käyttää rahanpesun selvittelykeskukselta saatuja tietoja ainoastaan tämän direktiivin soveltamiseksi.</w:t>
      </w:r>
    </w:p>
    <w:p w:rsidR="008A068B" w:rsidRDefault="008A068B" w:rsidP="008A068B">
      <w:pPr>
        <w:pStyle w:val="Text1"/>
        <w:spacing w:line="360" w:lineRule="auto"/>
        <w:jc w:val="left"/>
      </w:pPr>
      <w:r w:rsidRPr="00E84F16">
        <w:t>_________________________________________</w:t>
      </w:r>
    </w:p>
    <w:p w:rsidR="008A068B" w:rsidRDefault="00F20D6F" w:rsidP="008A068B">
      <w:pPr>
        <w:pStyle w:val="Text1"/>
        <w:spacing w:line="360" w:lineRule="auto"/>
        <w:jc w:val="left"/>
      </w:pPr>
      <w:r w:rsidRPr="00315B8A">
        <w:t>*</w:t>
      </w:r>
      <w:r w:rsidRPr="00315B8A">
        <w:tab/>
        <w:t>Euroopan parlamentin ja neuvoston direktiivi 2014/92/EU, annettu 23 päivänä heinäkuuta 2014, maksutileihin liittyvien maksujen vertailukelpoisuudesta, maksutilien siirtämisestä ja mahdollisuudesta käyttää perusmaksutilejä (EUVL L 257, 28.8.2014, s. 214).</w:t>
      </w:r>
    </w:p>
    <w:p w:rsidR="00F20D6F" w:rsidRPr="00315B8A" w:rsidRDefault="00F20D6F" w:rsidP="008A068B">
      <w:pPr>
        <w:pStyle w:val="Text1"/>
        <w:spacing w:line="360" w:lineRule="auto"/>
        <w:jc w:val="left"/>
        <w:rPr>
          <w:noProof/>
          <w:szCs w:val="24"/>
        </w:rPr>
      </w:pPr>
      <w:r w:rsidRPr="00315B8A">
        <w:t>**</w:t>
      </w:r>
      <w:r w:rsidRPr="00315B8A">
        <w:tab/>
        <w:t>Euroopan parlamentin ja neuvoston direktiivi 96/9/EY, annettu 11 päivänä maaliskuuta 1996, tietokantojen oikeudellisesta suojasta (EYVL L 77, 27.3.1996, s. 20).”</w:t>
      </w:r>
    </w:p>
    <w:p w:rsidR="00F20D6F" w:rsidRPr="00315B8A" w:rsidRDefault="00F20D6F" w:rsidP="008A068B">
      <w:pPr>
        <w:pStyle w:val="Point0"/>
        <w:spacing w:line="360" w:lineRule="auto"/>
        <w:jc w:val="left"/>
        <w:rPr>
          <w:noProof/>
        </w:rPr>
      </w:pPr>
      <w:r w:rsidRPr="00315B8A">
        <w:t>(10)</w:t>
      </w:r>
      <w:r w:rsidRPr="00315B8A">
        <w:tab/>
        <w:t>Korvataan 9 artiklan 2 ja 3 kohta seuraavasti:</w:t>
      </w:r>
    </w:p>
    <w:p w:rsidR="00F20D6F" w:rsidRPr="00315B8A" w:rsidRDefault="00F20D6F" w:rsidP="00AF56F2">
      <w:pPr>
        <w:pStyle w:val="Text1"/>
        <w:spacing w:line="360" w:lineRule="auto"/>
        <w:jc w:val="left"/>
        <w:rPr>
          <w:noProof/>
        </w:rPr>
      </w:pPr>
      <w:r w:rsidRPr="00315B8A">
        <w:t xml:space="preserve">”2. Talletusten vakuusjärjestelmillä, jotka maksavat kansallisia vakuuskorvauksia, on tallettajille suorittamiaan maksuja vastaava </w:t>
      </w:r>
      <w:proofErr w:type="spellStart"/>
      <w:r w:rsidRPr="00315B8A">
        <w:t>sijaantulo</w:t>
      </w:r>
      <w:proofErr w:type="spellEnd"/>
      <w:r w:rsidRPr="00315B8A">
        <w:t>-oikeus tallettajien oikeuksiin likvidaatio- tai tervehdyttämismenettelyissä, sanotun kuitenkaan rajoittamatta kansallisessa lainsäädännössä talletusten vakuusjärjestelmille annettuja oikeuksia. Talletusten vakuusjärjestelmillä, jotka maksavat rahoitusosuuden direktiivin 2014/59/EU 37 artiklan 3 kohdan a tai b alakohdassa tarkoitettujen kriisinratkaisuvälineiden yhteydessä tai tämän direktiivin 11 artiklan 5 kohdan mukaisesti toteutettujen toimenpiteiden yhteydessä, on oltava jäljelle jäävältä luottolaitokselta saaminen kaikista tappioista, jotka johtuvat direktiivin 2014/59/EU 109 artiklan nojalla kriisinratkaisuun suoritetuista rahoitusosuuksista tai tämän direktiivin 11 artiklan 5 kohdan nojalla tehdyistä siirroista</w:t>
      </w:r>
      <w:r w:rsidRPr="00315B8A">
        <w:rPr>
          <w:b/>
          <w:i/>
        </w:rPr>
        <w:t>, ja sen määrän on vastattava niiden rahoitusosuutta, mikäli jäljelle jäävä luottolaitos likvidoidaan.</w:t>
      </w:r>
      <w:r w:rsidRPr="00315B8A">
        <w:t xml:space="preserve"> </w:t>
      </w:r>
      <w:r w:rsidRPr="00315B8A">
        <w:rPr>
          <w:rFonts w:ascii="Arial" w:hAnsi="Arial"/>
        </w:rPr>
        <w:t>▌</w:t>
      </w:r>
      <w:r w:rsidRPr="00315B8A">
        <w:t xml:space="preserve"> Tällaisella saamisella olisi katsottava olevan sama etuoikeusasema kuin </w:t>
      </w:r>
      <w:r w:rsidRPr="00315B8A">
        <w:rPr>
          <w:b/>
          <w:i/>
        </w:rPr>
        <w:t>suojatuilla</w:t>
      </w:r>
      <w:r w:rsidRPr="00315B8A">
        <w:t xml:space="preserve"> talletuksilla on tavanomaisia maksukyvyttömyysmenettelyjä sääntelevän kansallisen lainsäädännön mukaisesti.</w:t>
      </w:r>
    </w:p>
    <w:p w:rsidR="00F20D6F" w:rsidRPr="00315B8A" w:rsidRDefault="00F20D6F" w:rsidP="00AF56F2">
      <w:pPr>
        <w:pStyle w:val="Text1"/>
        <w:spacing w:line="360" w:lineRule="auto"/>
        <w:jc w:val="left"/>
        <w:rPr>
          <w:noProof/>
        </w:rPr>
      </w:pPr>
      <w:r w:rsidRPr="00315B8A">
        <w:lastRenderedPageBreak/>
        <w:t>3. Jäsenvaltioiden on varmistettava, että tallettajilla, joiden talletuksia ei ole korvattu talletusten vakuusjärjestelmästä tai tunnustettu siinä 8 artiklan 1 ja 3 kohdassa vahvistettujen määräaikojen kuluessa, on viisi vuotta aikaa vaatia talletustensa korvaamista.”</w:t>
      </w:r>
    </w:p>
    <w:p w:rsidR="00F20D6F" w:rsidRPr="00315B8A" w:rsidRDefault="00F20D6F" w:rsidP="00AF56F2">
      <w:pPr>
        <w:pStyle w:val="Point0"/>
        <w:spacing w:line="360" w:lineRule="auto"/>
        <w:jc w:val="left"/>
        <w:rPr>
          <w:noProof/>
        </w:rPr>
      </w:pPr>
      <w:r w:rsidRPr="00315B8A">
        <w:t>11)</w:t>
      </w:r>
      <w:r w:rsidRPr="00315B8A">
        <w:tab/>
        <w:t>Muutetaan 10 artikla seuraavasti:</w:t>
      </w:r>
    </w:p>
    <w:p w:rsidR="00F20D6F" w:rsidRPr="00315B8A" w:rsidRDefault="00F20D6F" w:rsidP="00AF56F2">
      <w:pPr>
        <w:pStyle w:val="Point1"/>
        <w:spacing w:line="360" w:lineRule="auto"/>
        <w:jc w:val="left"/>
        <w:rPr>
          <w:noProof/>
        </w:rPr>
      </w:pPr>
      <w:r w:rsidRPr="00315B8A">
        <w:t>a)</w:t>
      </w:r>
      <w:r w:rsidRPr="00315B8A">
        <w:tab/>
        <w:t>muutetaan 2 kohta seuraavasti:</w:t>
      </w:r>
    </w:p>
    <w:p w:rsidR="00F20D6F" w:rsidRPr="00315B8A" w:rsidRDefault="00F20D6F" w:rsidP="00AF56F2">
      <w:pPr>
        <w:pStyle w:val="Point2"/>
        <w:spacing w:line="360" w:lineRule="auto"/>
        <w:jc w:val="left"/>
        <w:rPr>
          <w:noProof/>
        </w:rPr>
      </w:pPr>
      <w:r w:rsidRPr="00315B8A">
        <w:t>i)</w:t>
      </w:r>
      <w:r w:rsidRPr="00315B8A">
        <w:tab/>
        <w:t>lisätään ensimmäisen alakohdan jälkeen alakohdat seuraavasti:</w:t>
      </w:r>
    </w:p>
    <w:p w:rsidR="00F20D6F" w:rsidRPr="00315B8A" w:rsidRDefault="00F20D6F" w:rsidP="00AF56F2">
      <w:pPr>
        <w:pStyle w:val="Text3"/>
        <w:spacing w:line="360" w:lineRule="auto"/>
        <w:jc w:val="left"/>
        <w:rPr>
          <w:noProof/>
        </w:rPr>
      </w:pPr>
      <w:r w:rsidRPr="00315B8A">
        <w:t xml:space="preserve">”Ensimmäisessä alakohdassa tarkoitetun tavoitetason laskemisessa käytettävä viitejakso alkaa 31 päivänä joulukuuta, joka edeltää sitä päivää, jona tavoitetaso on määrä saavuttaa, ja päättyy kyseisenä päivänä. </w:t>
      </w:r>
    </w:p>
    <w:p w:rsidR="00F20D6F" w:rsidRPr="00315B8A" w:rsidRDefault="00F20D6F" w:rsidP="00AF56F2">
      <w:pPr>
        <w:pStyle w:val="Text3"/>
        <w:spacing w:line="360" w:lineRule="auto"/>
        <w:jc w:val="left"/>
        <w:rPr>
          <w:noProof/>
        </w:rPr>
      </w:pPr>
      <w:r w:rsidRPr="00315B8A">
        <w:t xml:space="preserve">Määrittäessään, onko talletusten vakuusjärjestelmä saavuttanut kyseisen tavoitetason, jäsenvaltioiden on otettava huomioon ainoastaan järjestelmän jäsenien suoraan maksamat tai niiltä perityt käytettävissä olevat rahoitusvarat, joista on vähennetty hallinnolliset kustannukset ja maksut. Näihin käytettävissä oleviin rahoitusvaroihin on sisällytettävä sijoitustulot, jotka saadaan jäsenten talletusten vakuusjärjestelmään maksamista varoista, mutta ne eivät saa sisältää korvauksia, joita suojakelpoiset tallettajat eivät ole vaatineet korvausmenettelyjen aikana, </w:t>
      </w:r>
      <w:r w:rsidRPr="00315B8A">
        <w:rPr>
          <w:b/>
          <w:i/>
        </w:rPr>
        <w:t>eivätkä talletusten vakuusjärjestelmän maksamattomia velkoja, mukaan lukien muilta talletusten vakuusjärjestelmiltä saadut lainat ja 10 artiklan 9 alakohdassa tarkoitetut vaihtoehtoiset rahoitusjärjestelyt.</w:t>
      </w:r>
      <w:r w:rsidRPr="00315B8A">
        <w:t xml:space="preserve"> </w:t>
      </w:r>
      <w:r w:rsidRPr="00315B8A">
        <w:rPr>
          <w:b/>
          <w:i/>
        </w:rPr>
        <w:t>Toiselle talletusten vakuusjärjestelmälle 12 artiklan mukaisesti myönnettyä maksamatonta lainaa on käsiteltävä lainan antaneen talletusten vakuusjärjestelmän omaisuuseränä ja se voidaan laskea mukaan kyseisen talletusten vakuusjärjestelmän tavoitetasoon.</w:t>
      </w:r>
      <w:r w:rsidRPr="00315B8A">
        <w:t>”;</w:t>
      </w:r>
    </w:p>
    <w:p w:rsidR="00F20D6F" w:rsidRPr="00315B8A" w:rsidRDefault="00F20D6F" w:rsidP="00AF56F2">
      <w:pPr>
        <w:pStyle w:val="Point2"/>
        <w:spacing w:line="360" w:lineRule="auto"/>
        <w:jc w:val="left"/>
        <w:rPr>
          <w:noProof/>
        </w:rPr>
      </w:pPr>
      <w:r w:rsidRPr="00315B8A">
        <w:t>ii)</w:t>
      </w:r>
      <w:r w:rsidRPr="00315B8A">
        <w:tab/>
        <w:t>korvataan kolmas alakohta seuraavasti:</w:t>
      </w:r>
    </w:p>
    <w:p w:rsidR="00F20D6F" w:rsidRPr="00315B8A" w:rsidRDefault="00F20D6F" w:rsidP="00AF56F2">
      <w:pPr>
        <w:pStyle w:val="Text3"/>
        <w:spacing w:line="360" w:lineRule="auto"/>
        <w:jc w:val="left"/>
        <w:rPr>
          <w:noProof/>
        </w:rPr>
      </w:pPr>
      <w:r w:rsidRPr="00315B8A">
        <w:t xml:space="preserve">”Jos sen jälkeen, kun ensimmäisessä alakohdassa tarkoitettu tavoitetaso on saavutettu ensimmäisen kerran, käytettävissä olevat rahoitusvarat ovat 8 artiklan 1 kohdan ja 11 artiklan 2, 3 ja 5 alakohdan mukaisen maksujen suorittamisen seurauksena vähentyneet alle kahteen kolmasosaan tavoitetasosta, talletusten vakuusjärjestelmien on asetettava säännöllinen </w:t>
      </w:r>
      <w:r w:rsidRPr="00315B8A">
        <w:lastRenderedPageBreak/>
        <w:t xml:space="preserve">kannatusmaksu tasolle, joka mahdollistaa tavoitetason saavuttamisen </w:t>
      </w:r>
      <w:r w:rsidRPr="00315B8A">
        <w:rPr>
          <w:b/>
          <w:i/>
        </w:rPr>
        <w:t>neljän</w:t>
      </w:r>
      <w:r w:rsidRPr="00315B8A">
        <w:t xml:space="preserve"> vuoden kuluessa.</w:t>
      </w:r>
    </w:p>
    <w:p w:rsidR="00F20D6F" w:rsidRPr="00315B8A" w:rsidRDefault="00F20D6F" w:rsidP="00AF56F2">
      <w:pPr>
        <w:pStyle w:val="Text3"/>
        <w:spacing w:line="360" w:lineRule="auto"/>
        <w:jc w:val="left"/>
      </w:pPr>
      <w:r w:rsidRPr="00315B8A">
        <w:rPr>
          <w:b/>
          <w:i/>
        </w:rPr>
        <w:t>Jos sen jälkeen, kun ensimmäisessä alakohdassa tarkoitettu tavoitetaso on saavutettu ensimmäisen kerran, käytettävissä olevat rahoitusvarat ovat 8 artiklan 1 kohdan ja 11 artiklan 2, 3 ja 5 alakohdan mukaisen maksujen suorittamisen seurauksena vähentyneet vähemmän kuin yhdellä kolmasosalla tavoitetasosta, talletusten vakuusjärjestelmien on asetettava säännöllinen kannatusmaksu tasolle, joka mahdollistaa tavoitetason saavuttamisen kahden vuoden kuluessa.”</w:t>
      </w:r>
      <w:r w:rsidRPr="00315B8A">
        <w:t>;</w:t>
      </w:r>
    </w:p>
    <w:p w:rsidR="00F20D6F" w:rsidRPr="00315B8A" w:rsidRDefault="00F20D6F" w:rsidP="00AF56F2">
      <w:pPr>
        <w:pStyle w:val="Text3"/>
        <w:spacing w:line="360" w:lineRule="auto"/>
        <w:ind w:hanging="566"/>
        <w:jc w:val="left"/>
        <w:rPr>
          <w:b/>
          <w:i/>
        </w:rPr>
      </w:pPr>
      <w:r w:rsidRPr="00315B8A">
        <w:rPr>
          <w:b/>
          <w:i/>
        </w:rPr>
        <w:t>ii a)</w:t>
      </w:r>
      <w:r w:rsidRPr="00315B8A">
        <w:rPr>
          <w:b/>
          <w:i/>
        </w:rPr>
        <w:tab/>
        <w:t>korvataan viides alakohta seuraavasti:</w:t>
      </w:r>
    </w:p>
    <w:p w:rsidR="00F20D6F" w:rsidRPr="00315B8A" w:rsidRDefault="00F20D6F" w:rsidP="00AF56F2">
      <w:pPr>
        <w:pStyle w:val="Text3"/>
        <w:spacing w:line="360" w:lineRule="auto"/>
        <w:ind w:firstLine="1"/>
        <w:jc w:val="left"/>
        <w:rPr>
          <w:b/>
          <w:i/>
          <w:noProof/>
        </w:rPr>
      </w:pPr>
      <w:r w:rsidRPr="00315B8A">
        <w:rPr>
          <w:b/>
          <w:i/>
        </w:rPr>
        <w:t>”Jäsenvaltiot voivat pidentää ensimmäisessä alakohdassa tarkoitettua alkuvaihetta enintään neljällä vuodella siinä tapauksessa, että talletusten vakuusjärjestelmästä suoritettujen maksujen kokonaismäärä korvausten maksamiseksi tallettajille on ylittänyt 0,8 prosenttia suojattujen talletusten määrästä.”;</w:t>
      </w:r>
    </w:p>
    <w:p w:rsidR="00F20D6F" w:rsidRPr="00315B8A" w:rsidRDefault="00F20D6F" w:rsidP="00AF56F2">
      <w:pPr>
        <w:pStyle w:val="Point1"/>
        <w:spacing w:line="360" w:lineRule="auto"/>
        <w:jc w:val="left"/>
        <w:rPr>
          <w:noProof/>
        </w:rPr>
      </w:pPr>
      <w:r w:rsidRPr="00315B8A">
        <w:t>b)</w:t>
      </w:r>
      <w:r w:rsidRPr="00315B8A">
        <w:tab/>
        <w:t>korvataan 3 kohta seuraavasti:</w:t>
      </w:r>
    </w:p>
    <w:p w:rsidR="00F20D6F" w:rsidRPr="00315B8A" w:rsidRDefault="00F20D6F" w:rsidP="00AF56F2">
      <w:pPr>
        <w:pStyle w:val="Text2"/>
        <w:spacing w:line="360" w:lineRule="auto"/>
        <w:jc w:val="left"/>
        <w:rPr>
          <w:noProof/>
        </w:rPr>
      </w:pPr>
      <w:r w:rsidRPr="00315B8A">
        <w:t>”3. Käytettävissä oleviin rahoitusvaroihin, jotka talletusten vakuusjärjestelmä ottaa huomioon 2 kohdassa tarkoitetun tavoitetason saavuttamiseksi, voi sisältyä maksusitoumuksia</w:t>
      </w:r>
      <w:r w:rsidRPr="00315B8A">
        <w:rPr>
          <w:b/>
          <w:i/>
        </w:rPr>
        <w:t>, jotka maksetaan 48 tunnin kuluessa talletusten vakuusjärjestelmän pyynnöstä</w:t>
      </w:r>
      <w:r w:rsidRPr="00315B8A">
        <w:t xml:space="preserve">. Tällaisten maksusitoumusten kokonaisosuus ei saa ylittää 30:tä prosenttia 2 kohdan mukaisesti hankittujen käytettävissä olevien rahoitusvarojen kokonaismäärästä. </w:t>
      </w:r>
    </w:p>
    <w:p w:rsidR="00F20D6F" w:rsidRPr="00315B8A" w:rsidRDefault="00F20D6F" w:rsidP="00AF56F2">
      <w:pPr>
        <w:pStyle w:val="Text2"/>
        <w:spacing w:line="360" w:lineRule="auto"/>
        <w:jc w:val="left"/>
        <w:rPr>
          <w:noProof/>
        </w:rPr>
      </w:pPr>
      <w:r w:rsidRPr="00315B8A">
        <w:t>EPV antaa maksusitoumuksia koskevia ohjeita, joissa määritetään niiden hyväksymistä koskevat kriteerit.”;</w:t>
      </w:r>
    </w:p>
    <w:p w:rsidR="00F20D6F" w:rsidRPr="00315B8A" w:rsidRDefault="00F20D6F" w:rsidP="00AF56F2">
      <w:pPr>
        <w:pStyle w:val="Point1"/>
        <w:spacing w:line="360" w:lineRule="auto"/>
        <w:jc w:val="left"/>
        <w:rPr>
          <w:noProof/>
        </w:rPr>
      </w:pPr>
      <w:r w:rsidRPr="00315B8A">
        <w:t>c)</w:t>
      </w:r>
      <w:r w:rsidRPr="00315B8A">
        <w:tab/>
        <w:t xml:space="preserve">kumotaan 4 kohta; </w:t>
      </w:r>
    </w:p>
    <w:p w:rsidR="00F20D6F" w:rsidRPr="00315B8A" w:rsidRDefault="00F20D6F" w:rsidP="00AF56F2">
      <w:pPr>
        <w:pStyle w:val="Point1"/>
        <w:spacing w:line="360" w:lineRule="auto"/>
        <w:jc w:val="left"/>
        <w:rPr>
          <w:noProof/>
        </w:rPr>
      </w:pPr>
      <w:r w:rsidRPr="00315B8A">
        <w:t>d)</w:t>
      </w:r>
      <w:r w:rsidRPr="00315B8A">
        <w:tab/>
        <w:t>korvataan 7 kohta seuraavasti:</w:t>
      </w:r>
    </w:p>
    <w:p w:rsidR="00F20D6F" w:rsidRPr="00315B8A" w:rsidRDefault="00F20D6F" w:rsidP="00AF56F2">
      <w:pPr>
        <w:pStyle w:val="Text2"/>
        <w:spacing w:line="360" w:lineRule="auto"/>
        <w:jc w:val="left"/>
        <w:rPr>
          <w:noProof/>
        </w:rPr>
      </w:pPr>
      <w:r w:rsidRPr="00315B8A">
        <w:t xml:space="preserve">”7. Jäsenvaltion on varmistettava, että talletusten vakuusjärjestelmät, nimetyt viranomaiset tai toimivaltaiset viranomaiset määrittävät sijoitusstrategian talletusten vakuusjärjestelmien käytettävissä oleville rahoitusvaroille ja että tämä sijoitusstrategia on hajauttamista ja vähäriskiseen </w:t>
      </w:r>
      <w:r w:rsidRPr="00315B8A">
        <w:rPr>
          <w:b/>
          <w:i/>
        </w:rPr>
        <w:t xml:space="preserve">ja likvidiin </w:t>
      </w:r>
      <w:r w:rsidRPr="00315B8A">
        <w:t>varallisuuteen sijoittamista koskevan periaatteen mukainen.</w:t>
      </w:r>
    </w:p>
    <w:p w:rsidR="00F20D6F" w:rsidRPr="00315B8A" w:rsidRDefault="00F20D6F" w:rsidP="00AF56F2">
      <w:pPr>
        <w:pStyle w:val="Text2"/>
        <w:spacing w:line="360" w:lineRule="auto"/>
        <w:jc w:val="left"/>
        <w:rPr>
          <w:b/>
          <w:i/>
        </w:rPr>
      </w:pPr>
      <w:r w:rsidRPr="00315B8A">
        <w:rPr>
          <w:b/>
          <w:i/>
        </w:rPr>
        <w:lastRenderedPageBreak/>
        <w:t>Jäsenvaltioiden on varmistettava, että tämän kohdan ensimmäisessä alakohdassa tarkoitettu sijoitusstrategia on komission delegoidun asetuksen (EU) 2016/451* 4, 8 ja 10 artiklassa säädettyjen periaatteiden mukainen.</w:t>
      </w:r>
    </w:p>
    <w:p w:rsidR="00F20D6F" w:rsidRPr="00315B8A" w:rsidRDefault="00F20D6F" w:rsidP="00AF56F2">
      <w:pPr>
        <w:pStyle w:val="Text2"/>
        <w:spacing w:line="360" w:lineRule="auto"/>
        <w:jc w:val="left"/>
        <w:rPr>
          <w:b/>
          <w:i/>
          <w:szCs w:val="24"/>
        </w:rPr>
      </w:pPr>
      <w:r w:rsidRPr="00315B8A">
        <w:rPr>
          <w:b/>
          <w:i/>
        </w:rPr>
        <w:t>_______________</w:t>
      </w:r>
    </w:p>
    <w:p w:rsidR="00F20D6F" w:rsidRPr="00315B8A" w:rsidRDefault="00F20D6F" w:rsidP="00AF56F2">
      <w:pPr>
        <w:pStyle w:val="Text2"/>
        <w:spacing w:line="360" w:lineRule="auto"/>
        <w:jc w:val="left"/>
        <w:rPr>
          <w:noProof/>
        </w:rPr>
      </w:pPr>
      <w:r w:rsidRPr="00315B8A">
        <w:rPr>
          <w:b/>
          <w:i/>
        </w:rPr>
        <w:t>*</w:t>
      </w:r>
      <w:r w:rsidRPr="00315B8A">
        <w:rPr>
          <w:b/>
          <w:i/>
        </w:rPr>
        <w:tab/>
        <w:t>Komission delegoitu asetus (EU) 2016/451, annettu 16 päivänä joulukuuta 2015, yhteisen kriisinratkaisurahaston sijoitusstrategiaa koskevien yleisten periaatteiden ja perusteiden ja hallintoa koskevien sääntöjen vahvistamisesta (EUVL L 79, 30.3.2016, s. 2).</w:t>
      </w:r>
      <w:r w:rsidRPr="00315B8A">
        <w:t>”;</w:t>
      </w:r>
    </w:p>
    <w:p w:rsidR="00F20D6F" w:rsidRPr="00315B8A" w:rsidRDefault="00F20D6F" w:rsidP="00AF56F2">
      <w:pPr>
        <w:pStyle w:val="Point1"/>
        <w:spacing w:line="360" w:lineRule="auto"/>
        <w:jc w:val="left"/>
        <w:rPr>
          <w:noProof/>
        </w:rPr>
      </w:pPr>
      <w:r w:rsidRPr="00315B8A">
        <w:t>e)</w:t>
      </w:r>
      <w:r w:rsidRPr="00315B8A">
        <w:tab/>
        <w:t>lisätään 7 a kohta seuraavasti:</w:t>
      </w:r>
    </w:p>
    <w:p w:rsidR="00F20D6F" w:rsidRPr="00315B8A" w:rsidRDefault="00F20D6F" w:rsidP="00AF56F2">
      <w:pPr>
        <w:pStyle w:val="Text2"/>
        <w:spacing w:line="360" w:lineRule="auto"/>
        <w:jc w:val="left"/>
        <w:rPr>
          <w:noProof/>
        </w:rPr>
      </w:pPr>
      <w:r w:rsidRPr="00315B8A">
        <w:t>”7 a. Jäsenvaltioiden on varmistettava, että talletusten vakuusjärjestelmät voivat tallettaa käytettävissä olevat rahoitusvaransa kokonaan tai osittain maansa kansalliseen keskuspankkiin tai valtionkonttoriin, jos</w:t>
      </w:r>
      <w:r w:rsidRPr="00315B8A">
        <w:rPr>
          <w:b/>
          <w:i/>
        </w:rPr>
        <w:t xml:space="preserve"> tämä on talletusten vakuusjärjestelmän kannalta kustannustehokas päätös ja</w:t>
      </w:r>
      <w:r w:rsidRPr="00315B8A">
        <w:t xml:space="preserve"> kyseiset käytettävissä olevat rahoitusvarat pidetään erotellulla tilillä ja jos ne ovat helposti saatavilla talletusten vakuusjärjestelmän käyttöön 11 ja 12 artiklan mukaisesti.”;</w:t>
      </w:r>
    </w:p>
    <w:p w:rsidR="00F20D6F" w:rsidRPr="00315B8A" w:rsidRDefault="00F20D6F" w:rsidP="00AF56F2">
      <w:pPr>
        <w:pStyle w:val="Text2"/>
        <w:spacing w:line="360" w:lineRule="auto"/>
        <w:ind w:hanging="566"/>
        <w:jc w:val="left"/>
        <w:rPr>
          <w:b/>
          <w:i/>
        </w:rPr>
      </w:pPr>
      <w:r w:rsidRPr="00315B8A">
        <w:rPr>
          <w:b/>
          <w:i/>
        </w:rPr>
        <w:t>e a)</w:t>
      </w:r>
      <w:r w:rsidRPr="00315B8A">
        <w:rPr>
          <w:b/>
          <w:i/>
        </w:rPr>
        <w:tab/>
        <w:t>korvataan 9 kohta seuraavasti:</w:t>
      </w:r>
    </w:p>
    <w:p w:rsidR="00F20D6F" w:rsidRPr="00315B8A" w:rsidRDefault="00F20D6F" w:rsidP="00AF56F2">
      <w:pPr>
        <w:pStyle w:val="Text2"/>
        <w:spacing w:line="360" w:lineRule="auto"/>
        <w:ind w:firstLine="1"/>
        <w:jc w:val="left"/>
        <w:rPr>
          <w:b/>
          <w:i/>
          <w:noProof/>
        </w:rPr>
      </w:pPr>
      <w:r w:rsidRPr="00315B8A">
        <w:rPr>
          <w:b/>
          <w:i/>
        </w:rPr>
        <w:t>”9. Jäsenvaltioiden on varmistettava, että talletusten vakuusjärjestelmillä on käytössään asianmukaiset vaihtoehtoiset rahoitusjärjestelyt, joiden avulla ne voivat hankkia lyhyen aikavälin rahoitusta täyttääkseen niitä vastaan esitetyt vaatimukset. Jäsenvaltioiden on varmistettava, että talletusten vakuusjärjestelmien vaihtoehtoisia rahoitusjärjestelyjä ei rahoiteta julkisilla varoilla.”;</w:t>
      </w:r>
    </w:p>
    <w:p w:rsidR="00F20D6F" w:rsidRPr="00315B8A" w:rsidRDefault="00F20D6F" w:rsidP="00AF56F2">
      <w:pPr>
        <w:pStyle w:val="Point1"/>
        <w:spacing w:line="360" w:lineRule="auto"/>
        <w:jc w:val="left"/>
        <w:rPr>
          <w:noProof/>
        </w:rPr>
      </w:pPr>
      <w:r w:rsidRPr="00315B8A">
        <w:t>f)</w:t>
      </w:r>
      <w:r w:rsidRPr="00315B8A">
        <w:tab/>
        <w:t>kumotaan 10 kohta;</w:t>
      </w:r>
    </w:p>
    <w:p w:rsidR="00F20D6F" w:rsidRPr="00315B8A" w:rsidRDefault="00F20D6F" w:rsidP="00AF56F2">
      <w:pPr>
        <w:pStyle w:val="Point1"/>
        <w:spacing w:line="360" w:lineRule="auto"/>
        <w:jc w:val="left"/>
        <w:rPr>
          <w:noProof/>
        </w:rPr>
      </w:pPr>
      <w:r w:rsidRPr="00315B8A">
        <w:t>g)</w:t>
      </w:r>
      <w:r w:rsidRPr="00315B8A">
        <w:tab/>
        <w:t>lisätään 11, 12 ja 13 kohta seuraavasti:</w:t>
      </w:r>
    </w:p>
    <w:p w:rsidR="00F20D6F" w:rsidRPr="00315B8A" w:rsidRDefault="00F20D6F" w:rsidP="00AF56F2">
      <w:pPr>
        <w:pStyle w:val="Text2"/>
        <w:spacing w:line="360" w:lineRule="auto"/>
        <w:jc w:val="left"/>
        <w:rPr>
          <w:noProof/>
        </w:rPr>
      </w:pPr>
      <w:r w:rsidRPr="00315B8A">
        <w:t>”11. Jäsenvaltioiden on varmistettava, että talletusten vakuusjärjestelmät voivat 11 artiklan 1, 2, 3 ja 5 kohdassa tarkoitettujen toimenpiteiden yhteydessä käyttää 10 artiklan 9 kohdassa tarkoitetuista vaihtoehtoisista rahoitusjärjestelyistä peräisin olevia varoja ▌ ennen käytettävissä olevien rahoitusvarojen käyttöä ja ennen 10 artiklan 8 kohdassa tarkoitettujen ylimääräisten kannatusmaksujen keräämistä. ▌</w:t>
      </w:r>
    </w:p>
    <w:p w:rsidR="00F20D6F" w:rsidRPr="00315B8A" w:rsidRDefault="00F20D6F" w:rsidP="00AF56F2">
      <w:pPr>
        <w:pStyle w:val="Text2"/>
        <w:spacing w:line="360" w:lineRule="auto"/>
        <w:jc w:val="left"/>
        <w:rPr>
          <w:noProof/>
        </w:rPr>
      </w:pPr>
      <w:r w:rsidRPr="00315B8A">
        <w:lastRenderedPageBreak/>
        <w:t>12. EPV laatii teknisten sääntelystandardien luonnokset, joissa täsmennetään</w:t>
      </w:r>
    </w:p>
    <w:p w:rsidR="00F20D6F" w:rsidRPr="00315B8A" w:rsidRDefault="00F20D6F" w:rsidP="00AF56F2">
      <w:pPr>
        <w:pStyle w:val="Point2"/>
        <w:spacing w:line="360" w:lineRule="auto"/>
        <w:jc w:val="left"/>
        <w:rPr>
          <w:noProof/>
        </w:rPr>
      </w:pPr>
      <w:r w:rsidRPr="00315B8A">
        <w:t>a)</w:t>
      </w:r>
      <w:r w:rsidRPr="00315B8A">
        <w:tab/>
        <w:t>edellä 2 kohdassa tarkoitetun tavoitetason saavuttamiseen hyväksyttävien käytettävissä olevien rahoitusvarojen laskennassa käytettävät menetelmät, mukaan lukien talletusten vakuusjärjestelmien käytettävissä olevien rahoitusvarojen ja niihin maksetuista varoista johtuvien käytettävissä olevien rahoitusvarojen luokkien rajaaminen;</w:t>
      </w:r>
    </w:p>
    <w:p w:rsidR="00F20D6F" w:rsidRPr="00315B8A" w:rsidRDefault="00F20D6F" w:rsidP="00AF56F2">
      <w:pPr>
        <w:pStyle w:val="Point2"/>
        <w:spacing w:line="360" w:lineRule="auto"/>
        <w:jc w:val="left"/>
        <w:rPr>
          <w:noProof/>
        </w:rPr>
      </w:pPr>
      <w:r w:rsidRPr="00315B8A">
        <w:t>b)</w:t>
      </w:r>
      <w:r w:rsidRPr="00315B8A">
        <w:tab/>
        <w:t>yksityiskohdat prosessista 2 kohdassa tarkoitetun tavoitetason saavuttamiseksi sen jälkeen, kun talletusten vakuusjärjestelmä on käyttänyt käytettävissä olevia rahoitusvaroja 11 artiklan mukaisesti.</w:t>
      </w:r>
    </w:p>
    <w:p w:rsidR="00F20D6F" w:rsidRPr="00315B8A" w:rsidRDefault="00F20D6F" w:rsidP="00AF56F2">
      <w:pPr>
        <w:pStyle w:val="Text2"/>
        <w:spacing w:line="360" w:lineRule="auto"/>
        <w:jc w:val="left"/>
        <w:rPr>
          <w:noProof/>
        </w:rPr>
      </w:pPr>
      <w:r w:rsidRPr="00315B8A">
        <w:t>EPV toimittaa nämä teknisten sääntelystandardien luonnokset komissiolle viimeistään [julkaisutoimisto: lisätään päivämäärä, joka on 24 kuukautta tämän direktiivin voimaantulopäivästä].</w:t>
      </w:r>
    </w:p>
    <w:p w:rsidR="00F20D6F" w:rsidRPr="00315B8A" w:rsidRDefault="00F20D6F" w:rsidP="00AF56F2">
      <w:pPr>
        <w:pStyle w:val="Text2"/>
        <w:spacing w:line="360" w:lineRule="auto"/>
        <w:jc w:val="left"/>
        <w:rPr>
          <w:noProof/>
        </w:rPr>
      </w:pPr>
      <w:r w:rsidRPr="00315B8A">
        <w:t xml:space="preserve">Siirretään komissiolle valta täydentää tätä direktiiviä hyväksymällä ensimmäisessä alakohdassa tarkoitetut tekniset sääntelystandardit asetuksen (EU) </w:t>
      </w:r>
      <w:proofErr w:type="gramStart"/>
      <w:r w:rsidRPr="00315B8A">
        <w:t>N:o</w:t>
      </w:r>
      <w:proofErr w:type="gramEnd"/>
      <w:r w:rsidRPr="00315B8A">
        <w:t xml:space="preserve"> 1093/2010 10–14 artiklan mukaisesti.</w:t>
      </w:r>
    </w:p>
    <w:p w:rsidR="00F20D6F" w:rsidRPr="00315B8A" w:rsidRDefault="00F20D6F" w:rsidP="00AF56F2">
      <w:pPr>
        <w:pStyle w:val="Text2"/>
        <w:spacing w:line="360" w:lineRule="auto"/>
        <w:jc w:val="left"/>
        <w:rPr>
          <w:noProof/>
        </w:rPr>
      </w:pPr>
      <w:r w:rsidRPr="00315B8A">
        <w:t>13. EPV laatii viimeistään [julkaisutoimisto: lisätään päivämäärä, joka on 24 kuukautta tämän direktiivin voimaantulopäivästä] ohjeita talletusten vakuusjärjestelmien auttamiseksi käytettävissä olevien rahoitusvarojensa hajauttamisessa ja siitä, miten talletusten vakuusjärjestelmät voisivat sijoittaa sellaiseen vähäriskiseen varallisuuteen, joka voidaan lukea talletusten vakuusjärjestelmien käytettävissä oleviin rahoitusvaroihin.”</w:t>
      </w:r>
    </w:p>
    <w:p w:rsidR="00F20D6F" w:rsidRPr="00315B8A" w:rsidRDefault="00F20D6F" w:rsidP="00AF56F2">
      <w:pPr>
        <w:pStyle w:val="Point0"/>
        <w:spacing w:line="360" w:lineRule="auto"/>
        <w:jc w:val="left"/>
        <w:rPr>
          <w:noProof/>
        </w:rPr>
      </w:pPr>
      <w:r w:rsidRPr="00315B8A">
        <w:t>12)</w:t>
      </w:r>
      <w:r w:rsidRPr="00315B8A">
        <w:tab/>
        <w:t>Korvataan 11 artikla seuraavasti:</w:t>
      </w:r>
    </w:p>
    <w:p w:rsidR="00F20D6F" w:rsidRPr="00315B8A" w:rsidRDefault="00F20D6F" w:rsidP="00811334">
      <w:pPr>
        <w:pStyle w:val="Text1"/>
        <w:spacing w:line="360" w:lineRule="auto"/>
        <w:jc w:val="center"/>
        <w:rPr>
          <w:i/>
          <w:iCs/>
          <w:noProof/>
        </w:rPr>
      </w:pPr>
      <w:r w:rsidRPr="00315B8A">
        <w:t>”</w:t>
      </w:r>
      <w:r w:rsidRPr="00315B8A">
        <w:rPr>
          <w:i/>
        </w:rPr>
        <w:t>11 artikla</w:t>
      </w:r>
    </w:p>
    <w:p w:rsidR="00F20D6F" w:rsidRPr="00315B8A" w:rsidRDefault="00F20D6F" w:rsidP="00811334">
      <w:pPr>
        <w:pStyle w:val="Text1"/>
        <w:spacing w:line="360" w:lineRule="auto"/>
        <w:jc w:val="center"/>
        <w:rPr>
          <w:b/>
          <w:iCs/>
          <w:noProof/>
        </w:rPr>
      </w:pPr>
      <w:r w:rsidRPr="00315B8A">
        <w:rPr>
          <w:b/>
        </w:rPr>
        <w:t>Varojen käyttö</w:t>
      </w:r>
    </w:p>
    <w:p w:rsidR="00F20D6F" w:rsidRPr="00315B8A" w:rsidRDefault="00F20D6F" w:rsidP="00AF56F2">
      <w:pPr>
        <w:pStyle w:val="Text1"/>
        <w:spacing w:line="360" w:lineRule="auto"/>
        <w:jc w:val="left"/>
        <w:rPr>
          <w:noProof/>
        </w:rPr>
      </w:pPr>
      <w:r w:rsidRPr="00315B8A">
        <w:t xml:space="preserve">1. Jäsenvaltioiden on varmistettava, että talletusten vakuusjärjestelmät käyttävät 10 artiklassa tarkoitettuja käytettävissä olevia rahoitusvaroja ensisijaisesti </w:t>
      </w:r>
      <w:r w:rsidRPr="00315B8A">
        <w:rPr>
          <w:b/>
          <w:i/>
        </w:rPr>
        <w:t>varmistaakseen</w:t>
      </w:r>
      <w:r w:rsidRPr="00315B8A">
        <w:t xml:space="preserve"> 8 artiklan </w:t>
      </w:r>
      <w:r w:rsidRPr="00315B8A">
        <w:rPr>
          <w:b/>
          <w:i/>
        </w:rPr>
        <w:t>mukaisen korvausten maksamisen</w:t>
      </w:r>
      <w:r w:rsidRPr="00315B8A">
        <w:t xml:space="preserve"> tallettajille. ▌</w:t>
      </w:r>
    </w:p>
    <w:p w:rsidR="00F20D6F" w:rsidRPr="00315B8A" w:rsidRDefault="00F20D6F" w:rsidP="00AF56F2">
      <w:pPr>
        <w:pStyle w:val="Text1"/>
        <w:spacing w:line="360" w:lineRule="auto"/>
        <w:jc w:val="left"/>
        <w:rPr>
          <w:noProof/>
        </w:rPr>
      </w:pPr>
      <w:r w:rsidRPr="00315B8A">
        <w:t xml:space="preserve">2. Jäsenvaltioiden on varmistettava, että talletusten vakuusjärjestelmät käyttävät käytettävissä olevia rahoitusvaroja luottolaitosten kriisinratkaisun rahoittamiseen direktiivin 2014/59/EU 109 artiklan mukaisesti. Jäsenvaltioiden on varmistettava, että kriisinratkaisuviranomaiset määrittävät määrän, joka talletusten </w:t>
      </w:r>
      <w:r w:rsidRPr="00315B8A">
        <w:lastRenderedPageBreak/>
        <w:t xml:space="preserve">vakuusjärjestelmästä maksetaan luottolaitosten kriisinratkaisun rahoittamiseen, sen jälkeen, kun kriisinratkaisuviranomaiset ovat kuulleet talletusten vakuusjärjestelmää tämän direktiivin 11 e artiklassa tarkoitetun pienimmän kustannuksen testin tuloksista. </w:t>
      </w:r>
      <w:r w:rsidRPr="00315B8A">
        <w:rPr>
          <w:b/>
          <w:i/>
        </w:rPr>
        <w:t>Jäsenvaltioiden on varmistettava, että talletusten vakuusjärjestelmät vastaavat tällaiseen kuulemiseen viipymättä.</w:t>
      </w:r>
    </w:p>
    <w:p w:rsidR="00F20D6F" w:rsidRPr="00315B8A" w:rsidRDefault="00F20D6F" w:rsidP="00AF56F2">
      <w:pPr>
        <w:pStyle w:val="Text1"/>
        <w:spacing w:line="360" w:lineRule="auto"/>
        <w:jc w:val="left"/>
        <w:rPr>
          <w:noProof/>
        </w:rPr>
      </w:pPr>
      <w:r w:rsidRPr="00315B8A">
        <w:t xml:space="preserve">3. Jäsenvaltiot </w:t>
      </w:r>
      <w:r w:rsidRPr="00315B8A">
        <w:rPr>
          <w:b/>
          <w:i/>
        </w:rPr>
        <w:t>sallivat sen</w:t>
      </w:r>
      <w:r w:rsidRPr="00315B8A">
        <w:t>, että talletusten vakuusjärjestelmät käyttävät käytettävissä olevia rahoitusvaroja 11 a artiklassa tarkoitettuihin ennaltaehkäiseviin toimenpiteisiin luottolaitoksen hyväksi, kun kaikki seuraavat edellytykset täyttyvät:</w:t>
      </w:r>
    </w:p>
    <w:p w:rsidR="00F20D6F" w:rsidRPr="00315B8A" w:rsidRDefault="00F20D6F" w:rsidP="00AF56F2">
      <w:pPr>
        <w:pStyle w:val="Point1"/>
        <w:spacing w:line="360" w:lineRule="auto"/>
        <w:jc w:val="left"/>
        <w:rPr>
          <w:noProof/>
        </w:rPr>
      </w:pPr>
      <w:r w:rsidRPr="00315B8A">
        <w:t>a)</w:t>
      </w:r>
      <w:r w:rsidRPr="00315B8A">
        <w:tab/>
      </w:r>
      <w:r w:rsidRPr="00315B8A">
        <w:rPr>
          <w:b/>
          <w:i/>
        </w:rPr>
        <w:t>luottolaitoksen ei ole katsottu olevan lähellä kaatumista tai todennäköisesti kaatuvan</w:t>
      </w:r>
      <w:r w:rsidRPr="00315B8A">
        <w:t xml:space="preserve"> direktiivin 2014/59/EU 32 artiklan 4 kohdan </w:t>
      </w:r>
      <w:r w:rsidRPr="00315B8A">
        <w:rPr>
          <w:b/>
          <w:i/>
        </w:rPr>
        <w:t>mukaisesti</w:t>
      </w:r>
      <w:r w:rsidRPr="00315B8A">
        <w:t>;</w:t>
      </w:r>
    </w:p>
    <w:p w:rsidR="00F20D6F" w:rsidRPr="00315B8A" w:rsidRDefault="00F20D6F" w:rsidP="00AF56F2">
      <w:pPr>
        <w:pStyle w:val="Point1"/>
        <w:spacing w:line="360" w:lineRule="auto"/>
        <w:jc w:val="left"/>
        <w:rPr>
          <w:noProof/>
        </w:rPr>
      </w:pPr>
      <w:r w:rsidRPr="00315B8A">
        <w:t>b)</w:t>
      </w:r>
      <w:r w:rsidRPr="00315B8A">
        <w:tab/>
        <w:t>talletusten vakuusjärjestelmä on vahvistanut, että toimenpiteen kustannukset eivät ylitä tallettajille korvaamisen kustannuksia 11 e artiklan mukaisesti laskettuna;</w:t>
      </w:r>
    </w:p>
    <w:p w:rsidR="00F20D6F" w:rsidRPr="00315B8A" w:rsidRDefault="00F20D6F" w:rsidP="00AF56F2">
      <w:pPr>
        <w:pStyle w:val="Point1"/>
        <w:spacing w:line="360" w:lineRule="auto"/>
        <w:jc w:val="left"/>
        <w:rPr>
          <w:noProof/>
        </w:rPr>
      </w:pPr>
      <w:r w:rsidRPr="00315B8A">
        <w:t>c)</w:t>
      </w:r>
      <w:r w:rsidRPr="00315B8A">
        <w:tab/>
        <w:t xml:space="preserve">kaikki 11 a ja 11 b artiklassa säädetyt edellytykset täyttyvät. </w:t>
      </w:r>
    </w:p>
    <w:p w:rsidR="00F20D6F" w:rsidRPr="00315B8A" w:rsidRDefault="00F20D6F" w:rsidP="00AF56F2">
      <w:pPr>
        <w:pStyle w:val="Text1"/>
        <w:spacing w:line="360" w:lineRule="auto"/>
        <w:jc w:val="left"/>
        <w:rPr>
          <w:noProof/>
        </w:rPr>
      </w:pPr>
      <w:r w:rsidRPr="00315B8A">
        <w:t xml:space="preserve">4. Jos käytettävissä olevia rahoitusvaroja käytetään </w:t>
      </w:r>
      <w:r w:rsidRPr="00315B8A">
        <w:rPr>
          <w:b/>
          <w:i/>
        </w:rPr>
        <w:t>3 ja 5 kohdassa</w:t>
      </w:r>
      <w:r w:rsidRPr="00315B8A">
        <w:t xml:space="preserve"> tarkoitettuihin ennaltaehkäiseviin </w:t>
      </w:r>
      <w:r w:rsidRPr="00315B8A">
        <w:rPr>
          <w:b/>
          <w:i/>
        </w:rPr>
        <w:t>tai vaihtoehtoisiin</w:t>
      </w:r>
      <w:r w:rsidRPr="00315B8A">
        <w:t xml:space="preserve"> toimenpiteisiin, järjestelmään kuuluvien luottolaitosten on </w:t>
      </w:r>
      <w:r w:rsidRPr="00315B8A">
        <w:rPr>
          <w:b/>
          <w:i/>
        </w:rPr>
        <w:t>viipymättä</w:t>
      </w:r>
      <w:r w:rsidRPr="00315B8A">
        <w:t xml:space="preserve"> maksettava talletusten vakuusjärjestelmälle varat, jotka on käytetty tällaisiin toimenpiteisiin, tarvittaessa ylimääräisinä kannatusmaksuina, jos mikään seuraavista edellytyksistä täyttyy:</w:t>
      </w:r>
    </w:p>
    <w:p w:rsidR="00F20D6F" w:rsidRPr="00315B8A" w:rsidRDefault="00F20D6F" w:rsidP="00AF56F2">
      <w:pPr>
        <w:pStyle w:val="Point1"/>
        <w:spacing w:line="360" w:lineRule="auto"/>
        <w:jc w:val="left"/>
        <w:rPr>
          <w:noProof/>
        </w:rPr>
      </w:pPr>
      <w:r w:rsidRPr="00315B8A">
        <w:t>a)</w:t>
      </w:r>
      <w:r w:rsidRPr="00315B8A">
        <w:tab/>
        <w:t xml:space="preserve">tallettajille on maksettava korvauksia </w:t>
      </w:r>
      <w:r w:rsidRPr="00315B8A">
        <w:rPr>
          <w:b/>
          <w:i/>
        </w:rPr>
        <w:t>tai on osallistuttava kriisinratkaisuun</w:t>
      </w:r>
      <w:r w:rsidRPr="00315B8A">
        <w:t>, ja talletusten vakuusjärjestelmän saatavilla olevat rahoitusvarat ovat alle kaksi kolmasosaa tavoitetasosta;</w:t>
      </w:r>
    </w:p>
    <w:p w:rsidR="00F20D6F" w:rsidRPr="00315B8A" w:rsidRDefault="00F20D6F" w:rsidP="00AF56F2">
      <w:pPr>
        <w:pStyle w:val="Point1"/>
        <w:spacing w:line="360" w:lineRule="auto"/>
        <w:jc w:val="left"/>
        <w:rPr>
          <w:noProof/>
        </w:rPr>
      </w:pPr>
      <w:r w:rsidRPr="00315B8A">
        <w:t>b)</w:t>
      </w:r>
      <w:r w:rsidRPr="00315B8A">
        <w:tab/>
        <w:t xml:space="preserve">talletusten vakuusjärjestelmän käytettävissä olevat rahoitusvarat laskevat alle </w:t>
      </w:r>
      <w:r w:rsidRPr="00315B8A">
        <w:rPr>
          <w:b/>
          <w:i/>
        </w:rPr>
        <w:t>40</w:t>
      </w:r>
      <w:r w:rsidRPr="00315B8A">
        <w:t xml:space="preserve"> prosenttiin tavoitetasosta </w:t>
      </w:r>
      <w:r w:rsidRPr="00315B8A">
        <w:rPr>
          <w:b/>
          <w:i/>
        </w:rPr>
        <w:t>ennaltaehkäisevien toimenpiteiden rahoittamisen jälkeen, paitsi jos laitoksen tai laitosten, joille ennaltaehkäiseviä toimenpiteitä on myönnetty, takaisinmaksuaikataulun mukaan kyseiset laitokset korvaavat varat 12 kuukauden kuluessa niin, että käytettävissä olevat rahoitusvarat ylittävät 40 prosenttia tavoitetasosta</w:t>
      </w:r>
      <w:r w:rsidRPr="00315B8A">
        <w:t>.</w:t>
      </w:r>
    </w:p>
    <w:p w:rsidR="00F20D6F" w:rsidRPr="00315B8A" w:rsidRDefault="00F20D6F" w:rsidP="00AF56F2">
      <w:pPr>
        <w:pStyle w:val="Text1"/>
        <w:spacing w:line="360" w:lineRule="auto"/>
        <w:jc w:val="left"/>
        <w:rPr>
          <w:b/>
          <w:i/>
        </w:rPr>
      </w:pPr>
      <w:r w:rsidRPr="00315B8A">
        <w:t xml:space="preserve">5. Jos luottolaitos likvidoidaan direktiivin 2014/59/EU 32 b artiklan mukaisesti markkinoilta poistumiseksi tai sen pankkitoiminnan lopettamiseksi, jäsenvaltiot </w:t>
      </w:r>
      <w:r w:rsidRPr="00315B8A">
        <w:rPr>
          <w:b/>
          <w:i/>
        </w:rPr>
        <w:t>sallivat sen</w:t>
      </w:r>
      <w:r w:rsidRPr="00315B8A">
        <w:t xml:space="preserve">, että talletusten vakuusjärjestelmät käyttävät käytettävissä olevia rahoitusvaroja vaihtoehtoisiin toimenpiteisiin, joilla säilytetään tallettajien </w:t>
      </w:r>
      <w:r w:rsidRPr="00315B8A">
        <w:lastRenderedPageBreak/>
        <w:t>mahdollisuus käyttää talletuksiaan, varojen ja velkojen sekä talletuskirjojen siirrot mukaan luettuina</w:t>
      </w:r>
      <w:r w:rsidRPr="00315B8A">
        <w:rPr>
          <w:b/>
          <w:i/>
        </w:rPr>
        <w:t>, jos kaikki seuraavat edellytykset täyttyvät:</w:t>
      </w:r>
    </w:p>
    <w:p w:rsidR="00F20D6F" w:rsidRPr="00315B8A" w:rsidRDefault="00F20D6F" w:rsidP="00AF56F2">
      <w:pPr>
        <w:pStyle w:val="Text1"/>
        <w:spacing w:line="360" w:lineRule="auto"/>
        <w:ind w:left="1418" w:hanging="567"/>
        <w:jc w:val="left"/>
        <w:rPr>
          <w:noProof/>
        </w:rPr>
      </w:pPr>
      <w:r w:rsidRPr="00315B8A">
        <w:rPr>
          <w:b/>
          <w:i/>
        </w:rPr>
        <w:t>a)</w:t>
      </w:r>
      <w:r w:rsidRPr="00315B8A">
        <w:rPr>
          <w:b/>
          <w:i/>
        </w:rPr>
        <w:tab/>
      </w:r>
      <w:r w:rsidRPr="00315B8A">
        <w:t>talletusten vakuusjärjestelmä vahvistaa, etteivät toimenpiteen kustannukset ylitä tallettajille korvaamisen kustannuksia tämän direktiivin 11 e artiklan mukaisesti laskettuna;</w:t>
      </w:r>
    </w:p>
    <w:p w:rsidR="00F20D6F" w:rsidRPr="00315B8A" w:rsidRDefault="00F20D6F" w:rsidP="00AF56F2">
      <w:pPr>
        <w:pStyle w:val="Text1"/>
        <w:spacing w:line="360" w:lineRule="auto"/>
        <w:ind w:left="1418" w:hanging="567"/>
        <w:jc w:val="left"/>
        <w:rPr>
          <w:noProof/>
        </w:rPr>
      </w:pPr>
      <w:r w:rsidRPr="00315B8A">
        <w:rPr>
          <w:b/>
          <w:i/>
        </w:rPr>
        <w:t>b)</w:t>
      </w:r>
      <w:r w:rsidRPr="00315B8A">
        <w:rPr>
          <w:b/>
          <w:i/>
        </w:rPr>
        <w:tab/>
      </w:r>
      <w:r w:rsidRPr="00315B8A">
        <w:rPr>
          <w:rFonts w:ascii="Arial" w:hAnsi="Arial"/>
        </w:rPr>
        <w:t>▌</w:t>
      </w:r>
      <w:r w:rsidRPr="00315B8A">
        <w:t>kaikki tämän direktiivin 11 d artiklassa säädetyt edellytykset täyttyvät</w:t>
      </w:r>
      <w:r w:rsidRPr="00315B8A">
        <w:rPr>
          <w:b/>
          <w:i/>
        </w:rPr>
        <w:t>;</w:t>
      </w:r>
    </w:p>
    <w:p w:rsidR="00F20D6F" w:rsidRPr="00315B8A" w:rsidRDefault="00F20D6F" w:rsidP="00AF56F2">
      <w:pPr>
        <w:pStyle w:val="Text1"/>
        <w:spacing w:line="360" w:lineRule="auto"/>
        <w:ind w:left="1418" w:hanging="567"/>
        <w:jc w:val="left"/>
        <w:rPr>
          <w:b/>
          <w:i/>
        </w:rPr>
      </w:pPr>
      <w:r w:rsidRPr="00315B8A">
        <w:rPr>
          <w:b/>
          <w:i/>
        </w:rPr>
        <w:t>c)</w:t>
      </w:r>
      <w:r w:rsidRPr="00315B8A">
        <w:rPr>
          <w:b/>
          <w:i/>
        </w:rPr>
        <w:tab/>
        <w:t>jos toimenpide toteutetaan varojen tai velkojen siirron muodossa, siirtoon sisältyvät yhdessä tai useammassa seuraavista muodoista olevat vastaavat:</w:t>
      </w:r>
    </w:p>
    <w:p w:rsidR="00F20D6F" w:rsidRPr="00315B8A" w:rsidRDefault="00F20D6F" w:rsidP="00AF56F2">
      <w:pPr>
        <w:pStyle w:val="Point0"/>
        <w:spacing w:line="360" w:lineRule="auto"/>
        <w:ind w:left="1985" w:hanging="567"/>
        <w:jc w:val="left"/>
        <w:rPr>
          <w:b/>
          <w:i/>
        </w:rPr>
      </w:pPr>
      <w:r w:rsidRPr="00315B8A">
        <w:rPr>
          <w:b/>
          <w:i/>
        </w:rPr>
        <w:t>i)</w:t>
      </w:r>
      <w:r w:rsidRPr="00315B8A">
        <w:rPr>
          <w:b/>
          <w:i/>
        </w:rPr>
        <w:tab/>
        <w:t>suojatut talletukset;</w:t>
      </w:r>
    </w:p>
    <w:p w:rsidR="00F20D6F" w:rsidRPr="00315B8A" w:rsidRDefault="00F20D6F" w:rsidP="00AF56F2">
      <w:pPr>
        <w:pStyle w:val="Point0"/>
        <w:spacing w:line="360" w:lineRule="auto"/>
        <w:ind w:left="1985" w:hanging="567"/>
        <w:jc w:val="left"/>
        <w:rPr>
          <w:b/>
          <w:i/>
        </w:rPr>
      </w:pPr>
      <w:r w:rsidRPr="00315B8A">
        <w:rPr>
          <w:b/>
          <w:i/>
        </w:rPr>
        <w:t>ii)</w:t>
      </w:r>
      <w:r w:rsidRPr="00315B8A">
        <w:rPr>
          <w:b/>
          <w:i/>
        </w:rPr>
        <w:tab/>
        <w:t>luonnollisten henkilöiden ja mikroyritysten sekä pienten ja keskisuurten yritysten suojakelpoiset talletukset;</w:t>
      </w:r>
    </w:p>
    <w:p w:rsidR="00F20D6F" w:rsidRPr="00315B8A" w:rsidRDefault="00F20D6F" w:rsidP="00AF56F2">
      <w:pPr>
        <w:pStyle w:val="Point0"/>
        <w:spacing w:line="360" w:lineRule="auto"/>
        <w:ind w:left="1985" w:hanging="567"/>
        <w:jc w:val="left"/>
        <w:rPr>
          <w:b/>
          <w:i/>
        </w:rPr>
      </w:pPr>
      <w:r w:rsidRPr="00315B8A">
        <w:rPr>
          <w:b/>
          <w:i/>
        </w:rPr>
        <w:t>iii)</w:t>
      </w:r>
      <w:r w:rsidRPr="00315B8A">
        <w:rPr>
          <w:b/>
          <w:i/>
        </w:rPr>
        <w:tab/>
        <w:t>talletukset, jotka olisivat luonnollisten henkilöiden ja mikroyritysten sekä pienten ja keskisuurten yritysten suojakelpoisia talletuksia, jollei niitä olisi tehty unioniin sijoittautuneiden laitosten unionin ulkopuolella sijaitsevien sivuliikkeiden kautta;</w:t>
      </w:r>
    </w:p>
    <w:p w:rsidR="00F20D6F" w:rsidRPr="00315B8A" w:rsidRDefault="00F20D6F" w:rsidP="00AF56F2">
      <w:pPr>
        <w:pStyle w:val="Text1"/>
        <w:spacing w:line="360" w:lineRule="auto"/>
        <w:ind w:left="1985" w:hanging="567"/>
        <w:jc w:val="left"/>
        <w:rPr>
          <w:noProof/>
        </w:rPr>
      </w:pPr>
      <w:r w:rsidRPr="00315B8A">
        <w:rPr>
          <w:b/>
          <w:i/>
        </w:rPr>
        <w:t>iv)</w:t>
      </w:r>
      <w:r w:rsidRPr="00315B8A">
        <w:rPr>
          <w:b/>
          <w:i/>
        </w:rPr>
        <w:tab/>
        <w:t>velat, jotka olivat suojattuihin talletuksiin nähden maksukyvyttömyysmenettelyssä ensisijaisia saamisia kansallisessa velkojien hierarkiassa.</w:t>
      </w:r>
      <w:r w:rsidRPr="00315B8A">
        <w:t>”</w:t>
      </w:r>
    </w:p>
    <w:p w:rsidR="00F20D6F" w:rsidRPr="00315B8A" w:rsidRDefault="00F20D6F" w:rsidP="00AF56F2">
      <w:pPr>
        <w:pStyle w:val="Point0"/>
        <w:spacing w:line="360" w:lineRule="auto"/>
        <w:jc w:val="left"/>
        <w:rPr>
          <w:noProof/>
        </w:rPr>
      </w:pPr>
      <w:r w:rsidRPr="00315B8A">
        <w:t>13)</w:t>
      </w:r>
      <w:r w:rsidRPr="00315B8A">
        <w:tab/>
        <w:t>Lisätään 11 a–11 e artikla seuraavasti:</w:t>
      </w:r>
    </w:p>
    <w:p w:rsidR="00F20D6F" w:rsidRPr="00315B8A" w:rsidRDefault="00F20D6F" w:rsidP="00811334">
      <w:pPr>
        <w:pStyle w:val="Text1"/>
        <w:spacing w:line="360" w:lineRule="auto"/>
        <w:jc w:val="center"/>
        <w:rPr>
          <w:i/>
          <w:iCs/>
          <w:noProof/>
        </w:rPr>
      </w:pPr>
      <w:r w:rsidRPr="00315B8A">
        <w:rPr>
          <w:i/>
        </w:rPr>
        <w:t>”11 a artikla</w:t>
      </w:r>
    </w:p>
    <w:p w:rsidR="00F20D6F" w:rsidRPr="00315B8A" w:rsidRDefault="00F20D6F" w:rsidP="00811334">
      <w:pPr>
        <w:pStyle w:val="Text1"/>
        <w:spacing w:line="360" w:lineRule="auto"/>
        <w:jc w:val="center"/>
        <w:rPr>
          <w:b/>
          <w:iCs/>
          <w:noProof/>
        </w:rPr>
      </w:pPr>
      <w:bookmarkStart w:id="16" w:name="_Hlk126948059"/>
      <w:bookmarkStart w:id="17" w:name="_Hlk127533203"/>
      <w:r w:rsidRPr="00315B8A">
        <w:rPr>
          <w:b/>
        </w:rPr>
        <w:t>Ennaltaehkäisevät toimenpiteet</w:t>
      </w:r>
    </w:p>
    <w:p w:rsidR="00F20D6F" w:rsidRPr="00315B8A" w:rsidRDefault="00F20D6F" w:rsidP="00AF56F2">
      <w:pPr>
        <w:pStyle w:val="Text1"/>
        <w:spacing w:line="360" w:lineRule="auto"/>
        <w:jc w:val="left"/>
        <w:rPr>
          <w:noProof/>
        </w:rPr>
      </w:pPr>
      <w:r w:rsidRPr="00315B8A">
        <w:t xml:space="preserve">1. </w:t>
      </w:r>
      <w:r w:rsidRPr="00315B8A">
        <w:rPr>
          <w:b/>
          <w:i/>
        </w:rPr>
        <w:t>Jäsenvaltioiden</w:t>
      </w:r>
      <w:r w:rsidRPr="00315B8A">
        <w:t xml:space="preserve"> on varmistettava, että talletusten vakuusjärjestelmät käyttävät käytettävissä olevia varoja 11 artiklan 3 kohdassa tarkoitettuihin ennaltaehkäiseviin toimenpiteisiin edellyttäen, että kaikki seuraavat edellytykset täyttyvät</w:t>
      </w:r>
      <w:bookmarkEnd w:id="16"/>
      <w:r w:rsidRPr="00315B8A">
        <w:t>:</w:t>
      </w:r>
    </w:p>
    <w:p w:rsidR="00F20D6F" w:rsidRPr="00315B8A" w:rsidRDefault="00F20D6F" w:rsidP="00AF56F2">
      <w:pPr>
        <w:pStyle w:val="Point1"/>
        <w:spacing w:line="360" w:lineRule="auto"/>
        <w:jc w:val="left"/>
        <w:rPr>
          <w:noProof/>
        </w:rPr>
      </w:pPr>
      <w:r w:rsidRPr="00315B8A">
        <w:t>a)</w:t>
      </w:r>
      <w:r w:rsidRPr="00315B8A">
        <w:tab/>
        <w:t>luottolaitoksen pyyntöön tällaisten ennaltaehkäisevien toimenpiteiden rahoittamisesta on liitetty 11 b artiklassa tarkoitettu toimenpiteet sisältävä ilmoitus;</w:t>
      </w:r>
    </w:p>
    <w:p w:rsidR="00F20D6F" w:rsidRPr="00315B8A" w:rsidRDefault="00F20D6F" w:rsidP="00AF56F2">
      <w:pPr>
        <w:pStyle w:val="Point1"/>
        <w:spacing w:line="360" w:lineRule="auto"/>
        <w:jc w:val="left"/>
        <w:rPr>
          <w:noProof/>
        </w:rPr>
      </w:pPr>
      <w:r w:rsidRPr="00315B8A">
        <w:t>b)</w:t>
      </w:r>
      <w:r w:rsidRPr="00315B8A">
        <w:tab/>
        <w:t>luottolaitos on kuullut toimivaltaista viranomaista 11 b artiklassa tarkoitetussa ilmoituksessa suunnitelluista toimenpiteistä;</w:t>
      </w:r>
    </w:p>
    <w:bookmarkEnd w:id="17"/>
    <w:p w:rsidR="00F20D6F" w:rsidRPr="00315B8A" w:rsidRDefault="00F20D6F" w:rsidP="00AF56F2">
      <w:pPr>
        <w:pStyle w:val="Point1"/>
        <w:spacing w:line="360" w:lineRule="auto"/>
        <w:jc w:val="left"/>
        <w:rPr>
          <w:noProof/>
        </w:rPr>
      </w:pPr>
      <w:r w:rsidRPr="00315B8A">
        <w:lastRenderedPageBreak/>
        <w:t>c)</w:t>
      </w:r>
      <w:r w:rsidRPr="00315B8A">
        <w:tab/>
        <w:t xml:space="preserve">talletusten vakuusjärjestelmän käyttämät ennaltaehkäisevät toimenpiteet on sidottu tuetulle luottolaitokselle asetettuihin ehtoihin, joihin kuuluu vähintään luottolaitoksen tehostetumpi riskivalvonta </w:t>
      </w:r>
      <w:r w:rsidRPr="00315B8A">
        <w:rPr>
          <w:b/>
          <w:i/>
        </w:rPr>
        <w:t>ja tällaista valvontaa helpottavat hallinnointijärjestelyt,</w:t>
      </w:r>
      <w:r w:rsidRPr="00315B8A">
        <w:t xml:space="preserve"> talletusten vakuusjärjestelmän laajennetut tarkistusoikeudet</w:t>
      </w:r>
      <w:r w:rsidRPr="00315B8A">
        <w:rPr>
          <w:b/>
          <w:i/>
        </w:rPr>
        <w:t xml:space="preserve"> ja tiheämpi raportointi toimivaltaisille viranomaisille</w:t>
      </w:r>
      <w:r w:rsidRPr="00315B8A">
        <w:t>;</w:t>
      </w:r>
    </w:p>
    <w:p w:rsidR="00F20D6F" w:rsidRPr="00315B8A" w:rsidRDefault="00F20D6F" w:rsidP="00AF56F2">
      <w:pPr>
        <w:pStyle w:val="Point1"/>
        <w:spacing w:line="360" w:lineRule="auto"/>
        <w:jc w:val="left"/>
        <w:rPr>
          <w:noProof/>
        </w:rPr>
      </w:pPr>
      <w:r w:rsidRPr="00315B8A">
        <w:t>d)</w:t>
      </w:r>
      <w:r w:rsidRPr="00315B8A">
        <w:tab/>
        <w:t xml:space="preserve">talletusten vakuusjärjestelmän käyttämien ennaltaehkäisevien toimenpiteiden edellytyksenä on </w:t>
      </w:r>
      <w:r w:rsidRPr="00315B8A">
        <w:rPr>
          <w:b/>
          <w:i/>
        </w:rPr>
        <w:t>tallettajien tosiasiallinen</w:t>
      </w:r>
      <w:r w:rsidRPr="00315B8A">
        <w:t xml:space="preserve"> mahdollisuus käyttää suojattuja talletuksia;</w:t>
      </w:r>
    </w:p>
    <w:p w:rsidR="00F20D6F" w:rsidRPr="00315B8A" w:rsidRDefault="00F20D6F" w:rsidP="00AF56F2">
      <w:pPr>
        <w:pStyle w:val="Point1"/>
        <w:spacing w:line="360" w:lineRule="auto"/>
        <w:jc w:val="left"/>
        <w:rPr>
          <w:noProof/>
        </w:rPr>
      </w:pPr>
      <w:r w:rsidRPr="00315B8A">
        <w:t>e)</w:t>
      </w:r>
      <w:r w:rsidRPr="00315B8A">
        <w:tab/>
        <w:t>järjestelmään kuuluvat luottolaitokset kykenevät suorittamaan 11 artiklan 4 kohdan mukaisia ylimääräisiä kannatusmaksuja;</w:t>
      </w:r>
    </w:p>
    <w:p w:rsidR="00F20D6F" w:rsidRPr="00315B8A" w:rsidRDefault="00F20D6F" w:rsidP="00AF56F2">
      <w:pPr>
        <w:pStyle w:val="Point1"/>
        <w:spacing w:line="360" w:lineRule="auto"/>
        <w:jc w:val="left"/>
        <w:rPr>
          <w:noProof/>
        </w:rPr>
      </w:pPr>
      <w:r w:rsidRPr="00315B8A">
        <w:t>f)</w:t>
      </w:r>
      <w:r w:rsidRPr="00315B8A">
        <w:tab/>
        <w:t xml:space="preserve">luottolaitos täyttää tämän direktiivin mukaiset velvoitteensa, </w:t>
      </w:r>
      <w:r w:rsidRPr="00315B8A">
        <w:rPr>
          <w:b/>
          <w:i/>
        </w:rPr>
        <w:t>sille ei ole jo myönnetty poikkeuksellista julkista rahoitustukea direktiivin 2014/59/EU 32 c artiklan 1 kohdan a alakohdan mukaisesti viiden viime vuoden aikana</w:t>
      </w:r>
      <w:r w:rsidRPr="00315B8A">
        <w:t xml:space="preserve"> ja </w:t>
      </w:r>
      <w:r w:rsidRPr="00315B8A">
        <w:rPr>
          <w:b/>
          <w:i/>
        </w:rPr>
        <w:t>se on noudattanut täysin takaisinmaksuaikataulua tai</w:t>
      </w:r>
      <w:r w:rsidRPr="00315B8A">
        <w:t xml:space="preserve"> maksanut kokonaan takaisin mahdolliset aiemmat </w:t>
      </w:r>
      <w:r w:rsidRPr="00315B8A">
        <w:rPr>
          <w:b/>
          <w:i/>
        </w:rPr>
        <w:t>poikkeukselliset julkiset rahoitustuet tai ennaltaehkäisevät toimenpiteet</w:t>
      </w:r>
      <w:r w:rsidRPr="00315B8A">
        <w:t>;</w:t>
      </w:r>
    </w:p>
    <w:p w:rsidR="00F20D6F" w:rsidRPr="00315B8A" w:rsidRDefault="00F20D6F" w:rsidP="00AF56F2">
      <w:pPr>
        <w:pStyle w:val="Point1"/>
        <w:spacing w:line="360" w:lineRule="auto"/>
        <w:jc w:val="left"/>
        <w:rPr>
          <w:noProof/>
        </w:rPr>
      </w:pPr>
      <w:r w:rsidRPr="00315B8A">
        <w:rPr>
          <w:b/>
          <w:i/>
        </w:rPr>
        <w:t>f a)</w:t>
      </w:r>
      <w:r w:rsidRPr="00315B8A">
        <w:rPr>
          <w:b/>
          <w:i/>
        </w:rPr>
        <w:tab/>
        <w:t>toimenpiteitä ei käytetä korvaamaan tappioita, joita luottolaitokselle tai yhteisölle on aiheutunut tai todennäköisesti aiheutuu lähitulevaisuudessa, paitsi jos toimenpiteen puuttuminen johtaa rahoitusvakauden häiriintymiseen.</w:t>
      </w:r>
    </w:p>
    <w:p w:rsidR="00F20D6F" w:rsidRPr="00315B8A" w:rsidRDefault="00F20D6F" w:rsidP="00AF56F2">
      <w:pPr>
        <w:pStyle w:val="Text1"/>
        <w:spacing w:line="360" w:lineRule="auto"/>
        <w:jc w:val="left"/>
        <w:rPr>
          <w:noProof/>
        </w:rPr>
      </w:pPr>
      <w:r w:rsidRPr="00315B8A">
        <w:t>2. Jäsenvaltioiden on varmistettava, että talletusten vakuusjärjestelmillä on käytössään asianmukaiset seurantajärjestelmät ja päätöksentekomenettelyt ennaltaehkäisevien toimenpiteiden valintaa ja toteuttamista sekä niihin liittyvien riskien seurantaa varten.</w:t>
      </w:r>
    </w:p>
    <w:p w:rsidR="00F20D6F" w:rsidRPr="00315B8A" w:rsidRDefault="00F20D6F" w:rsidP="00AF56F2">
      <w:pPr>
        <w:pStyle w:val="Text1"/>
        <w:spacing w:line="360" w:lineRule="auto"/>
        <w:jc w:val="left"/>
        <w:rPr>
          <w:noProof/>
        </w:rPr>
      </w:pPr>
      <w:r w:rsidRPr="00315B8A">
        <w:t>3. Jäsenvaltioiden on varmistettava, että talletusten vakuusjärjestelmät voivat toteuttaa ennaltaehkäiseviä toimenpiteitä vain, jos nimetty viranomainen on vahvistanut, että kaikki 1 kohdassa säädetyt edellytykset täyttyvät. Nimetyn viranomaisen on ilmoitettava asiasta toimivaltaiselle viranomaiselle ja kriisinratkaisuviranomaiselle.</w:t>
      </w:r>
    </w:p>
    <w:p w:rsidR="00F20D6F" w:rsidRPr="00315B8A" w:rsidRDefault="00F20D6F" w:rsidP="00AF56F2">
      <w:pPr>
        <w:pStyle w:val="Text1"/>
        <w:spacing w:line="360" w:lineRule="auto"/>
        <w:jc w:val="left"/>
        <w:rPr>
          <w:noProof/>
        </w:rPr>
      </w:pPr>
      <w:r w:rsidRPr="00315B8A">
        <w:rPr>
          <w:b/>
          <w:i/>
        </w:rPr>
        <w:t xml:space="preserve">Jos edunsaajana oleva laitos kuuluu 1 artiklan 2 kohdan c alakohdassa tarkoitettuun laitosten suojajärjestelmään, laitosten suojajärjestelmä määrittää 11 e artiklassa tarkoitetun pienimmän kustannuksen testin tulosten perusteella </w:t>
      </w:r>
      <w:r w:rsidRPr="00315B8A">
        <w:rPr>
          <w:b/>
          <w:i/>
        </w:rPr>
        <w:lastRenderedPageBreak/>
        <w:t>ennaltaehkäiseviin toimenpiteisiin käytettävissä olevien varojen määrän, joka on ilmoitettava nimetylle viranomaiselle.</w:t>
      </w:r>
    </w:p>
    <w:p w:rsidR="00F20D6F" w:rsidRPr="00315B8A" w:rsidRDefault="00F20D6F" w:rsidP="00AF56F2">
      <w:pPr>
        <w:pStyle w:val="Text1"/>
        <w:spacing w:line="360" w:lineRule="auto"/>
        <w:jc w:val="left"/>
        <w:rPr>
          <w:b/>
          <w:i/>
        </w:rPr>
      </w:pPr>
      <w:r w:rsidRPr="00315B8A">
        <w:t xml:space="preserve">4. Jäsenvaltioiden on varmistettava, että talletusten vakuusjärjestelmä </w:t>
      </w:r>
      <w:r w:rsidRPr="00315B8A">
        <w:rPr>
          <w:b/>
          <w:i/>
        </w:rPr>
        <w:t>käyttää käytettävissä olevia rahoitusvarojaan</w:t>
      </w:r>
      <w:r w:rsidRPr="00315B8A">
        <w:t xml:space="preserve"> pääomatukitoimenpiteisiin</w:t>
      </w:r>
      <w:r w:rsidRPr="00315B8A">
        <w:rPr>
          <w:b/>
          <w:i/>
        </w:rPr>
        <w:t>, mukaan lukien pääomapohjan vahvistaminen, omaisuuserien arvon alentamista koskevat toimenpiteet ja omaisuuserien takaukset, ainoastaan silloin, kun 11 b artiklan edellytykset täyttyvät.</w:t>
      </w:r>
    </w:p>
    <w:p w:rsidR="00F20D6F" w:rsidRPr="00315B8A" w:rsidRDefault="00F20D6F" w:rsidP="00AF56F2">
      <w:pPr>
        <w:pStyle w:val="Text1"/>
        <w:spacing w:line="360" w:lineRule="auto"/>
        <w:jc w:val="left"/>
        <w:rPr>
          <w:noProof/>
        </w:rPr>
      </w:pPr>
      <w:r w:rsidRPr="00315B8A">
        <w:rPr>
          <w:b/>
          <w:i/>
        </w:rPr>
        <w:t>Jäsenvaltioiden on varmistettava, että talletusten vakuusjärjestelmä</w:t>
      </w:r>
      <w:r w:rsidRPr="00315B8A">
        <w:t xml:space="preserve"> siirtää omistuksensa tuetun luottolaitoksen osakkeista tai muista pääomainstrumenteista ▌ heti kaupallisten ja rahoitusolosuhteiden salliessa.</w:t>
      </w:r>
    </w:p>
    <w:p w:rsidR="00F20D6F" w:rsidRPr="00315B8A" w:rsidRDefault="00F20D6F" w:rsidP="00AF56F2">
      <w:pPr>
        <w:pStyle w:val="Point0"/>
        <w:spacing w:line="360" w:lineRule="auto"/>
        <w:ind w:firstLine="1"/>
        <w:jc w:val="left"/>
        <w:rPr>
          <w:b/>
          <w:i/>
        </w:rPr>
      </w:pPr>
      <w:r w:rsidRPr="00315B8A">
        <w:rPr>
          <w:b/>
          <w:i/>
        </w:rPr>
        <w:t>4 a. EPV laatii teknisten sääntelystandardien luonnokset, joissa määritetään seuraavat:</w:t>
      </w:r>
    </w:p>
    <w:p w:rsidR="00F20D6F" w:rsidRPr="00315B8A" w:rsidRDefault="00F20D6F" w:rsidP="00AF56F2">
      <w:pPr>
        <w:pStyle w:val="Point0"/>
        <w:spacing w:line="360" w:lineRule="auto"/>
        <w:ind w:firstLine="1"/>
        <w:jc w:val="left"/>
        <w:rPr>
          <w:b/>
          <w:i/>
        </w:rPr>
      </w:pPr>
      <w:r w:rsidRPr="00315B8A">
        <w:rPr>
          <w:b/>
          <w:i/>
        </w:rPr>
        <w:t>a)</w:t>
      </w:r>
      <w:r w:rsidRPr="00315B8A">
        <w:rPr>
          <w:b/>
          <w:i/>
        </w:rPr>
        <w:tab/>
        <w:t>edellä 1 kohdan c alakohdassa tarkoitetut edellytykset;</w:t>
      </w:r>
    </w:p>
    <w:p w:rsidR="00F20D6F" w:rsidRPr="00315B8A" w:rsidRDefault="00F20D6F" w:rsidP="00AF56F2">
      <w:pPr>
        <w:pStyle w:val="Point0"/>
        <w:spacing w:line="360" w:lineRule="auto"/>
        <w:ind w:left="1440" w:hanging="590"/>
        <w:jc w:val="left"/>
        <w:rPr>
          <w:b/>
          <w:i/>
        </w:rPr>
      </w:pPr>
      <w:r w:rsidRPr="00315B8A">
        <w:rPr>
          <w:b/>
          <w:i/>
        </w:rPr>
        <w:t>b)</w:t>
      </w:r>
      <w:r w:rsidRPr="00315B8A">
        <w:rPr>
          <w:b/>
          <w:i/>
        </w:rPr>
        <w:tab/>
        <w:t>seurantajärjestelmät ja päätöksentekomenettelyt, jotka talletusten vakuusjärjestelmillä on oltava käytössä 2 kohdan mukaisesti;</w:t>
      </w:r>
    </w:p>
    <w:p w:rsidR="00F20D6F" w:rsidRPr="00315B8A" w:rsidRDefault="00F20D6F" w:rsidP="00AF56F2">
      <w:pPr>
        <w:pStyle w:val="Point0"/>
        <w:spacing w:line="360" w:lineRule="auto"/>
        <w:ind w:left="1440" w:hanging="590"/>
        <w:jc w:val="left"/>
        <w:rPr>
          <w:b/>
          <w:i/>
        </w:rPr>
      </w:pPr>
      <w:r w:rsidRPr="00315B8A">
        <w:rPr>
          <w:b/>
          <w:i/>
        </w:rPr>
        <w:t>c)</w:t>
      </w:r>
      <w:r w:rsidRPr="00315B8A">
        <w:rPr>
          <w:b/>
          <w:i/>
        </w:rPr>
        <w:tab/>
        <w:t>ottaen huomioon 11 b artiklassa asetetut vaatimukset kriisinratkaisuviranomaisten, nimettyjen viranomaisten ja toimivaltaisten viranomaisten tämän artiklan 1 ja 3 kohdan mukaista yhteistyötä koskevat yksityiskohtaiset säännöt.</w:t>
      </w:r>
    </w:p>
    <w:p w:rsidR="00F20D6F" w:rsidRPr="00315B8A" w:rsidRDefault="00F20D6F" w:rsidP="00AF56F2">
      <w:pPr>
        <w:pStyle w:val="Point0"/>
        <w:spacing w:line="360" w:lineRule="auto"/>
        <w:ind w:firstLine="1"/>
        <w:jc w:val="left"/>
        <w:rPr>
          <w:b/>
          <w:i/>
        </w:rPr>
      </w:pPr>
      <w:r w:rsidRPr="00315B8A">
        <w:rPr>
          <w:b/>
          <w:i/>
        </w:rPr>
        <w:t xml:space="preserve">EPV toimittaa nämä teknisten sääntelystandardien luonnokset komissiolle viimeistään ... päivänä ...kuuta ... [yksi vuosi tämän muutosdirektiivin voimaantulosta]. </w:t>
      </w:r>
    </w:p>
    <w:p w:rsidR="00F20D6F" w:rsidRPr="00315B8A" w:rsidRDefault="00F20D6F" w:rsidP="00AF56F2">
      <w:pPr>
        <w:pStyle w:val="Text1"/>
        <w:spacing w:line="360" w:lineRule="auto"/>
        <w:jc w:val="left"/>
        <w:rPr>
          <w:noProof/>
        </w:rPr>
      </w:pPr>
      <w:r w:rsidRPr="00315B8A">
        <w:rPr>
          <w:b/>
          <w:i/>
        </w:rPr>
        <w:t xml:space="preserve">Siirretään komissiolle valta täydentää tätä direktiiviä hyväksymällä tämän kohdan ensimmäisessä alakohdassa tarkoitetut tekniset sääntelystandardit asetuksen (EU) </w:t>
      </w:r>
      <w:proofErr w:type="gramStart"/>
      <w:r w:rsidRPr="00315B8A">
        <w:rPr>
          <w:b/>
          <w:i/>
        </w:rPr>
        <w:t>N:o</w:t>
      </w:r>
      <w:proofErr w:type="gramEnd"/>
      <w:r w:rsidRPr="00315B8A">
        <w:rPr>
          <w:b/>
          <w:i/>
        </w:rPr>
        <w:t xml:space="preserve"> 1093/2010 10–14 artiklan mukaisesti. </w:t>
      </w:r>
    </w:p>
    <w:p w:rsidR="00F20D6F" w:rsidRPr="00315B8A" w:rsidRDefault="00F20D6F" w:rsidP="00811334">
      <w:pPr>
        <w:pStyle w:val="Text1"/>
        <w:spacing w:line="360" w:lineRule="auto"/>
        <w:jc w:val="center"/>
        <w:rPr>
          <w:i/>
          <w:iCs/>
          <w:noProof/>
        </w:rPr>
      </w:pPr>
      <w:r w:rsidRPr="00315B8A">
        <w:rPr>
          <w:i/>
        </w:rPr>
        <w:t>11 b artikla</w:t>
      </w:r>
    </w:p>
    <w:p w:rsidR="00F20D6F" w:rsidRPr="00315B8A" w:rsidRDefault="00F20D6F" w:rsidP="00811334">
      <w:pPr>
        <w:pStyle w:val="Text1"/>
        <w:spacing w:line="360" w:lineRule="auto"/>
        <w:jc w:val="center"/>
        <w:rPr>
          <w:b/>
          <w:iCs/>
          <w:noProof/>
        </w:rPr>
      </w:pPr>
      <w:r w:rsidRPr="00315B8A">
        <w:rPr>
          <w:b/>
          <w:i/>
        </w:rPr>
        <w:t>Ennaltaehkäisevien toimenpiteiden rahoitusta koskevat vaatimukset</w:t>
      </w:r>
    </w:p>
    <w:p w:rsidR="00F20D6F" w:rsidRPr="00315B8A" w:rsidRDefault="00F20D6F" w:rsidP="00AF56F2">
      <w:pPr>
        <w:pStyle w:val="Text1"/>
        <w:spacing w:line="360" w:lineRule="auto"/>
        <w:jc w:val="left"/>
        <w:rPr>
          <w:noProof/>
        </w:rPr>
      </w:pPr>
      <w:r w:rsidRPr="00315B8A">
        <w:t xml:space="preserve">1. Jäsenvaltioiden on varmistettava, että luottolaitos, joka pyytää talletusten vakuusjärjestelmää rahoittamaan 11 artiklan 3 kohdan mukaisia ennaltaehkäiseviä toimenpiteitä, esittää toimivaltaiselle viranomaiselle ▌ ilmoituksen toimenpiteistä, jotka se sitoutuu toteuttamaan </w:t>
      </w:r>
      <w:r w:rsidRPr="00315B8A">
        <w:rPr>
          <w:b/>
          <w:i/>
        </w:rPr>
        <w:t>sovellettavien</w:t>
      </w:r>
      <w:r w:rsidRPr="00315B8A">
        <w:t xml:space="preserve"> vakavaraisuusvaatimusten </w:t>
      </w:r>
      <w:r w:rsidRPr="00315B8A">
        <w:lastRenderedPageBreak/>
        <w:t xml:space="preserve">noudattamisen </w:t>
      </w:r>
      <w:r w:rsidRPr="00315B8A">
        <w:rPr>
          <w:b/>
          <w:i/>
        </w:rPr>
        <w:t xml:space="preserve">turvaamiseksi direktiivin 2013/36/EU ja asetuksen (EU) </w:t>
      </w:r>
      <w:proofErr w:type="gramStart"/>
      <w:r w:rsidRPr="00315B8A">
        <w:rPr>
          <w:b/>
          <w:i/>
        </w:rPr>
        <w:t>N:o</w:t>
      </w:r>
      <w:proofErr w:type="gramEnd"/>
      <w:r w:rsidRPr="00315B8A">
        <w:rPr>
          <w:b/>
          <w:i/>
        </w:rPr>
        <w:t xml:space="preserve"> 575/2013 mukaisesti</w:t>
      </w:r>
      <w:r w:rsidRPr="00315B8A">
        <w:t xml:space="preserve">. </w:t>
      </w:r>
    </w:p>
    <w:p w:rsidR="00F20D6F" w:rsidRPr="00315B8A" w:rsidRDefault="00F20D6F" w:rsidP="00AF56F2">
      <w:pPr>
        <w:pStyle w:val="Text1"/>
        <w:spacing w:line="360" w:lineRule="auto"/>
        <w:jc w:val="left"/>
        <w:rPr>
          <w:noProof/>
        </w:rPr>
      </w:pPr>
      <w:r w:rsidRPr="00315B8A">
        <w:t xml:space="preserve">2. Edellä 1 kohdassa tarkoitetussa ilmoituksessa on määritettävä toimet taloudellisen vakauden heikkenemistä koskevan riskin lieventämiseksi ja luottolaitoksen pääoma- ja likviditeettiposition vahvistamiseksi. </w:t>
      </w:r>
    </w:p>
    <w:p w:rsidR="00F20D6F" w:rsidRPr="00315B8A" w:rsidRDefault="00F20D6F" w:rsidP="00AF56F2">
      <w:pPr>
        <w:pStyle w:val="Text1"/>
        <w:spacing w:line="360" w:lineRule="auto"/>
        <w:jc w:val="left"/>
        <w:rPr>
          <w:noProof/>
        </w:rPr>
      </w:pPr>
      <w:r w:rsidRPr="00315B8A">
        <w:rPr>
          <w:b/>
          <w:i/>
        </w:rPr>
        <w:t>2 a. Jos talletusten vakuusjärjestelmän rahoitusvaroja käytetään ennaltaehkäiseviin toimenpiteisiin tämän direktiivin 11 artiklan 3 kohdan mukaisesti, toimivaltaisen viranomaisen on vaadittava edunsaajana olevaa luottolaitosta tapauksen mukaan päivittämään direktiivin 2014/59/EU 2 artiklan 1 kohdan 32 alakohdassa tarkoitettu elvytyssuunnitelma tai saman direktiivin 2 artiklan 1 kohdan 33 alakohdassa tarkoitettu konsernin elvytyssuunnitelma. Toimivaltaisen viranomaisen on ohjattava tuettua luottolaitosta toteuttamaan direktiivin 2014/59/EU 6 artiklan 6 kohdan kolmannessa alakohdassa tarkoitetut toimenpiteet, jos saman direktiivin 6 artiklan 6 kohdan edellytykset täyttyvät.</w:t>
      </w:r>
    </w:p>
    <w:p w:rsidR="00F20D6F" w:rsidRPr="00315B8A" w:rsidRDefault="00F20D6F" w:rsidP="00AF56F2">
      <w:pPr>
        <w:pStyle w:val="Text1"/>
        <w:spacing w:line="360" w:lineRule="auto"/>
        <w:jc w:val="left"/>
        <w:rPr>
          <w:b/>
          <w:i/>
        </w:rPr>
      </w:pPr>
      <w:r w:rsidRPr="00315B8A">
        <w:t xml:space="preserve">3. Jäsenvaltioiden on varmistettava, että jos kyseessä on </w:t>
      </w:r>
      <w:r w:rsidRPr="00315B8A">
        <w:rPr>
          <w:b/>
          <w:i/>
        </w:rPr>
        <w:t>1 kohdan mukainen</w:t>
      </w:r>
      <w:r w:rsidRPr="00315B8A">
        <w:t xml:space="preserve"> pääomatukitoimenpide, </w:t>
      </w:r>
      <w:r w:rsidRPr="00315B8A">
        <w:rPr>
          <w:b/>
          <w:i/>
        </w:rPr>
        <w:t>talletusten vakuusjärjestelmän käytettävissä olevilla rahoitusvaroilla katetaan vain pääomavaje seuraavien tekijöiden perusteella ilmoituksen mukaisesti:</w:t>
      </w:r>
    </w:p>
    <w:p w:rsidR="00F20D6F" w:rsidRPr="00315B8A" w:rsidRDefault="00F20D6F" w:rsidP="00AF56F2">
      <w:pPr>
        <w:pStyle w:val="Text1"/>
        <w:spacing w:line="360" w:lineRule="auto"/>
        <w:ind w:left="1418" w:hanging="567"/>
        <w:jc w:val="left"/>
        <w:rPr>
          <w:b/>
          <w:i/>
          <w:noProof/>
        </w:rPr>
      </w:pPr>
      <w:r w:rsidRPr="00315B8A">
        <w:rPr>
          <w:b/>
          <w:i/>
        </w:rPr>
        <w:t>a)</w:t>
      </w:r>
      <w:r w:rsidRPr="00315B8A">
        <w:rPr>
          <w:b/>
          <w:i/>
        </w:rPr>
        <w:tab/>
        <w:t>alkupääomavaje, joka on havaittu unionin stressitestissä, omaisuuserien laadun tarkastelussa tai vastaavassa menettelyssä tai vakavaraisuuden arviointiprosessissa, sellaisena kuin toimivaltainen viranomainen on sen vahvistanut;</w:t>
      </w:r>
    </w:p>
    <w:p w:rsidR="00F20D6F" w:rsidRPr="00315B8A" w:rsidRDefault="00F20D6F" w:rsidP="00AF56F2">
      <w:pPr>
        <w:pStyle w:val="Text1"/>
        <w:spacing w:line="360" w:lineRule="auto"/>
        <w:ind w:left="1418" w:hanging="567"/>
        <w:jc w:val="left"/>
        <w:rPr>
          <w:b/>
          <w:i/>
        </w:rPr>
      </w:pPr>
      <w:r w:rsidRPr="00315B8A">
        <w:rPr>
          <w:b/>
          <w:i/>
        </w:rPr>
        <w:t>b)</w:t>
      </w:r>
      <w:r w:rsidRPr="00315B8A">
        <w:rPr>
          <w:b/>
          <w:i/>
        </w:rPr>
        <w:tab/>
        <w:t>pääoman hankkimista koskevat toimenpiteet, jotka on toteutettava kuuden kuukauden kuluessa kyseisen liiketoiminnan tervehdyttämissuunnitelman toimittamisesta;</w:t>
      </w:r>
    </w:p>
    <w:p w:rsidR="00F20D6F" w:rsidRPr="00315B8A" w:rsidRDefault="00F20D6F" w:rsidP="00AF56F2">
      <w:pPr>
        <w:pStyle w:val="Text1"/>
        <w:spacing w:line="360" w:lineRule="auto"/>
        <w:ind w:left="1418" w:hanging="567"/>
        <w:jc w:val="left"/>
        <w:rPr>
          <w:b/>
          <w:i/>
        </w:rPr>
      </w:pPr>
      <w:r w:rsidRPr="00315B8A">
        <w:rPr>
          <w:b/>
          <w:i/>
        </w:rPr>
        <w:t>c)</w:t>
      </w:r>
      <w:r w:rsidRPr="00315B8A">
        <w:rPr>
          <w:b/>
          <w:i/>
        </w:rPr>
        <w:tab/>
        <w:t>varojen ulosvirtaukset estävät suojatoimet, mukaan lukien 5 kohdassa tarkoitetut toimenpiteet;</w:t>
      </w:r>
    </w:p>
    <w:p w:rsidR="00F20D6F" w:rsidRPr="00315B8A" w:rsidRDefault="00F20D6F" w:rsidP="00AF56F2">
      <w:pPr>
        <w:pStyle w:val="Text1"/>
        <w:spacing w:line="360" w:lineRule="auto"/>
        <w:ind w:left="1418" w:hanging="567"/>
        <w:jc w:val="left"/>
        <w:rPr>
          <w:b/>
          <w:i/>
        </w:rPr>
      </w:pPr>
      <w:r w:rsidRPr="00315B8A">
        <w:rPr>
          <w:b/>
          <w:i/>
        </w:rPr>
        <w:t>d)</w:t>
      </w:r>
      <w:r w:rsidRPr="00315B8A">
        <w:rPr>
          <w:b/>
          <w:i/>
        </w:rPr>
        <w:tab/>
        <w:t>tarvittaessa tuetun luottolaitoksen osakkeenomistajien ja huonommassa etuoikeusasemassa olevien saatavien velkojien kannatusmaksut.</w:t>
      </w:r>
    </w:p>
    <w:p w:rsidR="00F20D6F" w:rsidRPr="00315B8A" w:rsidRDefault="00F20D6F" w:rsidP="00AF56F2">
      <w:pPr>
        <w:pStyle w:val="Text1"/>
        <w:spacing w:line="360" w:lineRule="auto"/>
        <w:jc w:val="left"/>
        <w:rPr>
          <w:noProof/>
        </w:rPr>
      </w:pPr>
      <w:r w:rsidRPr="00315B8A">
        <w:rPr>
          <w:b/>
          <w:i/>
        </w:rPr>
        <w:t>Pääomavajetta määrittäessään talletusten vakuusjärjestelmä voi ottaa huomioon myös mahdollisen</w:t>
      </w:r>
      <w:r w:rsidRPr="00315B8A">
        <w:t xml:space="preserve"> tulevaisuuteen suuntautuva pääoman riittävyyden arvioinnin, </w:t>
      </w:r>
      <w:r w:rsidRPr="00315B8A">
        <w:rPr>
          <w:b/>
          <w:i/>
        </w:rPr>
        <w:lastRenderedPageBreak/>
        <w:t>mukaan lukien direktiivin 2013/36/EU 142 artiklassa tarkoitetun pääoman ylläpitämissuunnitelman.</w:t>
      </w:r>
    </w:p>
    <w:p w:rsidR="00F20D6F" w:rsidRPr="00315B8A" w:rsidRDefault="00F20D6F" w:rsidP="00AF56F2">
      <w:pPr>
        <w:pStyle w:val="Text1"/>
        <w:spacing w:line="360" w:lineRule="auto"/>
        <w:jc w:val="left"/>
        <w:rPr>
          <w:b/>
          <w:i/>
        </w:rPr>
      </w:pPr>
      <w:r w:rsidRPr="00315B8A">
        <w:rPr>
          <w:b/>
          <w:i/>
        </w:rPr>
        <w:t>Jäsenvaltioiden on varmistettava, että jos luottolaitos on 1 artiklan 2 kohdan c alakohdassa tarkoitetun laitosten suojajärjestelmän jäsen, laitosten suojajärjestelmä määrittää pääomavajeen.</w:t>
      </w:r>
    </w:p>
    <w:p w:rsidR="00F20D6F" w:rsidRPr="00315B8A" w:rsidRDefault="00F20D6F" w:rsidP="00AF56F2">
      <w:pPr>
        <w:pStyle w:val="Text1"/>
        <w:spacing w:line="360" w:lineRule="auto"/>
        <w:jc w:val="left"/>
        <w:rPr>
          <w:noProof/>
        </w:rPr>
      </w:pPr>
      <w:r w:rsidRPr="00315B8A">
        <w:rPr>
          <w:b/>
          <w:i/>
        </w:rPr>
        <w:t>Pääomavajetta määrittäessään talletusten vakuusjärjestelmän on ilmoitettava asiasta toimivaltaiselle viranomaiselle.</w:t>
      </w:r>
    </w:p>
    <w:p w:rsidR="00F20D6F" w:rsidRPr="00315B8A" w:rsidRDefault="00F20D6F" w:rsidP="00AF56F2">
      <w:pPr>
        <w:pStyle w:val="Text1"/>
        <w:spacing w:line="360" w:lineRule="auto"/>
        <w:jc w:val="left"/>
        <w:rPr>
          <w:noProof/>
        </w:rPr>
      </w:pPr>
      <w:r w:rsidRPr="00315B8A">
        <w:t xml:space="preserve">4. Jäsenvaltioiden on varmistettava, että ▌ 1 kohdassa tarkoitetussa ilmoituksessa vahvistetaan selkeästi </w:t>
      </w:r>
      <w:r w:rsidRPr="00315B8A">
        <w:rPr>
          <w:b/>
          <w:i/>
        </w:rPr>
        <w:t>irtautumisstrategia ennaltaehkäisevistä toimenpiteistä</w:t>
      </w:r>
      <w:r w:rsidRPr="00315B8A">
        <w:t xml:space="preserve">, myös selkeästi määritetty aikataulu, jossa luottolaitos maksaa takaisin kaikki osana ennaltaehkäiseviä toimenpiteitä saadut </w:t>
      </w:r>
      <w:r w:rsidRPr="00315B8A">
        <w:rPr>
          <w:b/>
          <w:i/>
        </w:rPr>
        <w:t>korvattavat</w:t>
      </w:r>
      <w:r w:rsidRPr="00315B8A">
        <w:t xml:space="preserve"> varat. </w:t>
      </w:r>
      <w:r w:rsidRPr="00315B8A">
        <w:rPr>
          <w:b/>
          <w:i/>
        </w:rPr>
        <w:t>Nämä tiedot saa julkistaa vasta vuoden kuluttua irtautumisstrategian toteuttamisen päättymisestä tai korjaussuunnitelman täytäntöönpanosta tai 11 c artiklan 3 kohdan mukaisesta arvioinnista.</w:t>
      </w:r>
    </w:p>
    <w:p w:rsidR="00F20D6F" w:rsidRPr="00315B8A" w:rsidRDefault="00F20D6F" w:rsidP="00AF56F2">
      <w:pPr>
        <w:pStyle w:val="Text1"/>
        <w:spacing w:line="360" w:lineRule="auto"/>
        <w:jc w:val="left"/>
        <w:rPr>
          <w:noProof/>
        </w:rPr>
      </w:pPr>
      <w:r w:rsidRPr="00315B8A">
        <w:t xml:space="preserve">5. </w:t>
      </w:r>
      <w:r w:rsidRPr="00315B8A">
        <w:rPr>
          <w:b/>
          <w:i/>
        </w:rPr>
        <w:t>Jäsenvaltioiden on varmistettava, ettei tuettu luottolaitos maksa osinkoja, toteuta osakkeiden takaisinostoja tai maksa muuttuvia palkkioita ja ettei kyseinen laitos tee peruuttamatonta sitoumusta maksaa osinkoja, toteuttaa osakkeiden takaisinostoja tai maksaa muuttuvia palkkioita. Toimivaltainen viranomainen voi poikkeuksellisesti osittain rajata tätä kieltoa, jos luottolaitos toteaa toimivaltaista viranomaista tyydyttävällä tavalla, että sillä on lakisääteinen velvollisuus maksaa osingot.</w:t>
      </w:r>
      <w:r w:rsidRPr="00315B8A">
        <w:rPr>
          <w:b/>
          <w:i/>
          <w:sz w:val="22"/>
        </w:rPr>
        <w:t xml:space="preserve"> </w:t>
      </w:r>
      <w:r w:rsidRPr="00315B8A">
        <w:t xml:space="preserve">▌Jäsenvaltioiden on varmistettava, että </w:t>
      </w:r>
      <w:r w:rsidRPr="00315B8A">
        <w:rPr>
          <w:b/>
          <w:i/>
        </w:rPr>
        <w:t>tämän kohdan mukaiset rajoitukset pysyvät voimassa, kunnes tuettu luottolaitos on korvannut ennaltaehkäiseviin toimenpiteisiin käytetyn määrän talletusten vakuusjärjestelmälle.</w:t>
      </w:r>
    </w:p>
    <w:p w:rsidR="00F20D6F" w:rsidRPr="00315B8A" w:rsidRDefault="00F20D6F" w:rsidP="00811334">
      <w:pPr>
        <w:pStyle w:val="Text1"/>
        <w:spacing w:line="360" w:lineRule="auto"/>
        <w:jc w:val="left"/>
        <w:rPr>
          <w:b/>
          <w:i/>
        </w:rPr>
      </w:pPr>
      <w:r w:rsidRPr="00315B8A">
        <w:rPr>
          <w:b/>
          <w:i/>
        </w:rPr>
        <w:t>5 a. Jäsenvaltioiden on varmistettava, että edunsaajana oleva luottolaitos toimittaa liiketoiminnan tervehdyttämissuunnitelman toimivaltaiselle viranomaiselle kuuden kuukauden kuluessa alkuperäisen rahoitustuen myöntämisestä. Jos toimivaltainen viranomainen ei ole vakuuttunut siitä, että liiketoiminnan tervehdyttämissuunnitelma on uskottava ja toteuttamiskelpoinen pitkän aikavälin elinkelpoisuuden varmistamiseksi, kyseiselle luottolaitokselle myönnetyt ennaltaehkäisevät toimenpiteet on keskeytettävä ja toimivaltaisen viranomaisen on toteutettava asianmukaiset toimenpiteet sen varmistamiseksi, että pitkän aikavälin elinkelpoisuus varmistetaan.</w:t>
      </w:r>
    </w:p>
    <w:p w:rsidR="00F20D6F" w:rsidRPr="00315B8A" w:rsidRDefault="00F20D6F" w:rsidP="00AF56F2">
      <w:pPr>
        <w:pStyle w:val="Text1"/>
        <w:spacing w:line="360" w:lineRule="auto"/>
        <w:jc w:val="left"/>
        <w:rPr>
          <w:noProof/>
        </w:rPr>
      </w:pPr>
      <w:r w:rsidRPr="00315B8A">
        <w:rPr>
          <w:b/>
          <w:i/>
        </w:rPr>
        <w:lastRenderedPageBreak/>
        <w:t>Poiketen siitä, mitä tämän kohdan ensimmäisessä alakohdassa säädetään, jos luottolaitos kuuluu 1 artiklan 2 kohdan c alakohdassa tarkoitettuun laitosten suojajärjestelmään, laitosten suojajärjestelmän on hyväksyttävä liiketoiminnan tervehdyttämissuunnitelma toimivaltaista viranomaista kuultuaan.</w:t>
      </w:r>
    </w:p>
    <w:p w:rsidR="00F20D6F" w:rsidRPr="00315B8A" w:rsidRDefault="00F20D6F" w:rsidP="00AF56F2">
      <w:pPr>
        <w:pStyle w:val="Text1"/>
        <w:spacing w:line="360" w:lineRule="auto"/>
        <w:jc w:val="left"/>
        <w:rPr>
          <w:noProof/>
        </w:rPr>
      </w:pPr>
      <w:r w:rsidRPr="00315B8A">
        <w:t xml:space="preserve">6. ▌Jäsenvaltioiden on varmistettava, että </w:t>
      </w:r>
      <w:r w:rsidRPr="00315B8A">
        <w:rPr>
          <w:b/>
          <w:i/>
        </w:rPr>
        <w:t>5 a kohdassa tarkoitetussa liiketoiminnan tervehdyttämissuunnitelmassa</w:t>
      </w:r>
      <w:r w:rsidRPr="00315B8A">
        <w:t xml:space="preserve"> suunnitellut toimenpiteet ovat yhteensopivia sen rakenneuudistussuunnitelman kanssa, joka luottolaitoksen on toimitettava komissiolle unionin valtiontukikehyksen mukaisesti.</w:t>
      </w:r>
    </w:p>
    <w:p w:rsidR="00F20D6F" w:rsidRPr="00315B8A" w:rsidRDefault="00F20D6F" w:rsidP="00AF56F2">
      <w:pPr>
        <w:pStyle w:val="Text1"/>
        <w:spacing w:line="360" w:lineRule="auto"/>
        <w:jc w:val="left"/>
        <w:rPr>
          <w:noProof/>
        </w:rPr>
      </w:pPr>
      <w:r w:rsidRPr="00315B8A">
        <w:rPr>
          <w:b/>
          <w:i/>
        </w:rPr>
        <w:t>6 a. Toimivaltaisen viranomaisen on toimitettava liiketoiminnan tervehdyttämissuunnitelma kriisinratkaisuviranomaiselle. Kriisinratkaisuviranomainen voi tarkastella liiketoiminnan tervehdyttämissuunnitelmaa havaitakseen toimia, jotka saattaisivat vaikuttaa kielteisesti laitoksen purkamismahdollisuuksiin, ja se voi esittää toimivaltaiselle viranomaiselle asiaa koskevia suosituksia. Kriisinratkaisuviranomaisen on annettava arviointinsa ja suosituksensa toimivaltaisen viranomaisen asettamassa määräajassa.</w:t>
      </w:r>
    </w:p>
    <w:p w:rsidR="00F20D6F" w:rsidRPr="00315B8A" w:rsidRDefault="00F20D6F" w:rsidP="00811334">
      <w:pPr>
        <w:pStyle w:val="Text1"/>
        <w:spacing w:line="360" w:lineRule="auto"/>
        <w:jc w:val="center"/>
        <w:rPr>
          <w:i/>
          <w:iCs/>
          <w:noProof/>
        </w:rPr>
      </w:pPr>
      <w:r w:rsidRPr="00315B8A">
        <w:t>”</w:t>
      </w:r>
      <w:r w:rsidRPr="00315B8A">
        <w:rPr>
          <w:i/>
        </w:rPr>
        <w:t>11 c artikla</w:t>
      </w:r>
    </w:p>
    <w:p w:rsidR="00F20D6F" w:rsidRPr="00315B8A" w:rsidRDefault="00F20D6F" w:rsidP="00811334">
      <w:pPr>
        <w:pStyle w:val="Text1"/>
        <w:spacing w:line="360" w:lineRule="auto"/>
        <w:jc w:val="center"/>
        <w:rPr>
          <w:b/>
          <w:iCs/>
          <w:noProof/>
        </w:rPr>
      </w:pPr>
      <w:r w:rsidRPr="00315B8A">
        <w:rPr>
          <w:b/>
        </w:rPr>
        <w:t>Korjaussuunnitelma</w:t>
      </w:r>
    </w:p>
    <w:p w:rsidR="00F20D6F" w:rsidRPr="00315B8A" w:rsidRDefault="00F20D6F" w:rsidP="00AF56F2">
      <w:pPr>
        <w:pStyle w:val="Text1"/>
        <w:spacing w:line="360" w:lineRule="auto"/>
        <w:jc w:val="left"/>
        <w:rPr>
          <w:noProof/>
        </w:rPr>
      </w:pPr>
      <w:r w:rsidRPr="00315B8A">
        <w:t xml:space="preserve">1. Jäsenvaltioiden on varmistettava, että jos luottolaitos ei täytä 11 b artiklan 1 kohdassa tarkoitetussa ilmoituksessa </w:t>
      </w:r>
      <w:r w:rsidRPr="00315B8A">
        <w:rPr>
          <w:b/>
          <w:i/>
        </w:rPr>
        <w:t>tai 11 b artiklan 5 a kohdan ensimmäisessä alakohdassa tarkoitetussa liiketoiminnan tervehdyttämissuunnitelmassa</w:t>
      </w:r>
      <w:r w:rsidRPr="00315B8A">
        <w:t xml:space="preserve"> esitettyjä sitoumuksia tai ei maksa takaisin osana ennaltaehkäiseviä toimenpiteitä suoritettua määrää sen erääntyessä </w:t>
      </w:r>
      <w:r w:rsidRPr="00315B8A">
        <w:rPr>
          <w:b/>
          <w:i/>
        </w:rPr>
        <w:t>tai noudata 11 b artiklan 4 kohdassa tarkoitettua irtautumisstrategiaa</w:t>
      </w:r>
      <w:r w:rsidRPr="00315B8A">
        <w:t xml:space="preserve">, talletusten vakuusjärjestelmä ilmoittaa asiasta viipymättä toimivaltaiselle viranomaiselle. </w:t>
      </w:r>
    </w:p>
    <w:p w:rsidR="00F20D6F" w:rsidRPr="00315B8A" w:rsidRDefault="00F20D6F" w:rsidP="00AF56F2">
      <w:pPr>
        <w:pStyle w:val="Text1"/>
        <w:spacing w:line="360" w:lineRule="auto"/>
        <w:jc w:val="left"/>
        <w:rPr>
          <w:noProof/>
        </w:rPr>
      </w:pPr>
      <w:r w:rsidRPr="00315B8A">
        <w:t xml:space="preserve">2. Edellä 1 kohdassa tarkoitetussa tilanteessa jäsenvaltioiden on varmistettava, että toimivaltainen viranomainen pyytää luottolaitosta toimittamaan </w:t>
      </w:r>
      <w:r w:rsidRPr="00315B8A">
        <w:rPr>
          <w:b/>
          <w:i/>
        </w:rPr>
        <w:t>nimetylle viranomaiselle ja talletusten vakuusjärjestelmälle kertaluontoisen</w:t>
      </w:r>
      <w:r w:rsidRPr="00315B8A">
        <w:t xml:space="preserve"> korjaussuunnitelman, jossa kuvaillaan toimia, jotka luottolaitos toteuttaa valvontavaatimusten noudattamisen </w:t>
      </w:r>
      <w:r w:rsidRPr="00315B8A">
        <w:rPr>
          <w:b/>
          <w:i/>
        </w:rPr>
        <w:t>turvaamiseksi</w:t>
      </w:r>
      <w:r w:rsidRPr="00315B8A">
        <w:t xml:space="preserve">, </w:t>
      </w:r>
      <w:bookmarkStart w:id="18" w:name="_Hlk127374863"/>
      <w:r w:rsidRPr="00315B8A">
        <w:t>pitkän aikavälin elinkelpoisuutensa varmistamiseksi ja talletusten vakuusjärjestelmän ennaltaehkäisevään toimenpiteeseen suorittaman määrän takaisinmaksamiseksi, sekä asiaan liittyvää aikataulua.</w:t>
      </w:r>
      <w:bookmarkEnd w:id="18"/>
      <w:r w:rsidRPr="00315B8A">
        <w:t xml:space="preserve"> </w:t>
      </w:r>
      <w:r w:rsidRPr="00315B8A">
        <w:rPr>
          <w:b/>
          <w:i/>
        </w:rPr>
        <w:t xml:space="preserve">Nimetyn viranomaisen ja talletusten vakuusjärjestelmän </w:t>
      </w:r>
      <w:r w:rsidRPr="00315B8A">
        <w:rPr>
          <w:b/>
          <w:i/>
        </w:rPr>
        <w:lastRenderedPageBreak/>
        <w:t>on kuultava toimivaltaista viranomaista korjaussuunnitelmassa suunnitelluista toimenpiteistä.</w:t>
      </w:r>
    </w:p>
    <w:p w:rsidR="00F20D6F" w:rsidRPr="00315B8A" w:rsidRDefault="00F20D6F" w:rsidP="00AF56F2">
      <w:pPr>
        <w:pStyle w:val="Text1"/>
        <w:spacing w:line="360" w:lineRule="auto"/>
        <w:jc w:val="left"/>
        <w:rPr>
          <w:noProof/>
        </w:rPr>
      </w:pPr>
      <w:r w:rsidRPr="00315B8A">
        <w:t xml:space="preserve">3. Jos toimivaltainen viranomainen ei katso, että korjaussuunnitelma on uskottava tai toteuttamiskelpoinen, </w:t>
      </w:r>
      <w:r w:rsidRPr="00315B8A">
        <w:rPr>
          <w:b/>
          <w:i/>
        </w:rPr>
        <w:t>tai jos luottolaitokset eivät noudata korjaussuunnitelmaa,</w:t>
      </w:r>
      <w:r w:rsidRPr="00315B8A">
        <w:t xml:space="preserve"> talletusten vakuusjärjestelmä ei saa myöntää uusia ennaltaehkäiseviä toimenpiteitä kyseiselle luottolaitokselle </w:t>
      </w:r>
      <w:r w:rsidRPr="00315B8A">
        <w:rPr>
          <w:b/>
          <w:i/>
        </w:rPr>
        <w:t>ja asianomaisten viranomaisten on direktiivin 2014/59/EU 32 artiklan mukaisesti arvioitava, onko laitos lähellä kaatumista tai onko sen kaatuminen todennäköistä.</w:t>
      </w:r>
      <w:bookmarkStart w:id="19" w:name="_Hlk125725169"/>
    </w:p>
    <w:p w:rsidR="00F20D6F" w:rsidRPr="00315B8A" w:rsidRDefault="00F20D6F" w:rsidP="00AF56F2">
      <w:pPr>
        <w:pStyle w:val="Text1"/>
        <w:spacing w:line="360" w:lineRule="auto"/>
        <w:jc w:val="left"/>
        <w:rPr>
          <w:noProof/>
        </w:rPr>
      </w:pPr>
      <w:r w:rsidRPr="00315B8A">
        <w:t xml:space="preserve">4. EPV laatii viimeistään [julkaisutoimisto: lisätään päivämäärä, joka on 24 kuukautta tämän direktiivin voimaantulopäivästä] ohjeita, joissa määritetään 11 b artiklan </w:t>
      </w:r>
      <w:r w:rsidRPr="00315B8A">
        <w:rPr>
          <w:b/>
          <w:i/>
        </w:rPr>
        <w:t>3–5 a</w:t>
      </w:r>
      <w:r w:rsidRPr="00315B8A">
        <w:t xml:space="preserve"> kohdassa tarkoitettua ennaltaehkäiseviin toimenpiteisiin liitettävää </w:t>
      </w:r>
      <w:r w:rsidRPr="00315B8A">
        <w:rPr>
          <w:b/>
          <w:i/>
        </w:rPr>
        <w:t>liiketoiminnan tervehdyttämissuunnitelmaa</w:t>
      </w:r>
      <w:r w:rsidRPr="00315B8A">
        <w:t xml:space="preserve"> </w:t>
      </w:r>
      <w:r w:rsidRPr="00315B8A">
        <w:rPr>
          <w:rFonts w:ascii="Arial" w:hAnsi="Arial"/>
        </w:rPr>
        <w:t>▌</w:t>
      </w:r>
      <w:r w:rsidRPr="00315B8A">
        <w:t xml:space="preserve"> ja tämän artiklan 1 kohdassa tarkoitettua korjaussuunnitelmaa koskevat osatekijät. </w:t>
      </w:r>
    </w:p>
    <w:bookmarkEnd w:id="19"/>
    <w:p w:rsidR="00F20D6F" w:rsidRPr="00315B8A" w:rsidRDefault="00F20D6F" w:rsidP="00811334">
      <w:pPr>
        <w:pStyle w:val="Text1"/>
        <w:spacing w:line="360" w:lineRule="auto"/>
        <w:jc w:val="center"/>
        <w:rPr>
          <w:i/>
          <w:iCs/>
          <w:noProof/>
        </w:rPr>
      </w:pPr>
      <w:r w:rsidRPr="00315B8A">
        <w:rPr>
          <w:i/>
        </w:rPr>
        <w:t>11 d artikla</w:t>
      </w:r>
    </w:p>
    <w:p w:rsidR="00F20D6F" w:rsidRPr="00315B8A" w:rsidRDefault="00F20D6F" w:rsidP="00811334">
      <w:pPr>
        <w:pStyle w:val="Text1"/>
        <w:spacing w:line="360" w:lineRule="auto"/>
        <w:jc w:val="center"/>
        <w:rPr>
          <w:b/>
          <w:iCs/>
          <w:noProof/>
        </w:rPr>
      </w:pPr>
      <w:r w:rsidRPr="00315B8A">
        <w:t>▌</w:t>
      </w:r>
      <w:r w:rsidRPr="00315B8A">
        <w:rPr>
          <w:b/>
          <w:i/>
        </w:rPr>
        <w:t>Vaihtoehtoiset toimenpiteet</w:t>
      </w:r>
      <w:r w:rsidRPr="00315B8A">
        <w:rPr>
          <w:b/>
        </w:rPr>
        <w:t xml:space="preserve"> </w:t>
      </w:r>
    </w:p>
    <w:p w:rsidR="00F20D6F" w:rsidRPr="00315B8A" w:rsidRDefault="00F20D6F" w:rsidP="00AF56F2">
      <w:pPr>
        <w:pStyle w:val="Text1"/>
        <w:spacing w:line="360" w:lineRule="auto"/>
        <w:jc w:val="left"/>
        <w:rPr>
          <w:noProof/>
        </w:rPr>
      </w:pPr>
      <w:r w:rsidRPr="00315B8A">
        <w:t xml:space="preserve">1. </w:t>
      </w:r>
      <w:r w:rsidRPr="00315B8A">
        <w:rPr>
          <w:b/>
          <w:i/>
        </w:rPr>
        <w:t>Jäsenvaltioiden on mahdollistettava</w:t>
      </w:r>
      <w:r w:rsidRPr="00315B8A">
        <w:t xml:space="preserve"> talletusten vakuusjärjestelmän varojen käyttö 11 artiklan 5 kohdassa tarkoitettuihin vaihtoehtoisiin toimenpiteisiin. </w:t>
      </w:r>
      <w:r w:rsidRPr="00315B8A">
        <w:rPr>
          <w:b/>
          <w:i/>
        </w:rPr>
        <w:t>Jäsenvaltioiden</w:t>
      </w:r>
      <w:r w:rsidRPr="00315B8A">
        <w:t xml:space="preserve"> on varmistettava, että kun talletusten vakuusjärjestelmät rahoittavat tällaisia toimenpiteitä, luottolaitokset markkinoivat sellaisia varoja, oikeuksia ja velkoja, jotka luottolaitokset aikovat siirtää, tai tekevät järjestelyjä tällaista markkinointia varten. Rajoittamatta unionin valtiontukikehyksen soveltamista tällaisen markkinoinnin on noudatettava kaikkia seuraavia: </w:t>
      </w:r>
    </w:p>
    <w:p w:rsidR="00F20D6F" w:rsidRPr="00315B8A" w:rsidRDefault="00F20D6F" w:rsidP="00AF56F2">
      <w:pPr>
        <w:pStyle w:val="Point1"/>
        <w:spacing w:line="360" w:lineRule="auto"/>
        <w:jc w:val="left"/>
        <w:rPr>
          <w:noProof/>
        </w:rPr>
      </w:pPr>
      <w:r w:rsidRPr="00315B8A">
        <w:t>a)</w:t>
      </w:r>
      <w:r w:rsidRPr="00315B8A">
        <w:tab/>
        <w:t>markkinointi on avointa ja läpinäkyvää eikä se vääristä niitä varoja, oikeuksia ja velkoja, jotka aiotaan siirtää;</w:t>
      </w:r>
    </w:p>
    <w:p w:rsidR="00F20D6F" w:rsidRPr="00315B8A" w:rsidRDefault="00F20D6F" w:rsidP="00AF56F2">
      <w:pPr>
        <w:pStyle w:val="Point1"/>
        <w:spacing w:line="360" w:lineRule="auto"/>
        <w:jc w:val="left"/>
        <w:rPr>
          <w:noProof/>
        </w:rPr>
      </w:pPr>
      <w:r w:rsidRPr="00315B8A">
        <w:t>b)</w:t>
      </w:r>
      <w:r w:rsidRPr="00315B8A">
        <w:tab/>
        <w:t>markkinointi ei suosi eikä syrji ketään mahdollista ostajaa eikä se tuota epäoikeudenmukaista etua mahdolliselle ostajalle;</w:t>
      </w:r>
    </w:p>
    <w:p w:rsidR="00F20D6F" w:rsidRPr="00315B8A" w:rsidRDefault="00F20D6F" w:rsidP="00AF56F2">
      <w:pPr>
        <w:pStyle w:val="Point1"/>
        <w:spacing w:line="360" w:lineRule="auto"/>
        <w:jc w:val="left"/>
        <w:rPr>
          <w:noProof/>
        </w:rPr>
      </w:pPr>
      <w:r w:rsidRPr="00315B8A">
        <w:t>c)</w:t>
      </w:r>
      <w:r w:rsidRPr="00315B8A">
        <w:tab/>
        <w:t>markkinointiin ei liity minkäänlaista eturistiriitaa;</w:t>
      </w:r>
    </w:p>
    <w:p w:rsidR="00F20D6F" w:rsidRPr="00315B8A" w:rsidRDefault="00F20D6F" w:rsidP="00AF56F2">
      <w:pPr>
        <w:pStyle w:val="Point1"/>
        <w:spacing w:line="360" w:lineRule="auto"/>
        <w:jc w:val="left"/>
        <w:rPr>
          <w:noProof/>
        </w:rPr>
      </w:pPr>
      <w:r w:rsidRPr="00315B8A">
        <w:t>d)</w:t>
      </w:r>
      <w:r w:rsidRPr="00315B8A">
        <w:tab/>
        <w:t xml:space="preserve">markkinoinnissa otetaan huomioon tarve toteuttaa nopea ratkaisu ottaen huomioon 3 artiklan 2 kohdan toisessa alakohdassa säädetty määräaika 2 artiklan 1 kohdan 8 alakohdan a alakohdassa tarkoitettua määritystä varten; </w:t>
      </w:r>
    </w:p>
    <w:p w:rsidR="00F20D6F" w:rsidRPr="00315B8A" w:rsidRDefault="00F20D6F" w:rsidP="00AF56F2">
      <w:pPr>
        <w:pStyle w:val="Point1"/>
        <w:spacing w:line="360" w:lineRule="auto"/>
        <w:jc w:val="left"/>
        <w:rPr>
          <w:noProof/>
        </w:rPr>
      </w:pPr>
      <w:r w:rsidRPr="00315B8A">
        <w:lastRenderedPageBreak/>
        <w:t>e)</w:t>
      </w:r>
      <w:r w:rsidRPr="00315B8A">
        <w:tab/>
        <w:t>markkinoinnissa pyritään mahdollisuuksien mukaan maksimoimaan asianomaisten varojen, oikeuksien tai velkojen myyntihinta.</w:t>
      </w:r>
    </w:p>
    <w:p w:rsidR="00F20D6F" w:rsidRPr="00315B8A" w:rsidRDefault="00F20D6F" w:rsidP="00AF56F2">
      <w:pPr>
        <w:pStyle w:val="Text1"/>
        <w:spacing w:line="360" w:lineRule="auto"/>
        <w:jc w:val="left"/>
        <w:rPr>
          <w:b/>
          <w:i/>
        </w:rPr>
      </w:pPr>
      <w:r w:rsidRPr="00315B8A">
        <w:rPr>
          <w:b/>
          <w:i/>
        </w:rPr>
        <w:t>1 a. Jäsenvaltioiden on varmistettava, että jos talletusten vakuusjärjestelmää käytetään luottolaitoksen osalta 11 artiklan 5 kohdan mukaisesti ja edellyttäen, että tällaisella toimella varmistetaan, että luonnollisilla henkilöillä ja mikroyrityksillä sekä pienillä ja keskisuurilla yrityksillä on edelleen pääsy talletuksiinsa, jotta niille ei aiheudu tappioita, talletusten vakuusjärjestelmän, johon kyseinen luottolaitos kuuluu, on maksettava seuraavat määrät:</w:t>
      </w:r>
    </w:p>
    <w:p w:rsidR="00F20D6F" w:rsidRPr="00315B8A" w:rsidRDefault="00F20D6F" w:rsidP="00AF56F2">
      <w:pPr>
        <w:pStyle w:val="Text1"/>
        <w:spacing w:line="360" w:lineRule="auto"/>
        <w:ind w:left="1418" w:hanging="568"/>
        <w:jc w:val="left"/>
        <w:rPr>
          <w:b/>
          <w:i/>
        </w:rPr>
      </w:pPr>
      <w:r w:rsidRPr="00315B8A">
        <w:rPr>
          <w:b/>
          <w:i/>
        </w:rPr>
        <w:t>i)</w:t>
      </w:r>
      <w:r w:rsidRPr="00315B8A">
        <w:rPr>
          <w:b/>
          <w:i/>
        </w:rPr>
        <w:tab/>
        <w:t>määrä, joka on tarpeen kattamaan suojattujen talletusten ja niiden velkojen, joilla on sama tai parempi etuoikeusasema, arvon ja vastaanottajalle siirrettävien varojen kokonaisarvon välinen erotus; ja</w:t>
      </w:r>
    </w:p>
    <w:p w:rsidR="00F20D6F" w:rsidRPr="00315B8A" w:rsidRDefault="00F20D6F" w:rsidP="00AF56F2">
      <w:pPr>
        <w:pStyle w:val="Point1"/>
        <w:spacing w:line="360" w:lineRule="auto"/>
        <w:ind w:left="1418"/>
        <w:jc w:val="left"/>
        <w:rPr>
          <w:b/>
          <w:i/>
          <w:noProof/>
        </w:rPr>
      </w:pPr>
      <w:r w:rsidRPr="00315B8A">
        <w:rPr>
          <w:b/>
          <w:i/>
        </w:rPr>
        <w:t>ii)</w:t>
      </w:r>
      <w:r w:rsidRPr="00315B8A">
        <w:rPr>
          <w:b/>
          <w:i/>
        </w:rPr>
        <w:tab/>
        <w:t>tarvittaessa määrä, joka on tarpeen vastaanottajan pääomaneutraaliuden varmistamiseksi siirron jälkeen.</w:t>
      </w:r>
    </w:p>
    <w:p w:rsidR="00F20D6F" w:rsidRPr="00315B8A" w:rsidRDefault="00F20D6F" w:rsidP="00811334">
      <w:pPr>
        <w:pStyle w:val="Text1"/>
        <w:spacing w:line="360" w:lineRule="auto"/>
        <w:jc w:val="center"/>
        <w:rPr>
          <w:i/>
          <w:iCs/>
          <w:noProof/>
        </w:rPr>
      </w:pPr>
      <w:r w:rsidRPr="00315B8A">
        <w:t>”</w:t>
      </w:r>
      <w:r w:rsidRPr="00315B8A">
        <w:rPr>
          <w:i/>
        </w:rPr>
        <w:t>11 e artikla</w:t>
      </w:r>
    </w:p>
    <w:p w:rsidR="00F20D6F" w:rsidRPr="00315B8A" w:rsidRDefault="00F20D6F" w:rsidP="00811334">
      <w:pPr>
        <w:pStyle w:val="Text1"/>
        <w:spacing w:line="360" w:lineRule="auto"/>
        <w:jc w:val="center"/>
        <w:rPr>
          <w:b/>
          <w:iCs/>
          <w:noProof/>
        </w:rPr>
      </w:pPr>
      <w:r w:rsidRPr="00315B8A">
        <w:rPr>
          <w:b/>
        </w:rPr>
        <w:t>Pienimmän kustannuksen testi</w:t>
      </w:r>
    </w:p>
    <w:p w:rsidR="00F20D6F" w:rsidRPr="00315B8A" w:rsidRDefault="00F20D6F" w:rsidP="00AF56F2">
      <w:pPr>
        <w:pStyle w:val="Text1"/>
        <w:spacing w:line="360" w:lineRule="auto"/>
        <w:jc w:val="left"/>
        <w:rPr>
          <w:noProof/>
        </w:rPr>
      </w:pPr>
      <w:r w:rsidRPr="00315B8A">
        <w:t>1. Harkitessaan talletusten vakuusjärjestelmän varojen käyttöä 11 artiklan 2, 3 tai 5 kohdassa tarkoitettuihin toimenpiteisiin jäsenvaltioiden on varmistettava, että talletusten vakuusjärjestelmät vertaavat seuraavia:</w:t>
      </w:r>
    </w:p>
    <w:p w:rsidR="00F20D6F" w:rsidRPr="00315B8A" w:rsidRDefault="00F20D6F" w:rsidP="00AF56F2">
      <w:pPr>
        <w:pStyle w:val="Point1"/>
        <w:spacing w:line="360" w:lineRule="auto"/>
        <w:jc w:val="left"/>
        <w:rPr>
          <w:noProof/>
        </w:rPr>
      </w:pPr>
      <w:r w:rsidRPr="00315B8A">
        <w:t>a)</w:t>
      </w:r>
      <w:r w:rsidRPr="00315B8A">
        <w:tab/>
        <w:t>arvioidut kustannukset, jotka aiheutuvat talletusten vakuusjärjestelmälle 11 artiklan 2, 3 tai 5 kohdassa tarkoitettujen toimenpiteiden rahoittamisesta;</w:t>
      </w:r>
    </w:p>
    <w:p w:rsidR="00F20D6F" w:rsidRPr="00315B8A" w:rsidRDefault="00F20D6F" w:rsidP="00AF56F2">
      <w:pPr>
        <w:pStyle w:val="Point1"/>
        <w:spacing w:line="360" w:lineRule="auto"/>
        <w:jc w:val="left"/>
        <w:rPr>
          <w:noProof/>
        </w:rPr>
      </w:pPr>
      <w:r w:rsidRPr="00315B8A">
        <w:t>b)</w:t>
      </w:r>
      <w:r w:rsidRPr="00315B8A">
        <w:tab/>
        <w:t>arvioidut kustannukset, jotka aiheutuvat 8 artiklan 1 kohdan mukaisesta tallettajille korvaamisesta.</w:t>
      </w:r>
    </w:p>
    <w:p w:rsidR="00F20D6F" w:rsidRPr="00315B8A" w:rsidRDefault="00F20D6F" w:rsidP="00AF56F2">
      <w:pPr>
        <w:pStyle w:val="Text1"/>
        <w:spacing w:line="360" w:lineRule="auto"/>
        <w:jc w:val="left"/>
        <w:rPr>
          <w:noProof/>
        </w:rPr>
      </w:pPr>
      <w:r w:rsidRPr="00315B8A">
        <w:t xml:space="preserve">2. Edellä 1 kohdassa tarkoitettuun vertailuun sovelletaan seuraavaa: </w:t>
      </w:r>
    </w:p>
    <w:p w:rsidR="00F20D6F" w:rsidRPr="00315B8A" w:rsidRDefault="00F20D6F" w:rsidP="00AF56F2">
      <w:pPr>
        <w:pStyle w:val="Point1"/>
        <w:spacing w:line="360" w:lineRule="auto"/>
        <w:jc w:val="left"/>
        <w:rPr>
          <w:noProof/>
        </w:rPr>
      </w:pPr>
      <w:r w:rsidRPr="00315B8A">
        <w:t>a)</w:t>
      </w:r>
      <w:r w:rsidRPr="00315B8A">
        <w:tab/>
        <w:t>talletusten vakuusjärjestelmän on 1 kohdan a alakohdassa tarkoitettujen kustannusten arvioinnissa otettava huomioon toimenpiteeseen liittyvät odotetut tuotot, toimintamenot ja mahdolliset tappiot;</w:t>
      </w:r>
    </w:p>
    <w:p w:rsidR="00F20D6F" w:rsidRPr="00315B8A" w:rsidRDefault="00F20D6F" w:rsidP="00AF56F2">
      <w:pPr>
        <w:pStyle w:val="Point1"/>
        <w:spacing w:line="360" w:lineRule="auto"/>
        <w:jc w:val="left"/>
        <w:rPr>
          <w:noProof/>
        </w:rPr>
      </w:pPr>
      <w:r w:rsidRPr="00315B8A">
        <w:t>b)</w:t>
      </w:r>
      <w:r w:rsidRPr="00315B8A">
        <w:tab/>
        <w:t xml:space="preserve">talletusten vakuusjärjestelmän on 11 artiklan 2 ja 5 kohdassa tarkoitettujen toimenpiteiden osalta perustettava arvionsa 1 kohdan b alakohdassa tarkoitetuista tallettajille korvaamisesta aiheutuvista kustannuksista direktiivin 2014/59/EU 36 artiklan 1 kohdassa tarkoitettuun luottolaitoksen varojen ja </w:t>
      </w:r>
      <w:r w:rsidRPr="00315B8A">
        <w:lastRenderedPageBreak/>
        <w:t xml:space="preserve">velkojen arvostukseen ja kyseisen direktiivin 36 artiklan 8 kohdassa tarkoitettuun arvioon; </w:t>
      </w:r>
    </w:p>
    <w:p w:rsidR="00F20D6F" w:rsidRPr="00315B8A" w:rsidRDefault="00F20D6F" w:rsidP="00AF56F2">
      <w:pPr>
        <w:pStyle w:val="Point1"/>
        <w:spacing w:line="360" w:lineRule="auto"/>
        <w:jc w:val="left"/>
        <w:rPr>
          <w:noProof/>
        </w:rPr>
      </w:pPr>
      <w:r w:rsidRPr="00315B8A">
        <w:t>c)</w:t>
      </w:r>
      <w:r w:rsidRPr="00315B8A">
        <w:tab/>
      </w:r>
      <w:bookmarkStart w:id="20" w:name="_Hlk130299997"/>
      <w:r w:rsidRPr="00315B8A">
        <w:t xml:space="preserve">talletusten vakuusjärjestelmän on 11 artiklan 2, 3 ja 5 kohdassa tarkoitettujen toimenpiteiden osalta arvioidessaan 1 kohdan b alakohdassa tarkoitettuja tallettajille korvaamisesta aiheutuvia kustannuksia otettava huomioon odotettu perittyjen saatavien osuus, ▌ talletusten vakuusjärjestelmälle aiheutuvat mahdolliset ylimääräiset rahoituskulut </w:t>
      </w:r>
      <w:r w:rsidRPr="00315B8A">
        <w:rPr>
          <w:b/>
          <w:i/>
        </w:rPr>
        <w:t>ja mahdolliset kustannukset, joita talletusten vakuusjärjestelmälle aiheutuu taloudellisesta ja rahoituksellisesta epävakaudesta, mukaan lukien tarve käyttää talletusten vakuusjärjestelmän toimeksiannon puitteissa lisävaroja tallettajien ja rahoitusvakauden suojelemiseksi sekä häiriöiden leviämisen estämiseksi</w:t>
      </w:r>
      <w:r w:rsidRPr="00315B8A">
        <w:t>;</w:t>
      </w:r>
    </w:p>
    <w:bookmarkEnd w:id="20"/>
    <w:p w:rsidR="00F20D6F" w:rsidRPr="00315B8A" w:rsidRDefault="00F20D6F" w:rsidP="00AF56F2">
      <w:pPr>
        <w:pStyle w:val="Point1"/>
        <w:spacing w:line="360" w:lineRule="auto"/>
        <w:jc w:val="left"/>
        <w:rPr>
          <w:noProof/>
        </w:rPr>
      </w:pPr>
      <w:r w:rsidRPr="00315B8A">
        <w:t>d)</w:t>
      </w:r>
      <w:r w:rsidRPr="00315B8A">
        <w:tab/>
        <w:t>talletusten vakuusjärjestelmän on 11 artiklan 3 kohdassa tarkoitettujen toimenpiteiden osalta arvioidessaan tallettajille korvaamisesta aiheutuvia kustannuksia kerrottava 5 kohdan b alakohdassa tarkoitettujen menetelmien mukaisesti laskettu perittyjen saatavien osuus 85 prosentilla.</w:t>
      </w:r>
    </w:p>
    <w:p w:rsidR="00F20D6F" w:rsidRPr="00315B8A" w:rsidRDefault="00F20D6F" w:rsidP="00AF56F2">
      <w:pPr>
        <w:pStyle w:val="Text1"/>
        <w:spacing w:line="360" w:lineRule="auto"/>
        <w:jc w:val="left"/>
        <w:rPr>
          <w:noProof/>
        </w:rPr>
      </w:pPr>
      <w:r w:rsidRPr="00315B8A">
        <w:t>3. Jäsenvaltioiden on varmistettava, että määrä, joka käytetään 11 artiklan 2 kohdassa tarkoitettuun luottolaitosten kriisinratkaisun rahoittamiseen, 11 artiklan 3 kohdassa tarkoitettuihin ennaltaehkäiseviin toimenpiteisiin tai 11 artiklan 5 kohdassa tarkoitettuihin vaihtoehtoisiin toimenpiteisiin, ei ylitä luottolaitoksessa olevien suojattujen talletusten määrää.</w:t>
      </w:r>
    </w:p>
    <w:p w:rsidR="00F20D6F" w:rsidRPr="00315B8A" w:rsidRDefault="00F20D6F" w:rsidP="00AF56F2">
      <w:pPr>
        <w:pStyle w:val="Text1"/>
        <w:spacing w:line="360" w:lineRule="auto"/>
        <w:jc w:val="left"/>
        <w:rPr>
          <w:noProof/>
        </w:rPr>
      </w:pPr>
      <w:r w:rsidRPr="00315B8A">
        <w:t>4. Jäsenvaltioiden on varmistettava, että toimivaltaiset viranomaiset ja kriisinratkaisuviranomaiset toimittavat talletusten vakuusjärjestelmille kaikki 1 kohdassa tarkoitettua vertailua varten tarvittavat tiedot. Jäsenvaltioiden on varmistettava, että kriisinratkaisuviranomainen toimittaa talletusten vakuusjärjestelmälle tiedot 11 artiklan 2 kohdassa tarkoitetuista luottolaitoksen kriisinratkaisuun maksettavan talletusten vakuusjärjestelmän rahoitusosuuden arvioiduista kustannuksista.</w:t>
      </w:r>
    </w:p>
    <w:p w:rsidR="00F20D6F" w:rsidRPr="00315B8A" w:rsidRDefault="00F20D6F" w:rsidP="00AF56F2">
      <w:pPr>
        <w:pStyle w:val="Text1"/>
        <w:spacing w:line="360" w:lineRule="auto"/>
        <w:jc w:val="left"/>
        <w:rPr>
          <w:noProof/>
        </w:rPr>
      </w:pPr>
      <w:r w:rsidRPr="00315B8A">
        <w:rPr>
          <w:b/>
          <w:i/>
        </w:rPr>
        <w:t>4 a.</w:t>
      </w:r>
      <w:r w:rsidRPr="00315B8A">
        <w:rPr>
          <w:b/>
          <w:i/>
        </w:rPr>
        <w:tab/>
        <w:t xml:space="preserve">Jäsenvaltioiden on mahdollisimman pian vaihtoehtoisten toimenpiteiden toteuttamisen jälkeen varmistettava, että talletusten vakuusjärjestelmä toimittaa toimivaltaiselle viranomaiselle, kriisinratkaisuviranomaiselle ja nimetylle viranomaiselle yhteenvedon tämän artiklan mukaisesti tehdyn laskelman keskeisistä osista. Yhteenvedon on sisällettävä erityisesti talletusten vakuusjärjestelmän tallettajille takaisinmaksusta aiheutuvista arvioiduista </w:t>
      </w:r>
      <w:r w:rsidRPr="00315B8A">
        <w:rPr>
          <w:b/>
          <w:i/>
        </w:rPr>
        <w:lastRenderedPageBreak/>
        <w:t>kustannuksista johdetun nettopalautusasteen ja siihen liittyvien oletusten laajat perustelut.</w:t>
      </w:r>
    </w:p>
    <w:p w:rsidR="00F20D6F" w:rsidRPr="00315B8A" w:rsidRDefault="00F20D6F" w:rsidP="00AF56F2">
      <w:pPr>
        <w:pStyle w:val="Text1"/>
        <w:spacing w:line="360" w:lineRule="auto"/>
        <w:jc w:val="left"/>
        <w:rPr>
          <w:noProof/>
        </w:rPr>
      </w:pPr>
      <w:r w:rsidRPr="00315B8A">
        <w:t xml:space="preserve">5. EPV </w:t>
      </w:r>
      <w:r w:rsidRPr="00315B8A">
        <w:rPr>
          <w:b/>
          <w:i/>
        </w:rPr>
        <w:t>ottaa huomioon direktiivin 2014/59/EU 36 artiklan 16 kohdan nojalla hyväksytyt tekniset sääntelystandardit</w:t>
      </w:r>
      <w:r w:rsidRPr="00315B8A">
        <w:t xml:space="preserve"> ja laatii luonnokset teknisiksi sääntelystandardeiksi, joissa täsmennetään </w:t>
      </w:r>
    </w:p>
    <w:p w:rsidR="00F20D6F" w:rsidRPr="00315B8A" w:rsidRDefault="00F20D6F" w:rsidP="00AF56F2">
      <w:pPr>
        <w:pStyle w:val="Point1"/>
        <w:spacing w:line="360" w:lineRule="auto"/>
        <w:jc w:val="left"/>
        <w:rPr>
          <w:noProof/>
        </w:rPr>
      </w:pPr>
      <w:r w:rsidRPr="00315B8A">
        <w:t>a)</w:t>
      </w:r>
      <w:r w:rsidRPr="00315B8A">
        <w:tab/>
        <w:t>1 kohdan a alakohdassa tarkoitettujen arvioitujen kustannusten laskennassa käytettävät menetelmät, joissa otetaan huomioon kyseisen toimenpiteen erityispiirteet;</w:t>
      </w:r>
    </w:p>
    <w:p w:rsidR="00F20D6F" w:rsidRPr="00315B8A" w:rsidRDefault="00F20D6F" w:rsidP="00AF56F2">
      <w:pPr>
        <w:pStyle w:val="Point1"/>
        <w:spacing w:line="360" w:lineRule="auto"/>
        <w:ind w:left="1418" w:hanging="568"/>
        <w:jc w:val="left"/>
        <w:rPr>
          <w:noProof/>
        </w:rPr>
      </w:pPr>
      <w:r w:rsidRPr="00315B8A">
        <w:t>b)</w:t>
      </w:r>
      <w:r w:rsidRPr="00315B8A">
        <w:tab/>
        <w:t xml:space="preserve">1 kohdan b alakohdassa tarkoitettujen tallettajille korvaamisesta aiheutuvien arvioitujen kustannusten laskennassa käytettävät menetelmät, mukaan lukien 2 kohdan c alakohdassa tarkoitetut </w:t>
      </w:r>
      <w:r w:rsidRPr="00315B8A">
        <w:rPr>
          <w:b/>
          <w:i/>
        </w:rPr>
        <w:t>odotetut</w:t>
      </w:r>
      <w:r w:rsidRPr="00315B8A">
        <w:t xml:space="preserve"> perityt </w:t>
      </w:r>
      <w:proofErr w:type="spellStart"/>
      <w:r w:rsidRPr="00315B8A">
        <w:t>saatavat,</w:t>
      </w:r>
      <w:r w:rsidRPr="00315B8A">
        <w:rPr>
          <w:b/>
          <w:i/>
        </w:rPr>
        <w:t>talletusten</w:t>
      </w:r>
      <w:proofErr w:type="spellEnd"/>
      <w:r w:rsidRPr="00315B8A">
        <w:rPr>
          <w:b/>
          <w:i/>
        </w:rPr>
        <w:t xml:space="preserve"> vakuusjärjestelmälle aiheutuvat mahdolliset ylimääräiset rahoituskulut ja mahdolliset kustannukset, joita talletusten vakuusjärjestelmälle aiheutuu taloudellisesta ja rahoituksellisesta epävakaudesta, mukaan lukien tarve käyttää talletusten vakuusjärjestelmän toimeksiannon puitteissa lisävaroja tallettajien ja rahoitusvakauden suojelemiseksi sekä häiriöiden leviämisen estämiseksi</w:t>
      </w:r>
      <w:r w:rsidRPr="00315B8A">
        <w:t xml:space="preserve">; </w:t>
      </w:r>
    </w:p>
    <w:p w:rsidR="00F20D6F" w:rsidRPr="00315B8A" w:rsidRDefault="00F20D6F" w:rsidP="00AF56F2">
      <w:pPr>
        <w:pStyle w:val="Point1"/>
        <w:spacing w:line="360" w:lineRule="auto"/>
        <w:jc w:val="left"/>
        <w:rPr>
          <w:noProof/>
        </w:rPr>
      </w:pPr>
      <w:r w:rsidRPr="00315B8A">
        <w:t>c)</w:t>
      </w:r>
      <w:r w:rsidRPr="00315B8A">
        <w:tab/>
        <w:t>tapa, jolla a, b ja c alakohdassa tarkoitetuissa menetelmissä otetaan tarvittaessa huomioon rahan arvon muutos, joka johtuu mahdollisesta tuottojen kertymisestä ajan mittaan.</w:t>
      </w:r>
    </w:p>
    <w:p w:rsidR="00F20D6F" w:rsidRPr="00315B8A" w:rsidRDefault="00F20D6F" w:rsidP="00AF56F2">
      <w:pPr>
        <w:pStyle w:val="paragraph"/>
        <w:spacing w:before="0" w:beforeAutospacing="0" w:after="0" w:afterAutospacing="0" w:line="360" w:lineRule="auto"/>
        <w:ind w:left="850"/>
        <w:textAlignment w:val="baseline"/>
        <w:rPr>
          <w:rStyle w:val="normaltextrun"/>
          <w:rFonts w:eastAsiaTheme="majorEastAsia"/>
          <w:iCs/>
          <w:color w:val="000000" w:themeColor="text1"/>
        </w:rPr>
      </w:pPr>
      <w:r w:rsidRPr="00315B8A">
        <w:rPr>
          <w:rStyle w:val="normaltextrun"/>
          <w:b/>
          <w:i/>
          <w:color w:val="000000" w:themeColor="text1"/>
        </w:rPr>
        <w:t>Ensimmäisen alakohdan b alakohdassa tarkoitettujen talletusten vakuusjärjestelmälle mahdollisesti aiheutuvien ylimääräisten kulujen laskemiseksi menetelmässä on otettava huomioon</w:t>
      </w:r>
    </w:p>
    <w:p w:rsidR="00F20D6F" w:rsidRPr="00315B8A" w:rsidRDefault="00F20D6F" w:rsidP="00AF56F2">
      <w:pPr>
        <w:pStyle w:val="paragraph"/>
        <w:spacing w:before="0" w:beforeAutospacing="0" w:after="0" w:afterAutospacing="0" w:line="360" w:lineRule="auto"/>
        <w:ind w:left="850"/>
        <w:textAlignment w:val="baseline"/>
        <w:rPr>
          <w:rStyle w:val="normaltextrun"/>
          <w:rFonts w:eastAsiaTheme="majorEastAsia"/>
          <w:iCs/>
          <w:color w:val="000000" w:themeColor="text1"/>
        </w:rPr>
      </w:pPr>
    </w:p>
    <w:p w:rsidR="00F20D6F" w:rsidRPr="00315B8A" w:rsidRDefault="00F20D6F" w:rsidP="00AF56F2">
      <w:pPr>
        <w:pStyle w:val="Point1"/>
        <w:spacing w:line="360" w:lineRule="auto"/>
        <w:jc w:val="left"/>
        <w:rPr>
          <w:rStyle w:val="normaltextrun"/>
          <w:rFonts w:eastAsiaTheme="majorEastAsia"/>
          <w:iCs/>
          <w:color w:val="000000" w:themeColor="text1"/>
        </w:rPr>
      </w:pPr>
      <w:r w:rsidRPr="00315B8A">
        <w:rPr>
          <w:rStyle w:val="normaltextrun"/>
          <w:b/>
          <w:i/>
          <w:color w:val="000000" w:themeColor="text1"/>
        </w:rPr>
        <w:t>a)</w:t>
      </w:r>
      <w:r w:rsidRPr="00315B8A">
        <w:rPr>
          <w:rStyle w:val="normaltextrun"/>
          <w:b/>
          <w:i/>
          <w:color w:val="000000" w:themeColor="text1"/>
        </w:rPr>
        <w:tab/>
        <w:t>korvausprosessiin liittyvät hallinnolliset kustannukset;</w:t>
      </w:r>
    </w:p>
    <w:p w:rsidR="00F20D6F" w:rsidRPr="00315B8A" w:rsidRDefault="00F20D6F" w:rsidP="00AF56F2">
      <w:pPr>
        <w:pStyle w:val="Point1"/>
        <w:spacing w:line="360" w:lineRule="auto"/>
        <w:ind w:left="1418" w:hanging="568"/>
        <w:jc w:val="left"/>
        <w:rPr>
          <w:noProof/>
          <w:szCs w:val="24"/>
        </w:rPr>
      </w:pPr>
      <w:r w:rsidRPr="00315B8A">
        <w:rPr>
          <w:rStyle w:val="normaltextrun"/>
          <w:b/>
          <w:i/>
          <w:color w:val="000000" w:themeColor="text1"/>
        </w:rPr>
        <w:t>b)</w:t>
      </w:r>
      <w:r w:rsidRPr="00315B8A">
        <w:rPr>
          <w:rStyle w:val="normaltextrun"/>
          <w:b/>
          <w:i/>
          <w:color w:val="000000" w:themeColor="text1"/>
        </w:rPr>
        <w:tab/>
        <w:t>10 artiklan 8 kohdan mukaisten kannatusmaksujen perimisestä aiheutuvat hallinnolliset kustannukset, jos tällaiset kannatusmaksut ovat tarpeen korvausten maksamiseksi tallettajille, ja 10 artiklan 9 kohdan mukaisten vaihtoehtoisten rahoitusjärjestelyjen käyttöönotosta aiheutuvat kustannukset, jos tällaiset järjestelyt otetaan käyttöön. </w:t>
      </w:r>
    </w:p>
    <w:p w:rsidR="00F20D6F" w:rsidRPr="00315B8A" w:rsidRDefault="00F20D6F" w:rsidP="00AF56F2">
      <w:pPr>
        <w:pStyle w:val="Text1"/>
        <w:spacing w:line="360" w:lineRule="auto"/>
        <w:jc w:val="left"/>
        <w:rPr>
          <w:noProof/>
        </w:rPr>
      </w:pPr>
      <w:r w:rsidRPr="00315B8A">
        <w:t xml:space="preserve">Jos on kyse </w:t>
      </w:r>
      <w:r w:rsidRPr="00315B8A">
        <w:rPr>
          <w:b/>
          <w:i/>
        </w:rPr>
        <w:t>11 artiklan 2, 3 tai 5 kohdassa tarkoitetuista</w:t>
      </w:r>
      <w:r w:rsidRPr="00315B8A">
        <w:t xml:space="preserve"> ▌ toimenpiteistä, 1 kohdan b alakohdassa tarkoitettuja tallettajille korvaamisesta aiheutuvia arvioituja </w:t>
      </w:r>
      <w:r w:rsidRPr="00315B8A">
        <w:lastRenderedPageBreak/>
        <w:t xml:space="preserve">kustannuksia laskettaessa b alakohdassa tarkoitetuissa menetelmissä on otettava huomioon </w:t>
      </w:r>
      <w:r w:rsidRPr="00315B8A">
        <w:rPr>
          <w:b/>
          <w:i/>
        </w:rPr>
        <w:t>häiriöiden leviämisvaikutukset, taloudelliset ja rahoitukseen liittyvät riskit ja pankkijärjestelmälle mahdollisesti aiheutuva mainehaitta, tarvittaessa myös yhteisen toiminimen suojeleminen,</w:t>
      </w:r>
      <w:r w:rsidRPr="00315B8A">
        <w:t xml:space="preserve"> ennaltaehkäisevien toimenpiteiden merkitys talletusten vakuusjärjestelmän, 1 artiklan 2 alakohdan c alakohdassa tarkoitetut laitosten suojajärjestelmät mukaan luettuina, lakisääteisen tai sopimusperusteisen toimeksiannon kannalta.</w:t>
      </w:r>
    </w:p>
    <w:p w:rsidR="00F20D6F" w:rsidRPr="00315B8A" w:rsidRDefault="00F20D6F" w:rsidP="00AF56F2">
      <w:pPr>
        <w:pStyle w:val="Text1"/>
        <w:spacing w:line="360" w:lineRule="auto"/>
        <w:jc w:val="left"/>
        <w:rPr>
          <w:noProof/>
        </w:rPr>
      </w:pPr>
      <w:r w:rsidRPr="00315B8A">
        <w:t>EPV toimittaa nämä teknisten sääntelystandardien luonnokset komissiolle viimeistään [julkaisutoimisto: lisätään päivämäärä, joka on 12 kuukautta tämän direktiivin voimaantulopäivästä].</w:t>
      </w:r>
    </w:p>
    <w:p w:rsidR="00F20D6F" w:rsidRPr="00315B8A" w:rsidRDefault="00F20D6F" w:rsidP="00AF56F2">
      <w:pPr>
        <w:pStyle w:val="Text1"/>
        <w:spacing w:line="360" w:lineRule="auto"/>
        <w:jc w:val="left"/>
        <w:rPr>
          <w:noProof/>
        </w:rPr>
      </w:pPr>
      <w:r w:rsidRPr="00315B8A">
        <w:t xml:space="preserve">Siirretään komissiolle valta täydentää tätä direktiiviä hyväksymällä ensimmäisessä alakohdassa tarkoitetut tekniset sääntelystandardit asetuksen (EU) </w:t>
      </w:r>
      <w:proofErr w:type="gramStart"/>
      <w:r w:rsidRPr="00315B8A">
        <w:t>N:o</w:t>
      </w:r>
      <w:proofErr w:type="gramEnd"/>
      <w:r w:rsidRPr="00315B8A">
        <w:t xml:space="preserve"> 1093/2010 10–14 artiklan mukaisesti.”</w:t>
      </w:r>
    </w:p>
    <w:p w:rsidR="00F20D6F" w:rsidRPr="00315B8A" w:rsidRDefault="00F20D6F" w:rsidP="00AF56F2">
      <w:pPr>
        <w:pStyle w:val="Point0"/>
        <w:spacing w:line="360" w:lineRule="auto"/>
        <w:jc w:val="left"/>
      </w:pPr>
      <w:r w:rsidRPr="00315B8A">
        <w:rPr>
          <w:b/>
          <w:i/>
        </w:rPr>
        <w:t>13 a)</w:t>
      </w:r>
      <w:r w:rsidRPr="00315B8A">
        <w:rPr>
          <w:b/>
          <w:i/>
        </w:rPr>
        <w:tab/>
        <w:t>Korvataan 13 artikla seuraavasti:</w:t>
      </w:r>
    </w:p>
    <w:p w:rsidR="00F20D6F" w:rsidRPr="00315B8A" w:rsidRDefault="00F20D6F" w:rsidP="00AF56F2">
      <w:pPr>
        <w:pStyle w:val="Point0"/>
        <w:spacing w:line="360" w:lineRule="auto"/>
        <w:ind w:firstLine="1"/>
        <w:jc w:val="left"/>
        <w:rPr>
          <w:b/>
          <w:i/>
        </w:rPr>
      </w:pPr>
      <w:r w:rsidRPr="00315B8A">
        <w:rPr>
          <w:b/>
          <w:i/>
        </w:rPr>
        <w:t>”1. Edellä olevassa 10 artiklassa tarkoitetut talletusten vakuusjärjestelmiin suoritettavat kannatusmaksut perustuvat suojattujen talletusten määrään ja yksittäisen talletusten vakuusjärjestelmän jäseneen kohdistuvan riskin suuruuteen.</w:t>
      </w:r>
    </w:p>
    <w:p w:rsidR="00F20D6F" w:rsidRPr="00315B8A" w:rsidRDefault="00F20D6F" w:rsidP="00AF56F2">
      <w:pPr>
        <w:pStyle w:val="Point0"/>
        <w:spacing w:line="360" w:lineRule="auto"/>
        <w:ind w:firstLine="1"/>
        <w:jc w:val="left"/>
        <w:rPr>
          <w:b/>
          <w:i/>
        </w:rPr>
      </w:pPr>
      <w:r w:rsidRPr="00315B8A">
        <w:rPr>
          <w:b/>
          <w:i/>
        </w:rPr>
        <w:t>Jäsenvaltiot voivat tarjota edullisempia kannatusmaksuja kansallisella lainsäädännöllä säädellyillä talletusten vakuusjärjestelmään kuuluvien luottolaitosten vähäriskisillä aloilla.</w:t>
      </w:r>
    </w:p>
    <w:p w:rsidR="00F20D6F" w:rsidRPr="00315B8A" w:rsidRDefault="00F20D6F" w:rsidP="00AF56F2">
      <w:pPr>
        <w:pStyle w:val="Point0"/>
        <w:spacing w:line="360" w:lineRule="auto"/>
        <w:ind w:firstLine="1"/>
        <w:jc w:val="left"/>
        <w:rPr>
          <w:b/>
          <w:i/>
        </w:rPr>
      </w:pPr>
      <w:r w:rsidRPr="00315B8A">
        <w:rPr>
          <w:b/>
          <w:i/>
        </w:rPr>
        <w:t xml:space="preserve">Jäsenvaltiot voivat päättää, että laitosten suojajärjestelmien jäsenet suorittavat talletusten vakuusjärjestelmiin pienempiä kannatusmaksuja. </w:t>
      </w:r>
    </w:p>
    <w:p w:rsidR="00F20D6F" w:rsidRPr="00315B8A" w:rsidRDefault="00F20D6F" w:rsidP="00AF56F2">
      <w:pPr>
        <w:pStyle w:val="Point0"/>
        <w:spacing w:line="360" w:lineRule="auto"/>
        <w:ind w:firstLine="1"/>
        <w:jc w:val="left"/>
        <w:rPr>
          <w:b/>
          <w:i/>
        </w:rPr>
      </w:pPr>
      <w:r w:rsidRPr="00315B8A">
        <w:rPr>
          <w:b/>
          <w:i/>
        </w:rPr>
        <w:t xml:space="preserve">Jäsenvaltiot voivat sallia, että keskuslaitokseen ja kaikkiin asetuksen (EU) </w:t>
      </w:r>
      <w:proofErr w:type="gramStart"/>
      <w:r w:rsidRPr="00315B8A">
        <w:rPr>
          <w:b/>
          <w:i/>
        </w:rPr>
        <w:t>N:o</w:t>
      </w:r>
      <w:proofErr w:type="gramEnd"/>
      <w:r w:rsidRPr="00315B8A">
        <w:rPr>
          <w:b/>
          <w:i/>
        </w:rPr>
        <w:t xml:space="preserve"> 575/2013 10 artiklan 1 kohdan mukaan tähän keskuslaitokseen pysyvästi kuuluviin luottolaitoksiin sovelletaan kokonaisuudessaan </w:t>
      </w:r>
      <w:proofErr w:type="spellStart"/>
      <w:r w:rsidRPr="00315B8A">
        <w:rPr>
          <w:b/>
          <w:i/>
        </w:rPr>
        <w:t>konsolidoinnin</w:t>
      </w:r>
      <w:proofErr w:type="spellEnd"/>
      <w:r w:rsidRPr="00315B8A">
        <w:rPr>
          <w:b/>
          <w:i/>
        </w:rPr>
        <w:t xml:space="preserve"> perusteella keskuslaitokselle ja siihen kuuluville laitoksille määriteltyä riskipainotusta.</w:t>
      </w:r>
    </w:p>
    <w:p w:rsidR="00F20D6F" w:rsidRPr="00315B8A" w:rsidRDefault="00F20D6F" w:rsidP="00AF56F2">
      <w:pPr>
        <w:pStyle w:val="Point0"/>
        <w:spacing w:line="360" w:lineRule="auto"/>
        <w:ind w:firstLine="1"/>
        <w:jc w:val="left"/>
        <w:rPr>
          <w:b/>
          <w:i/>
        </w:rPr>
      </w:pPr>
      <w:r w:rsidRPr="00315B8A">
        <w:rPr>
          <w:b/>
          <w:i/>
        </w:rPr>
        <w:t>Jäsenvaltiot voivat päättää, että luottolaitokset maksavat vähimmäissuuruisen kannatusmaksun niiden suojattujen talletusten määrästä riippumatta.</w:t>
      </w:r>
    </w:p>
    <w:p w:rsidR="00F20D6F" w:rsidRPr="00315B8A" w:rsidRDefault="00F20D6F" w:rsidP="00AF56F2">
      <w:pPr>
        <w:pStyle w:val="Point0"/>
        <w:spacing w:line="360" w:lineRule="auto"/>
        <w:ind w:firstLine="1"/>
        <w:jc w:val="left"/>
        <w:rPr>
          <w:b/>
          <w:i/>
        </w:rPr>
      </w:pPr>
      <w:r w:rsidRPr="00315B8A">
        <w:rPr>
          <w:b/>
          <w:i/>
        </w:rPr>
        <w:t>2</w:t>
      </w:r>
      <w:r w:rsidRPr="00315B8A">
        <w:rPr>
          <w:b/>
        </w:rPr>
        <w:t>.</w:t>
      </w:r>
      <w:r w:rsidRPr="00315B8A">
        <w:t xml:space="preserve"> </w:t>
      </w:r>
      <w:r w:rsidRPr="00315B8A">
        <w:rPr>
          <w:b/>
          <w:i/>
        </w:rPr>
        <w:t xml:space="preserve">Talletusten vakuusjärjestelmät voivat käyttää omia riskiperusteisia menetelmiään jäsentensä niille suorittamien riskiperusteisten kannatusmaksujen määrittämiseksi ja laskemiseksi. Kannatusmaksujen laskeminen tapahtuu </w:t>
      </w:r>
      <w:r w:rsidRPr="00315B8A">
        <w:rPr>
          <w:b/>
          <w:i/>
        </w:rPr>
        <w:lastRenderedPageBreak/>
        <w:t>suhteessa jäsenten toimintariskiin ja siinä otetaan asianmukaisella tavalla huomioon eri liiketoimintamallien riskiprofiilit. Näissä menetelmissä voidaan ottaa huomioon myös taseen vastaavaa-puoli ja riski-indikaattorit, kuten omien varojen riittävyys, omaisuuserien laatu sekä maksuvalmius.</w:t>
      </w:r>
    </w:p>
    <w:p w:rsidR="00F20D6F" w:rsidRPr="00315B8A" w:rsidRDefault="00F20D6F" w:rsidP="00AF56F2">
      <w:pPr>
        <w:pStyle w:val="Point0"/>
        <w:spacing w:line="360" w:lineRule="auto"/>
        <w:ind w:firstLine="1"/>
        <w:jc w:val="left"/>
        <w:rPr>
          <w:b/>
          <w:i/>
        </w:rPr>
      </w:pPr>
      <w:r w:rsidRPr="00315B8A">
        <w:rPr>
          <w:b/>
          <w:i/>
        </w:rPr>
        <w:t xml:space="preserve">Toimivaltainen viranomainen hyväksyy kunkin menetelmän yhteistyössä nimetyn viranomaisen kanssa. Hyväksytyt menetelmät ilmoitetaan </w:t>
      </w:r>
      <w:proofErr w:type="spellStart"/>
      <w:r w:rsidRPr="00315B8A">
        <w:rPr>
          <w:b/>
          <w:i/>
        </w:rPr>
        <w:t>EPV:lle</w:t>
      </w:r>
      <w:proofErr w:type="spellEnd"/>
      <w:r w:rsidRPr="00315B8A">
        <w:rPr>
          <w:b/>
          <w:i/>
        </w:rPr>
        <w:t>.</w:t>
      </w:r>
    </w:p>
    <w:p w:rsidR="00F20D6F" w:rsidRPr="00315B8A" w:rsidRDefault="00F20D6F" w:rsidP="00AF56F2">
      <w:pPr>
        <w:pStyle w:val="Point0"/>
        <w:spacing w:line="360" w:lineRule="auto"/>
        <w:ind w:firstLine="1"/>
        <w:jc w:val="left"/>
        <w:rPr>
          <w:b/>
          <w:i/>
        </w:rPr>
      </w:pPr>
      <w:r w:rsidRPr="00315B8A">
        <w:rPr>
          <w:b/>
          <w:i/>
        </w:rPr>
        <w:t>3. Tämän direktiivin johdonmukaisen soveltamisen varmistamiseksi EPV laatii teknisten sääntelystandardien luonnokset täsmentääkseen talletusten vakuusjärjestelmään suoritettavien kannatusmaksujen laskemisessa käytettäviä menetelmiä tämän artiklan 1 ja 2 kohdan mukaisesti.</w:t>
      </w:r>
    </w:p>
    <w:p w:rsidR="00F20D6F" w:rsidRPr="00315B8A" w:rsidRDefault="00F20D6F" w:rsidP="00AF56F2">
      <w:pPr>
        <w:pStyle w:val="Point0"/>
        <w:spacing w:line="360" w:lineRule="auto"/>
        <w:ind w:firstLine="1"/>
        <w:jc w:val="left"/>
        <w:rPr>
          <w:b/>
          <w:i/>
        </w:rPr>
      </w:pPr>
      <w:r w:rsidRPr="00315B8A">
        <w:rPr>
          <w:b/>
          <w:i/>
        </w:rPr>
        <w:t>EPV toimittaa nämä teknisten sääntelystandardien luonnokset komissiolle viimeistään … päivänä …kuuta … [12 kuukautta tämän muutosdirektiivin voimaantulopäivästä].</w:t>
      </w:r>
    </w:p>
    <w:p w:rsidR="00F20D6F" w:rsidRPr="00315B8A" w:rsidRDefault="00F20D6F" w:rsidP="00AF56F2">
      <w:pPr>
        <w:pStyle w:val="Point0"/>
        <w:spacing w:line="360" w:lineRule="auto"/>
        <w:ind w:firstLine="1"/>
        <w:jc w:val="left"/>
        <w:rPr>
          <w:b/>
          <w:i/>
        </w:rPr>
      </w:pPr>
      <w:r w:rsidRPr="00315B8A">
        <w:rPr>
          <w:b/>
          <w:i/>
        </w:rPr>
        <w:t xml:space="preserve">Siirretään komissiolle valta täydentää tätä direktiiviä hyväksymällä tämän kohdan ensimmäisessä alakohdassa tarkoitetut tekniset sääntelystandardit asetuksen (EU) </w:t>
      </w:r>
      <w:proofErr w:type="gramStart"/>
      <w:r w:rsidRPr="00315B8A">
        <w:rPr>
          <w:b/>
          <w:i/>
        </w:rPr>
        <w:t>N:o</w:t>
      </w:r>
      <w:proofErr w:type="gramEnd"/>
      <w:r w:rsidRPr="00315B8A">
        <w:rPr>
          <w:b/>
          <w:i/>
        </w:rPr>
        <w:t> 1093/2010 10–14 artiklan mukaisesti.</w:t>
      </w:r>
    </w:p>
    <w:p w:rsidR="00F20D6F" w:rsidRPr="00315B8A" w:rsidRDefault="00F20D6F" w:rsidP="00AF56F2">
      <w:pPr>
        <w:pStyle w:val="Point0"/>
        <w:spacing w:line="360" w:lineRule="auto"/>
        <w:jc w:val="left"/>
        <w:rPr>
          <w:noProof/>
        </w:rPr>
      </w:pPr>
      <w:r w:rsidRPr="00315B8A">
        <w:t>14)</w:t>
      </w:r>
      <w:r w:rsidRPr="00315B8A">
        <w:tab/>
        <w:t>Muutetaan 14 artikla seuraavasti:</w:t>
      </w:r>
    </w:p>
    <w:p w:rsidR="00F20D6F" w:rsidRPr="00315B8A" w:rsidRDefault="00F20D6F" w:rsidP="00AF56F2">
      <w:pPr>
        <w:pStyle w:val="Point1"/>
        <w:spacing w:line="360" w:lineRule="auto"/>
        <w:jc w:val="left"/>
        <w:rPr>
          <w:noProof/>
        </w:rPr>
      </w:pPr>
      <w:r w:rsidRPr="00315B8A">
        <w:t>a)</w:t>
      </w:r>
      <w:r w:rsidRPr="00315B8A">
        <w:tab/>
        <w:t>korvataan 1 kohta seuraavasti:</w:t>
      </w:r>
    </w:p>
    <w:p w:rsidR="00F20D6F" w:rsidRPr="00315B8A" w:rsidRDefault="00F20D6F" w:rsidP="00AF56F2">
      <w:pPr>
        <w:pStyle w:val="Text2"/>
        <w:spacing w:line="360" w:lineRule="auto"/>
        <w:jc w:val="left"/>
        <w:rPr>
          <w:noProof/>
        </w:rPr>
      </w:pPr>
      <w:r w:rsidRPr="00315B8A">
        <w:t>”1. Jäsenvaltioiden on varmistettava, että talletusten vakuusjärjestelmien piiriin kuuluvat niiden jäseninä olevien luottolaitosten muihin jäsenvaltioihin perustamien sivukonttoreiden tallettajat ja niissä jäsenvaltioissa sijaitsevat tallettajat, joissa niiden jäseninä olevat luottolaitokset käyttävät direktiivin 2013/36/EU V osaston 3 luvussa tarkoitettua palvelujen tarjoamisen vapautta.”;</w:t>
      </w:r>
    </w:p>
    <w:p w:rsidR="00F20D6F" w:rsidRPr="00315B8A" w:rsidRDefault="00F20D6F" w:rsidP="00AF56F2">
      <w:pPr>
        <w:pStyle w:val="Point1"/>
        <w:spacing w:line="360" w:lineRule="auto"/>
        <w:jc w:val="left"/>
        <w:rPr>
          <w:noProof/>
        </w:rPr>
      </w:pPr>
      <w:r w:rsidRPr="00315B8A">
        <w:t>b)</w:t>
      </w:r>
      <w:r w:rsidRPr="00315B8A">
        <w:tab/>
        <w:t>lisätään 2 kohtaan alakohta seuraavasti:</w:t>
      </w:r>
    </w:p>
    <w:p w:rsidR="00F20D6F" w:rsidRPr="00315B8A" w:rsidRDefault="00F20D6F" w:rsidP="00AF56F2">
      <w:pPr>
        <w:pStyle w:val="Text2"/>
        <w:spacing w:line="360" w:lineRule="auto"/>
        <w:jc w:val="left"/>
        <w:rPr>
          <w:noProof/>
        </w:rPr>
      </w:pPr>
      <w:r w:rsidRPr="00315B8A">
        <w:t>”Poiketen siitä, mitä ensimmäisessä alakohdassa säädetään, jäsenvaltioiden on varmistettava, että kotijäsenvaltion talletusten vakuusjärjestelmä voi päättää maksaa korvauksia suoraan sivukonttoreiden tallettajille, kun kaikki seuraavat edellytykset täyttyvät:</w:t>
      </w:r>
    </w:p>
    <w:p w:rsidR="00F20D6F" w:rsidRPr="00315B8A" w:rsidRDefault="00F20D6F" w:rsidP="00AF56F2">
      <w:pPr>
        <w:pStyle w:val="Point2"/>
        <w:spacing w:line="360" w:lineRule="auto"/>
        <w:jc w:val="left"/>
        <w:rPr>
          <w:noProof/>
        </w:rPr>
      </w:pPr>
      <w:r w:rsidRPr="00315B8A">
        <w:t>i)</w:t>
      </w:r>
      <w:r w:rsidRPr="00315B8A">
        <w:tab/>
        <w:t>tällaisen korvausten suorittamisen hallinnolliset rasitteet ja kustannukset ovat pienemmät kuin tilanteessa, jossa vastaanottavan jäsenvaltion talletusten vakuusjärjestelmä suorittaa korvaukset;</w:t>
      </w:r>
    </w:p>
    <w:p w:rsidR="00F20D6F" w:rsidRPr="00315B8A" w:rsidRDefault="00F20D6F" w:rsidP="00AF56F2">
      <w:pPr>
        <w:pStyle w:val="Point2"/>
        <w:spacing w:line="360" w:lineRule="auto"/>
        <w:jc w:val="left"/>
        <w:rPr>
          <w:noProof/>
        </w:rPr>
      </w:pPr>
      <w:r w:rsidRPr="00315B8A">
        <w:lastRenderedPageBreak/>
        <w:t>ii)</w:t>
      </w:r>
      <w:r w:rsidRPr="00315B8A">
        <w:tab/>
        <w:t>kotijäsenvaltion talletusten vakuusjärjestelmä varmistaa, että tallettajat eivät jää huonompaan asemaan kuin missä ne olisivat olleet, jos korvaukset olisi maksettu ensimmäisen alakohdan mukaisesti</w:t>
      </w:r>
      <w:r w:rsidRPr="00315B8A">
        <w:rPr>
          <w:b/>
          <w:i/>
        </w:rPr>
        <w:t>;</w:t>
      </w:r>
    </w:p>
    <w:p w:rsidR="00F20D6F" w:rsidRPr="00315B8A" w:rsidRDefault="00F20D6F" w:rsidP="00AF56F2">
      <w:pPr>
        <w:pStyle w:val="Point2"/>
        <w:spacing w:line="360" w:lineRule="auto"/>
        <w:jc w:val="left"/>
        <w:rPr>
          <w:noProof/>
        </w:rPr>
      </w:pPr>
      <w:r w:rsidRPr="00315B8A">
        <w:rPr>
          <w:b/>
          <w:i/>
        </w:rPr>
        <w:t>ii a)</w:t>
      </w:r>
      <w:r w:rsidRPr="00315B8A">
        <w:rPr>
          <w:b/>
          <w:i/>
        </w:rPr>
        <w:tab/>
        <w:t>korvaus maksetaan samassa valuutassa kuin siinä tapauksessa, että korvaus olisi suoritettu ensimmäisen alakohdan mukaisesti.</w:t>
      </w:r>
      <w:r w:rsidRPr="00315B8A">
        <w:t>”;</w:t>
      </w:r>
    </w:p>
    <w:p w:rsidR="00F20D6F" w:rsidRPr="00315B8A" w:rsidRDefault="00F20D6F" w:rsidP="00AF56F2">
      <w:pPr>
        <w:pStyle w:val="Point1"/>
        <w:spacing w:line="360" w:lineRule="auto"/>
        <w:jc w:val="left"/>
        <w:rPr>
          <w:noProof/>
        </w:rPr>
      </w:pPr>
      <w:r w:rsidRPr="00315B8A">
        <w:t>c)</w:t>
      </w:r>
      <w:r w:rsidRPr="00315B8A">
        <w:tab/>
        <w:t>lisätään 2 a ja 2 b kohta seuraavasti:</w:t>
      </w:r>
    </w:p>
    <w:p w:rsidR="00F20D6F" w:rsidRPr="00315B8A" w:rsidRDefault="00F20D6F" w:rsidP="00AF56F2">
      <w:pPr>
        <w:pStyle w:val="Text2"/>
        <w:spacing w:line="360" w:lineRule="auto"/>
        <w:jc w:val="left"/>
        <w:rPr>
          <w:noProof/>
        </w:rPr>
      </w:pPr>
      <w:r w:rsidRPr="00315B8A">
        <w:t xml:space="preserve">”2 a. Jäsenvaltioiden on varmistettava, että vastaanottavan jäsenvaltion talletusten vakuusjärjestelmä voi edellyttäen, että asiasta on sovittu kotijäsenvaltion talletusten vakuusjärjestelmän kanssa, toimia sellaisten luottolaitosten tallettajien yhteyspisteenä, jotka käyttävät direktiivin 2013/36/EU V osaston 3 luvussa tarkoitettua palvelujen tarjoamisen vapautta, ja sille korvataan aiheutuneet kustannukset. </w:t>
      </w:r>
    </w:p>
    <w:p w:rsidR="00F20D6F" w:rsidRPr="00315B8A" w:rsidRDefault="00F20D6F" w:rsidP="00AF56F2">
      <w:pPr>
        <w:pStyle w:val="Text2"/>
        <w:spacing w:line="360" w:lineRule="auto"/>
        <w:jc w:val="left"/>
        <w:rPr>
          <w:noProof/>
        </w:rPr>
      </w:pPr>
      <w:r w:rsidRPr="00315B8A">
        <w:t xml:space="preserve">2 b. Jäsenvaltioiden on 2 ja 2 a kohdassa tarkoitetuissa tapauksissa varmistettava, että asianomaisella kotijäsenvaltion talletusten vakuusjärjestelmällä ja vastaanottavan jäsenvaltion talletusten vakuusjärjestelmällä on voimassa oleva sopimus korvausten suorittamista koskevista ehdoista, aiheutuneiden kustannusten korvaaminen, tallettajien yhteyspiste, aikataulu ja maksutapa mukaan luettuina. </w:t>
      </w:r>
      <w:r w:rsidRPr="00315B8A">
        <w:rPr>
          <w:b/>
          <w:i/>
        </w:rPr>
        <w:t>Kotijäsenvaltion talletusten vakuusjärjestelmän on toimitettava vastaanottavan jäsenvaltion talletusten vakuusjärjestelmälle tiedot tallettajien lukumäärästä, suojattujen talletusten määrästä ja niihin mahdollisesti tehtävistä merkityksellisistä muutoksista.</w:t>
      </w:r>
      <w:r w:rsidRPr="00315B8A">
        <w:t>”;</w:t>
      </w:r>
    </w:p>
    <w:p w:rsidR="00F20D6F" w:rsidRPr="00315B8A" w:rsidRDefault="00F20D6F" w:rsidP="00AF56F2">
      <w:pPr>
        <w:pStyle w:val="Point1"/>
        <w:spacing w:line="360" w:lineRule="auto"/>
        <w:jc w:val="left"/>
        <w:rPr>
          <w:noProof/>
        </w:rPr>
      </w:pPr>
      <w:r w:rsidRPr="00315B8A">
        <w:t>d)</w:t>
      </w:r>
      <w:r w:rsidRPr="00315B8A">
        <w:tab/>
        <w:t>korvataan 3 kohta seuraavasti:</w:t>
      </w:r>
    </w:p>
    <w:p w:rsidR="00F20D6F" w:rsidRPr="00315B8A" w:rsidRDefault="00F20D6F" w:rsidP="00AF56F2">
      <w:pPr>
        <w:pStyle w:val="Text2"/>
        <w:spacing w:line="360" w:lineRule="auto"/>
        <w:jc w:val="left"/>
        <w:rPr>
          <w:noProof/>
        </w:rPr>
      </w:pPr>
      <w:r w:rsidRPr="00315B8A">
        <w:t xml:space="preserve">”3. Jäsenvaltioiden on varmistettava, että jos luottolaitoksen jäsenyys talletusten vakuusjärjestelmässä päättyy ja luottolaitos liittyy toisen jäsenvaltion talletusten vakuusjärjestelmään tai jos jotkin luottolaitoksen toiminnoista siirretään toisen jäsenvaltion talletusten vakuusjärjestelmään, alkuperäinen talletusten vakuusjärjestelmä siirtää vastaanottavaan talletusten vakuusjärjestelmään </w:t>
      </w:r>
      <w:r w:rsidRPr="00315B8A">
        <w:rPr>
          <w:b/>
          <w:i/>
        </w:rPr>
        <w:t>määrän, joka vastaa vastaanottavalle talletusten vakuusjärjestelmälle siirron seurauksena aiheutuvia mahdollisia lisävelkoja, ottaen huomioon siirron vaikutus sekä vastaanottavan talletusten vakuusjärjestelmän että alkuperäisen talletusten vakuusjärjestelmän rahoitustilanteeseen niiden kattamien riskien osalta.</w:t>
      </w:r>
      <w:r w:rsidRPr="00315B8A">
        <w:rPr>
          <w:rFonts w:ascii="Arial" w:hAnsi="Arial"/>
        </w:rPr>
        <w:t xml:space="preserve"> ▌</w:t>
      </w:r>
    </w:p>
    <w:p w:rsidR="00F20D6F" w:rsidRPr="00315B8A" w:rsidRDefault="00F20D6F" w:rsidP="00AF56F2">
      <w:pPr>
        <w:pStyle w:val="Point0"/>
        <w:spacing w:line="360" w:lineRule="auto"/>
        <w:ind w:left="1418" w:firstLine="0"/>
        <w:jc w:val="left"/>
        <w:rPr>
          <w:b/>
          <w:i/>
        </w:rPr>
      </w:pPr>
      <w:r w:rsidRPr="00315B8A">
        <w:rPr>
          <w:b/>
          <w:i/>
        </w:rPr>
        <w:lastRenderedPageBreak/>
        <w:t>EPV laatii teknisten sääntelystandardien luonnokset, joissa täsmennetään siirrettävän määrän laskentamenetelmä sen varmistamiseksi, että siirrolla on neutraali vaikutus kummankin talletusten vakuusjärjestelmän rahoitustilanteeseen niiden kattamien riskien osalta.</w:t>
      </w:r>
    </w:p>
    <w:p w:rsidR="00F20D6F" w:rsidRPr="00315B8A" w:rsidRDefault="00F20D6F" w:rsidP="00AF56F2">
      <w:pPr>
        <w:pStyle w:val="Point0"/>
        <w:spacing w:line="360" w:lineRule="auto"/>
        <w:ind w:left="1418" w:firstLine="0"/>
        <w:jc w:val="left"/>
        <w:rPr>
          <w:b/>
          <w:i/>
        </w:rPr>
      </w:pPr>
      <w:r w:rsidRPr="00315B8A">
        <w:rPr>
          <w:b/>
          <w:i/>
        </w:rPr>
        <w:t>EPV toimittaa nämä teknisten sääntelystandardien luonnokset komissiolle viimeistään ... päivänä ...kuuta ... [12 kuukautta tämän muutosdirektiivin voimaantulosta].</w:t>
      </w:r>
    </w:p>
    <w:p w:rsidR="00F20D6F" w:rsidRPr="00315B8A" w:rsidRDefault="00F20D6F" w:rsidP="00AF56F2">
      <w:pPr>
        <w:pStyle w:val="Text2"/>
        <w:spacing w:line="360" w:lineRule="auto"/>
        <w:jc w:val="left"/>
        <w:rPr>
          <w:noProof/>
        </w:rPr>
      </w:pPr>
      <w:r w:rsidRPr="00315B8A">
        <w:rPr>
          <w:b/>
          <w:i/>
        </w:rPr>
        <w:t xml:space="preserve">Siirretään komissiolle valta täydentää tätä direktiiviä hyväksymällä tämän kohdan toisessa alakohdassa tarkoitetut tekniset sääntelystandardit Euroopan parlamentin ja neuvoston asetuksen (EU) </w:t>
      </w:r>
      <w:proofErr w:type="gramStart"/>
      <w:r w:rsidRPr="00315B8A">
        <w:rPr>
          <w:b/>
          <w:i/>
        </w:rPr>
        <w:t>N:o</w:t>
      </w:r>
      <w:proofErr w:type="gramEnd"/>
      <w:r w:rsidRPr="00315B8A">
        <w:rPr>
          <w:b/>
          <w:i/>
        </w:rPr>
        <w:t> 1093/2010 10–14 artiklan mukaisesti.</w:t>
      </w:r>
      <w:r w:rsidRPr="00315B8A">
        <w:t>”;</w:t>
      </w:r>
    </w:p>
    <w:p w:rsidR="00F20D6F" w:rsidRPr="00315B8A" w:rsidRDefault="00F20D6F" w:rsidP="00AF56F2">
      <w:pPr>
        <w:pStyle w:val="Point1"/>
        <w:spacing w:line="360" w:lineRule="auto"/>
        <w:jc w:val="left"/>
        <w:rPr>
          <w:noProof/>
        </w:rPr>
      </w:pPr>
      <w:r w:rsidRPr="00315B8A">
        <w:t>e)</w:t>
      </w:r>
      <w:r w:rsidRPr="00315B8A">
        <w:tab/>
        <w:t>lisätään 3 a kohta seuraavasti:</w:t>
      </w:r>
    </w:p>
    <w:p w:rsidR="00F20D6F" w:rsidRPr="00315B8A" w:rsidRDefault="00F20D6F" w:rsidP="00AF56F2">
      <w:pPr>
        <w:pStyle w:val="Text2"/>
        <w:spacing w:line="360" w:lineRule="auto"/>
        <w:jc w:val="left"/>
        <w:rPr>
          <w:noProof/>
        </w:rPr>
      </w:pPr>
      <w:r w:rsidRPr="00315B8A">
        <w:t>”3 a. Edellä olevan 3 kohdan soveltamiseksi jäsenvaltioiden on varmistettava, että alkuperäinen talletusten vakuusjärjestelmä siirtää kyseisessä kohdassa tarkoitetun määrän yhden kuukauden kuluessa talletusten vakuusjärjestelmän jäsenyydessä tapahtuneesta muutoksesta.”;</w:t>
      </w:r>
    </w:p>
    <w:p w:rsidR="00F20D6F" w:rsidRPr="00315B8A" w:rsidRDefault="00F20D6F" w:rsidP="00AF56F2">
      <w:pPr>
        <w:pStyle w:val="Point1"/>
        <w:spacing w:line="360" w:lineRule="auto"/>
        <w:jc w:val="left"/>
        <w:rPr>
          <w:noProof/>
        </w:rPr>
      </w:pPr>
      <w:r w:rsidRPr="00315B8A">
        <w:t>f)</w:t>
      </w:r>
      <w:r w:rsidRPr="00315B8A">
        <w:tab/>
        <w:t>lisätään 9 kohta seuraavasti:</w:t>
      </w:r>
    </w:p>
    <w:p w:rsidR="00F20D6F" w:rsidRPr="00315B8A" w:rsidRDefault="00F20D6F" w:rsidP="00AF56F2">
      <w:pPr>
        <w:pStyle w:val="Text2"/>
        <w:spacing w:line="360" w:lineRule="auto"/>
        <w:jc w:val="left"/>
        <w:rPr>
          <w:noProof/>
        </w:rPr>
      </w:pPr>
      <w:r w:rsidRPr="00315B8A">
        <w:t xml:space="preserve">”9. EPV antaa </w:t>
      </w:r>
      <w:r w:rsidRPr="00315B8A">
        <w:rPr>
          <w:b/>
          <w:i/>
        </w:rPr>
        <w:t>viimeistään ... päivänä ...kuuta ... [12 kuukautta tämän muutosdirektiivin voimaantulopäivästä]</w:t>
      </w:r>
      <w:r w:rsidRPr="00315B8A">
        <w:t xml:space="preserve"> ohjeita </w:t>
      </w:r>
      <w:r w:rsidRPr="00315B8A">
        <w:rPr>
          <w:rFonts w:ascii="Arial" w:hAnsi="Arial"/>
        </w:rPr>
        <w:t>▌</w:t>
      </w:r>
      <w:r w:rsidRPr="00315B8A">
        <w:t xml:space="preserve">2 kohdan ensimmäisessä alakohdassa tarkoitettujen, kotijäsenvaltion talletusten vakuusjärjestelmän ja vastaanottavan jäsenvaltion talletusten vakuusjärjestelmän </w:t>
      </w:r>
      <w:r w:rsidRPr="00315B8A">
        <w:rPr>
          <w:b/>
          <w:i/>
        </w:rPr>
        <w:t>rooleista, mukaan lukien luettelo</w:t>
      </w:r>
      <w:r w:rsidRPr="00315B8A">
        <w:t xml:space="preserve"> olosuhteista, joissa, ja ehdoista, joiden täyttyessä kotijäsenvaltion talletusten vakuusjärjestelmä </w:t>
      </w:r>
      <w:r w:rsidRPr="00315B8A">
        <w:rPr>
          <w:rFonts w:ascii="Arial" w:hAnsi="Arial"/>
        </w:rPr>
        <w:t>▌</w:t>
      </w:r>
      <w:r w:rsidRPr="00315B8A">
        <w:t xml:space="preserve"> suorittaa </w:t>
      </w:r>
      <w:r w:rsidRPr="00315B8A">
        <w:rPr>
          <w:b/>
          <w:i/>
        </w:rPr>
        <w:t>korvauksen</w:t>
      </w:r>
      <w:r w:rsidRPr="00315B8A">
        <w:t xml:space="preserve"> toisessa jäsenvaltiossa sijaitsevien sivukonttoreiden tallettajille 2 kohdan kolmannen alakohdan mukaisesti.”</w:t>
      </w:r>
    </w:p>
    <w:p w:rsidR="00F20D6F" w:rsidRPr="00315B8A" w:rsidRDefault="00F20D6F" w:rsidP="00AF56F2">
      <w:pPr>
        <w:pStyle w:val="Point0"/>
        <w:spacing w:line="360" w:lineRule="auto"/>
        <w:jc w:val="left"/>
        <w:rPr>
          <w:noProof/>
        </w:rPr>
      </w:pPr>
      <w:r w:rsidRPr="00315B8A">
        <w:t>15)</w:t>
      </w:r>
      <w:r w:rsidRPr="00315B8A">
        <w:tab/>
        <w:t>Korvataan 15 artikla seuraavasti:</w:t>
      </w:r>
    </w:p>
    <w:p w:rsidR="00F20D6F" w:rsidRPr="00315B8A" w:rsidRDefault="00F20D6F" w:rsidP="00811334">
      <w:pPr>
        <w:pStyle w:val="Text1"/>
        <w:spacing w:line="360" w:lineRule="auto"/>
        <w:jc w:val="center"/>
        <w:rPr>
          <w:noProof/>
        </w:rPr>
      </w:pPr>
      <w:r w:rsidRPr="00315B8A">
        <w:t>”</w:t>
      </w:r>
      <w:r w:rsidRPr="00315B8A">
        <w:rPr>
          <w:i/>
        </w:rPr>
        <w:t>15 artikla</w:t>
      </w:r>
    </w:p>
    <w:p w:rsidR="00F20D6F" w:rsidRPr="00315B8A" w:rsidRDefault="00F20D6F" w:rsidP="00811334">
      <w:pPr>
        <w:pStyle w:val="Text1"/>
        <w:spacing w:line="360" w:lineRule="auto"/>
        <w:jc w:val="center"/>
        <w:rPr>
          <w:b/>
          <w:bCs/>
          <w:noProof/>
        </w:rPr>
      </w:pPr>
      <w:r w:rsidRPr="00315B8A">
        <w:rPr>
          <w:b/>
        </w:rPr>
        <w:t>Kolmansiin maihin sijoittautuneiden luottolaitosten sivukonttorit</w:t>
      </w:r>
    </w:p>
    <w:p w:rsidR="00F20D6F" w:rsidRPr="00315B8A" w:rsidRDefault="00F20D6F" w:rsidP="00AF56F2">
      <w:pPr>
        <w:pStyle w:val="Text1"/>
        <w:spacing w:line="360" w:lineRule="auto"/>
        <w:jc w:val="left"/>
        <w:rPr>
          <w:noProof/>
        </w:rPr>
      </w:pPr>
      <w:r w:rsidRPr="00315B8A">
        <w:t xml:space="preserve">Jäsenvaltioiden on vaadittava, että sellaisten luottolaitosten sivukonttorit, joiden kotipaikka on unionin ulkopuolella, osallistuvat alueellaan olevaan talletusten </w:t>
      </w:r>
      <w:r w:rsidRPr="00315B8A">
        <w:lastRenderedPageBreak/>
        <w:t>vakuusjärjestelmään, ennen kuin ne sallivat tällaisten sivukonttoreiden ottaa vastaan suojakelpoisia talletuksia kyseisissä jäsenvaltioissa.</w:t>
      </w:r>
    </w:p>
    <w:p w:rsidR="00F20D6F" w:rsidRPr="00315B8A" w:rsidRDefault="00F20D6F" w:rsidP="00AF56F2">
      <w:pPr>
        <w:pStyle w:val="Text1"/>
        <w:spacing w:line="360" w:lineRule="auto"/>
        <w:jc w:val="left"/>
        <w:rPr>
          <w:noProof/>
        </w:rPr>
      </w:pPr>
      <w:r w:rsidRPr="00315B8A">
        <w:rPr>
          <w:b/>
          <w:i/>
        </w:rPr>
        <w:t>Jäsenvaltioiden on varmistettava, että tällaiset sivukonttorit maksavat kannatusmaksuja talletusten vakuusjärjestelmään 13 artiklan mukaisesti.</w:t>
      </w:r>
      <w:r w:rsidRPr="00315B8A">
        <w:t xml:space="preserve">”; </w:t>
      </w:r>
    </w:p>
    <w:p w:rsidR="00F20D6F" w:rsidRPr="00315B8A" w:rsidRDefault="00F20D6F" w:rsidP="00AF56F2">
      <w:pPr>
        <w:pStyle w:val="Point0"/>
        <w:spacing w:line="360" w:lineRule="auto"/>
        <w:jc w:val="left"/>
        <w:rPr>
          <w:noProof/>
        </w:rPr>
      </w:pPr>
      <w:r w:rsidRPr="00315B8A">
        <w:t>16)</w:t>
      </w:r>
      <w:r w:rsidRPr="00315B8A">
        <w:tab/>
        <w:t>Lisätään 15 a artikla seuraavasti:</w:t>
      </w:r>
    </w:p>
    <w:p w:rsidR="00F20D6F" w:rsidRPr="00315B8A" w:rsidRDefault="00F20D6F" w:rsidP="00811334">
      <w:pPr>
        <w:pStyle w:val="Text1"/>
        <w:spacing w:line="360" w:lineRule="auto"/>
        <w:jc w:val="center"/>
        <w:rPr>
          <w:i/>
          <w:iCs/>
          <w:noProof/>
        </w:rPr>
      </w:pPr>
      <w:r w:rsidRPr="00315B8A">
        <w:t>”</w:t>
      </w:r>
      <w:r w:rsidRPr="00315B8A">
        <w:rPr>
          <w:i/>
        </w:rPr>
        <w:t>15 a artikla</w:t>
      </w:r>
    </w:p>
    <w:p w:rsidR="00F20D6F" w:rsidRPr="00315B8A" w:rsidRDefault="00F20D6F" w:rsidP="00811334">
      <w:pPr>
        <w:pStyle w:val="Text1"/>
        <w:spacing w:line="360" w:lineRule="auto"/>
        <w:jc w:val="center"/>
        <w:rPr>
          <w:b/>
          <w:noProof/>
        </w:rPr>
      </w:pPr>
      <w:r w:rsidRPr="00315B8A">
        <w:rPr>
          <w:b/>
        </w:rPr>
        <w:t>Jäseninä olevat luottolaitokset, joilla on sivukonttoreita kolmansissa maissa</w:t>
      </w:r>
    </w:p>
    <w:p w:rsidR="00F20D6F" w:rsidRPr="00315B8A" w:rsidRDefault="00F20D6F" w:rsidP="00AF56F2">
      <w:pPr>
        <w:pStyle w:val="Text1"/>
        <w:spacing w:line="360" w:lineRule="auto"/>
        <w:jc w:val="left"/>
        <w:rPr>
          <w:noProof/>
        </w:rPr>
      </w:pPr>
      <w:r w:rsidRPr="00315B8A">
        <w:t>Jäsenvaltioiden on varmistettava, että talletusten vakuusjärjestelmillä ei suojata järjestelmien jäseninä olevien luottolaitosten kolmansiin maihin perustamien sivukonttoreiden tallettajia, paitsi jos kyseiset talletusten vakuusjärjestelmät keräävät nimetyn viranomaisen suostumuksella vastaavat kannatusmaksut asianomaisilta luottolaitoksilta.</w:t>
      </w:r>
    </w:p>
    <w:p w:rsidR="00F20D6F" w:rsidRPr="00315B8A" w:rsidRDefault="00F20D6F" w:rsidP="00AF56F2">
      <w:pPr>
        <w:pStyle w:val="Text1"/>
        <w:spacing w:line="360" w:lineRule="auto"/>
        <w:jc w:val="left"/>
        <w:rPr>
          <w:noProof/>
        </w:rPr>
      </w:pPr>
      <w:r w:rsidRPr="00315B8A">
        <w:rPr>
          <w:b/>
          <w:i/>
        </w:rPr>
        <w:t>EPV antaa ohjeet, joissa täsmennetään olosuhteet, joissa nimettyjen viranomaisten olisi hyväksyttävä tallettajien suoja sellaisissa sivukonttoreissa, jotka talletusten vakuusjärjestelmän jäseninä olevat luottolaitokset ovat perustaneet kolmansiin maihin.</w:t>
      </w:r>
      <w:r w:rsidRPr="00315B8A">
        <w:t>”;</w:t>
      </w:r>
    </w:p>
    <w:p w:rsidR="00F20D6F" w:rsidRPr="00315B8A" w:rsidRDefault="00F20D6F" w:rsidP="00AF56F2">
      <w:pPr>
        <w:pStyle w:val="Point0"/>
        <w:spacing w:line="360" w:lineRule="auto"/>
        <w:jc w:val="left"/>
        <w:rPr>
          <w:noProof/>
        </w:rPr>
      </w:pPr>
      <w:r w:rsidRPr="00315B8A">
        <w:t>17)</w:t>
      </w:r>
      <w:r w:rsidRPr="00315B8A">
        <w:tab/>
        <w:t>Muutetaan 16 artikla seuraavasti:</w:t>
      </w:r>
    </w:p>
    <w:p w:rsidR="00F20D6F" w:rsidRPr="00315B8A" w:rsidRDefault="00F20D6F" w:rsidP="00AF56F2">
      <w:pPr>
        <w:pStyle w:val="Point1"/>
        <w:spacing w:line="360" w:lineRule="auto"/>
        <w:jc w:val="left"/>
        <w:rPr>
          <w:noProof/>
        </w:rPr>
      </w:pPr>
      <w:r w:rsidRPr="00315B8A">
        <w:t>a)</w:t>
      </w:r>
      <w:r w:rsidRPr="00315B8A">
        <w:tab/>
        <w:t>korvataan 1 kohta seuraavasti:</w:t>
      </w:r>
    </w:p>
    <w:p w:rsidR="00F20D6F" w:rsidRPr="00315B8A" w:rsidRDefault="00F20D6F" w:rsidP="00AF56F2">
      <w:pPr>
        <w:pStyle w:val="Text2"/>
        <w:spacing w:line="360" w:lineRule="auto"/>
        <w:jc w:val="left"/>
        <w:rPr>
          <w:noProof/>
        </w:rPr>
      </w:pPr>
      <w:r w:rsidRPr="00315B8A">
        <w:t xml:space="preserve">”1. Jäsenvaltioiden on varmistettava, että luottolaitokset antavat nykyisille ja mahdollisille tallettajille tietoja, joita nämä tarvitsevat yksilöidäkseen ne talletusten vakuusjärjestelmät, johon luottolaitos ja sen sivukonttorit kuuluvat unionissa. Luottolaitosten on toimitettava kyseiset tiedot Euroopan parlamentin ja neuvoston asetuksen (EU) XX/XXXX [eurooppalaisesta keskitetystä yhteyspisteestä annettu </w:t>
      </w:r>
      <w:proofErr w:type="gramStart"/>
      <w:r w:rsidRPr="00315B8A">
        <w:t>asetus]*</w:t>
      </w:r>
      <w:proofErr w:type="gramEnd"/>
      <w:r w:rsidRPr="00315B8A">
        <w:t>** 2 artiklan 3 alakohdassa määritellyssä tiedon poiminnan mahdollistavassa muodossa laaditulla tiedotteella.</w:t>
      </w:r>
    </w:p>
    <w:p w:rsidR="00F20D6F" w:rsidRPr="00315B8A" w:rsidRDefault="00F20D6F" w:rsidP="00AF56F2">
      <w:pPr>
        <w:pStyle w:val="Text2"/>
        <w:spacing w:line="360" w:lineRule="auto"/>
        <w:jc w:val="left"/>
        <w:rPr>
          <w:noProof/>
        </w:rPr>
      </w:pPr>
      <w:r w:rsidRPr="00315B8A">
        <w:t>_______________________________________________</w:t>
      </w:r>
    </w:p>
    <w:p w:rsidR="00F20D6F" w:rsidRPr="00315B8A" w:rsidRDefault="00F20D6F" w:rsidP="00AF56F2">
      <w:pPr>
        <w:pStyle w:val="Text2"/>
        <w:spacing w:line="360" w:lineRule="auto"/>
        <w:jc w:val="left"/>
        <w:rPr>
          <w:noProof/>
          <w:szCs w:val="24"/>
        </w:rPr>
      </w:pPr>
      <w:r w:rsidRPr="00315B8A">
        <w:t>***</w:t>
      </w:r>
      <w:r w:rsidRPr="00315B8A">
        <w:tab/>
        <w:t>Euroopan parlamentin ja neuvoston asetus (EU) XX/XXX, annettu [...] päivänä [...]kuuta [...], rahoituspalvelujen, pääomamarkkinoiden ja kestävyyden kannalta merkityksellisiin julkisesti saatavilla oleviin tietoihin keskitetyn pääsyn tarjoavan eurooppalaisen keskitetyn yhteyspisteen perustamisesta.”;</w:t>
      </w:r>
    </w:p>
    <w:p w:rsidR="00F20D6F" w:rsidRPr="00315B8A" w:rsidRDefault="00F20D6F" w:rsidP="00AF56F2">
      <w:pPr>
        <w:pStyle w:val="Point1"/>
        <w:spacing w:line="360" w:lineRule="auto"/>
        <w:jc w:val="left"/>
        <w:rPr>
          <w:noProof/>
        </w:rPr>
      </w:pPr>
      <w:r w:rsidRPr="00315B8A">
        <w:lastRenderedPageBreak/>
        <w:t>b)</w:t>
      </w:r>
      <w:r w:rsidRPr="00315B8A">
        <w:tab/>
        <w:t>lisätään 1 a kohta seuraavasti:</w:t>
      </w:r>
    </w:p>
    <w:p w:rsidR="00F20D6F" w:rsidRPr="00315B8A" w:rsidRDefault="00F20D6F" w:rsidP="00AF56F2">
      <w:pPr>
        <w:pStyle w:val="Text2"/>
        <w:spacing w:line="360" w:lineRule="auto"/>
        <w:jc w:val="left"/>
        <w:rPr>
          <w:noProof/>
        </w:rPr>
      </w:pPr>
      <w:r w:rsidRPr="00315B8A">
        <w:t xml:space="preserve">”1 a. Jäsenvaltioiden on varmistettava, että 1 kohdassa tarkoitettu tiedote sisältää kaikki seuraavat tiedot: </w:t>
      </w:r>
    </w:p>
    <w:p w:rsidR="00F20D6F" w:rsidRPr="00315B8A" w:rsidRDefault="00F20D6F" w:rsidP="00AF56F2">
      <w:pPr>
        <w:pStyle w:val="Point2"/>
        <w:spacing w:line="360" w:lineRule="auto"/>
        <w:jc w:val="left"/>
        <w:rPr>
          <w:noProof/>
        </w:rPr>
      </w:pPr>
      <w:r w:rsidRPr="00315B8A">
        <w:t>i)</w:t>
      </w:r>
      <w:r w:rsidRPr="00315B8A">
        <w:tab/>
        <w:t>perustiedot talletussuojasta;</w:t>
      </w:r>
    </w:p>
    <w:p w:rsidR="00F20D6F" w:rsidRPr="00315B8A" w:rsidRDefault="00F20D6F" w:rsidP="00AF56F2">
      <w:pPr>
        <w:pStyle w:val="Point2"/>
        <w:spacing w:line="360" w:lineRule="auto"/>
        <w:jc w:val="left"/>
        <w:rPr>
          <w:noProof/>
        </w:rPr>
      </w:pPr>
      <w:r w:rsidRPr="00315B8A">
        <w:t>ii)</w:t>
      </w:r>
      <w:r w:rsidRPr="00315B8A">
        <w:tab/>
        <w:t xml:space="preserve">tiedotteen sisältöä koskevan tiedon osalta ensimmäisenä yhteyspisteenä toimivan luottolaitoksen yhteystiedot; </w:t>
      </w:r>
    </w:p>
    <w:p w:rsidR="00F20D6F" w:rsidRPr="00315B8A" w:rsidRDefault="00F20D6F" w:rsidP="00AF56F2">
      <w:pPr>
        <w:pStyle w:val="Point2"/>
        <w:spacing w:line="360" w:lineRule="auto"/>
        <w:jc w:val="left"/>
        <w:rPr>
          <w:noProof/>
        </w:rPr>
      </w:pPr>
      <w:r w:rsidRPr="00315B8A">
        <w:t>iii)</w:t>
      </w:r>
      <w:r w:rsidRPr="00315B8A">
        <w:tab/>
        <w:t>6 artiklan 1 kohdassa ja 6 artiklan 2 kohdassa tarkoitettu talletussuojan taso euroissa tai tarvittaessa muussa valuutassa;</w:t>
      </w:r>
    </w:p>
    <w:p w:rsidR="00F20D6F" w:rsidRPr="00315B8A" w:rsidRDefault="00F20D6F" w:rsidP="00AF56F2">
      <w:pPr>
        <w:pStyle w:val="Point2"/>
        <w:spacing w:line="360" w:lineRule="auto"/>
        <w:jc w:val="left"/>
        <w:rPr>
          <w:noProof/>
        </w:rPr>
      </w:pPr>
      <w:r w:rsidRPr="00315B8A">
        <w:t>iv)</w:t>
      </w:r>
      <w:r w:rsidRPr="00315B8A">
        <w:tab/>
        <w:t>tapaukset, joissa luottolaitos on erotettu talletusten vakuusjärjestelmästä;</w:t>
      </w:r>
    </w:p>
    <w:p w:rsidR="00F20D6F" w:rsidRPr="00315B8A" w:rsidRDefault="00F20D6F" w:rsidP="00AF56F2">
      <w:pPr>
        <w:pStyle w:val="Point2"/>
        <w:spacing w:line="360" w:lineRule="auto"/>
        <w:jc w:val="left"/>
        <w:rPr>
          <w:noProof/>
        </w:rPr>
      </w:pPr>
      <w:r w:rsidRPr="00315B8A">
        <w:t>v)</w:t>
      </w:r>
      <w:r w:rsidRPr="00315B8A">
        <w:tab/>
        <w:t>yhteistileihin liittyvä talletussuojan raja;</w:t>
      </w:r>
    </w:p>
    <w:p w:rsidR="00F20D6F" w:rsidRPr="00315B8A" w:rsidRDefault="00F20D6F" w:rsidP="00AF56F2">
      <w:pPr>
        <w:pStyle w:val="Point2"/>
        <w:spacing w:line="360" w:lineRule="auto"/>
        <w:jc w:val="left"/>
        <w:rPr>
          <w:noProof/>
        </w:rPr>
      </w:pPr>
      <w:r w:rsidRPr="00315B8A">
        <w:t>vi)</w:t>
      </w:r>
      <w:r w:rsidRPr="00315B8A">
        <w:tab/>
        <w:t xml:space="preserve">korvausaika, jos luottolaitos ei pysty maksamaan talletuksia; </w:t>
      </w:r>
    </w:p>
    <w:p w:rsidR="00F20D6F" w:rsidRPr="00315B8A" w:rsidRDefault="00F20D6F" w:rsidP="00AF56F2">
      <w:pPr>
        <w:pStyle w:val="Point2"/>
        <w:spacing w:line="360" w:lineRule="auto"/>
        <w:jc w:val="left"/>
        <w:rPr>
          <w:noProof/>
        </w:rPr>
      </w:pPr>
      <w:r w:rsidRPr="00315B8A">
        <w:t>vii)</w:t>
      </w:r>
      <w:r w:rsidRPr="00315B8A">
        <w:tab/>
        <w:t>korvauksen valuutta;</w:t>
      </w:r>
    </w:p>
    <w:p w:rsidR="00F20D6F" w:rsidRPr="00315B8A" w:rsidRDefault="00F20D6F" w:rsidP="00AF56F2">
      <w:pPr>
        <w:pStyle w:val="Point2"/>
        <w:spacing w:line="360" w:lineRule="auto"/>
        <w:jc w:val="left"/>
        <w:rPr>
          <w:noProof/>
        </w:rPr>
      </w:pPr>
      <w:r w:rsidRPr="00315B8A">
        <w:t>viii)</w:t>
      </w:r>
      <w:r w:rsidRPr="00315B8A">
        <w:tab/>
        <w:t>talletuksen suojaamisesta vastaavan talletusten vakuusjärjestelmän tiedot, mukaan lukien viittaus sen verkkosivustoon.”;</w:t>
      </w:r>
    </w:p>
    <w:p w:rsidR="00F20D6F" w:rsidRPr="00315B8A" w:rsidRDefault="00F20D6F" w:rsidP="00AF56F2">
      <w:pPr>
        <w:pStyle w:val="Point1"/>
        <w:spacing w:line="360" w:lineRule="auto"/>
        <w:jc w:val="left"/>
        <w:rPr>
          <w:noProof/>
        </w:rPr>
      </w:pPr>
      <w:r w:rsidRPr="00315B8A">
        <w:t>c)</w:t>
      </w:r>
      <w:r w:rsidRPr="00315B8A">
        <w:tab/>
        <w:t>korvataan 2 kohta seuraavasti:</w:t>
      </w:r>
    </w:p>
    <w:p w:rsidR="00F20D6F" w:rsidRPr="00315B8A" w:rsidRDefault="00F20D6F" w:rsidP="00AF56F2">
      <w:pPr>
        <w:pStyle w:val="Text2"/>
        <w:spacing w:line="360" w:lineRule="auto"/>
        <w:jc w:val="left"/>
        <w:rPr>
          <w:noProof/>
        </w:rPr>
      </w:pPr>
      <w:r w:rsidRPr="00315B8A">
        <w:t xml:space="preserve">”2. Jäsenvaltioiden on varmistettava, että luottolaitokset toimittavat 1 kohdassa tarkoitetun tiedotteen ennen talletusten vastaanottoa koskevan sopimuksen tekoa ja sen jälkeen </w:t>
      </w:r>
      <w:r w:rsidRPr="00315B8A">
        <w:rPr>
          <w:b/>
          <w:i/>
        </w:rPr>
        <w:t>aina, kun toimitetuissa tiedoissa ilmenee mitä tahansa muutoksia</w:t>
      </w:r>
      <w:r w:rsidRPr="00315B8A">
        <w:t>. Tallettajien on ilmoitettava saaneensa tiedotteen</w:t>
      </w:r>
      <w:r w:rsidRPr="00315B8A">
        <w:rPr>
          <w:b/>
          <w:i/>
        </w:rPr>
        <w:t>, paitsi jos tiedot on asetettu julkisesti saataville</w:t>
      </w:r>
      <w:r w:rsidRPr="00315B8A">
        <w:t>.”;</w:t>
      </w:r>
    </w:p>
    <w:p w:rsidR="00F20D6F" w:rsidRPr="00315B8A" w:rsidRDefault="00F20D6F" w:rsidP="00AF56F2">
      <w:pPr>
        <w:pStyle w:val="Point1"/>
        <w:spacing w:line="360" w:lineRule="auto"/>
        <w:jc w:val="left"/>
        <w:rPr>
          <w:noProof/>
        </w:rPr>
      </w:pPr>
      <w:r w:rsidRPr="00315B8A">
        <w:t>d)</w:t>
      </w:r>
      <w:r w:rsidRPr="00315B8A">
        <w:tab/>
        <w:t>korvataan 3 kohdan ensimmäinen alakohta seuraavasti:</w:t>
      </w:r>
    </w:p>
    <w:p w:rsidR="00F20D6F" w:rsidRPr="00315B8A" w:rsidRDefault="00F20D6F" w:rsidP="00AF56F2">
      <w:pPr>
        <w:pStyle w:val="Text2"/>
        <w:spacing w:line="360" w:lineRule="auto"/>
        <w:jc w:val="left"/>
        <w:rPr>
          <w:noProof/>
        </w:rPr>
      </w:pPr>
      <w:r w:rsidRPr="00315B8A">
        <w:t>”Jäsenvaltioiden on varmistettava, että luottolaitokset vahvistavat tallettajien tiliotteissa, että talletukset ovat suojakelpoisia, viittaus 1 kohdassa tarkoitettuun tiedotteeseen mukaan luettuna.”;</w:t>
      </w:r>
    </w:p>
    <w:p w:rsidR="00F20D6F" w:rsidRPr="00315B8A" w:rsidRDefault="00F20D6F" w:rsidP="00AF56F2">
      <w:pPr>
        <w:pStyle w:val="Point1"/>
        <w:spacing w:line="360" w:lineRule="auto"/>
        <w:jc w:val="left"/>
        <w:rPr>
          <w:noProof/>
        </w:rPr>
      </w:pPr>
      <w:r w:rsidRPr="00315B8A">
        <w:t>e)</w:t>
      </w:r>
      <w:r w:rsidRPr="00315B8A">
        <w:tab/>
        <w:t xml:space="preserve">korvataan 4 kohta seuraavasti: </w:t>
      </w:r>
    </w:p>
    <w:p w:rsidR="00F20D6F" w:rsidRPr="00315B8A" w:rsidRDefault="00F20D6F" w:rsidP="00AF56F2">
      <w:pPr>
        <w:pStyle w:val="Text2"/>
        <w:spacing w:line="360" w:lineRule="auto"/>
        <w:jc w:val="left"/>
        <w:rPr>
          <w:noProof/>
        </w:rPr>
      </w:pPr>
      <w:r w:rsidRPr="00315B8A">
        <w:t>”4. Jäsenvaltioiden on varmistettava, että luottolaitokset asettavat edellä 1 kohdassa tarkoitetut tiedot saataville kielellä, jonka tallettaja ja luottolaitos ovat sopineet tiliä avattaessa, tai sen jäsenvaltion virallisella kielellä tai virallisilla kielillä, jossa sivukonttori sijaitsee.”;</w:t>
      </w:r>
    </w:p>
    <w:p w:rsidR="00F20D6F" w:rsidRPr="00315B8A" w:rsidRDefault="00F20D6F" w:rsidP="00AF56F2">
      <w:pPr>
        <w:pStyle w:val="Point1"/>
        <w:spacing w:line="360" w:lineRule="auto"/>
        <w:jc w:val="left"/>
        <w:rPr>
          <w:noProof/>
        </w:rPr>
      </w:pPr>
      <w:r w:rsidRPr="00315B8A">
        <w:t>f)</w:t>
      </w:r>
      <w:r w:rsidRPr="00315B8A">
        <w:tab/>
        <w:t>korvataan 6 ja 7 kohta seuraavasti:</w:t>
      </w:r>
    </w:p>
    <w:p w:rsidR="00F20D6F" w:rsidRPr="00315B8A" w:rsidRDefault="00F20D6F" w:rsidP="00AF56F2">
      <w:pPr>
        <w:pStyle w:val="Text2"/>
        <w:spacing w:line="360" w:lineRule="auto"/>
        <w:jc w:val="left"/>
        <w:rPr>
          <w:noProof/>
        </w:rPr>
      </w:pPr>
      <w:r w:rsidRPr="00315B8A">
        <w:lastRenderedPageBreak/>
        <w:t xml:space="preserve">”6. Jäsenvaltioiden on varmistettava, että jos kyse on luottolaitosten sulautumisesta, luottolaitoksen tytäryhtiöiden muuttamisesta sivukonttoreiksi tai samankaltaisesta toimenpiteestä, luottolaitokset ilmoittavat asiasta tallettajilleen vähintään yhtä kuukautta ennen kuin toimenpide tulee voimaan, jollei toimivaltainen viranomainen anna lupaa lyhyemmälle määräajalle liikesalaisuuden tai rahoitusvakauden perusteella. Ilmoituksessa on selitettävä toimenpiteen vaikutus talletussuojaan. </w:t>
      </w:r>
    </w:p>
    <w:p w:rsidR="00F20D6F" w:rsidRPr="00315B8A" w:rsidRDefault="00F20D6F" w:rsidP="00AF56F2">
      <w:pPr>
        <w:pStyle w:val="Text2"/>
        <w:spacing w:line="360" w:lineRule="auto"/>
        <w:jc w:val="left"/>
        <w:rPr>
          <w:noProof/>
        </w:rPr>
      </w:pPr>
      <w:r w:rsidRPr="00315B8A">
        <w:t>Jäsenvaltioiden on varmistettava, että jos ensimmäisessä alakohdassa tarkoitettujen toimenpiteiden seurauksena tallettajien, joilla on talletuksia kyseisissä luottolaitoksissa, talletussuoja heikkenee, kyseiset luottolaitokset ilmoittavat tallettajille, että he voivat lopettaa suojakelpoiset talletuksensa, mukaan lukien kaikki kertyneet korot ja edut, tai siirtää ne toiseen luottolaitokseen, enintään menetettyä talletusten suojaa vastaavan määrän osalta kolmen kuukauden kuluessa ensimmäisessä alakohdassa tarkoitetusta ilmoituksesta, ilman seuraamuksia.</w:t>
      </w:r>
    </w:p>
    <w:p w:rsidR="00F20D6F" w:rsidRPr="00315B8A" w:rsidRDefault="00F20D6F" w:rsidP="00AF56F2">
      <w:pPr>
        <w:pStyle w:val="Text2"/>
        <w:spacing w:line="360" w:lineRule="auto"/>
        <w:jc w:val="left"/>
        <w:rPr>
          <w:noProof/>
        </w:rPr>
      </w:pPr>
      <w:r w:rsidRPr="00315B8A">
        <w:t xml:space="preserve">7. Jäsenvaltioiden on varmistettava, että luottolaitokset, joiden jäsenyys talletusten vakuusjärjestelmässä päättyy, ilmoittavat asiasta tallettajilleen vähintään yhtä kuukautta ennen jäsenyyden päättymistä. </w:t>
      </w:r>
      <w:r w:rsidRPr="00315B8A">
        <w:rPr>
          <w:b/>
          <w:i/>
        </w:rPr>
        <w:t>Ilmoittamisen yhteydessä on selvitettävä, miten jäsenyyden päättyminen vaikuttaa talletussuojaan. Jäsenvaltioiden on varmistettava, että sellaisen luottolaitoksen tallettajat, joka on lakannut olemasta talletusten vakuusjärjestelmän jäsen, voivat siirtää talletuksensa samaan talletussuojajärjestelmään kuuluvaan toiseen laitokseen ilman siirtokustannuksia.</w:t>
      </w:r>
      <w:r w:rsidRPr="00315B8A">
        <w:t>”;</w:t>
      </w:r>
    </w:p>
    <w:p w:rsidR="00F20D6F" w:rsidRPr="00315B8A" w:rsidRDefault="00F20D6F" w:rsidP="00AF56F2">
      <w:pPr>
        <w:pStyle w:val="Point1"/>
        <w:spacing w:line="360" w:lineRule="auto"/>
        <w:jc w:val="left"/>
        <w:rPr>
          <w:noProof/>
        </w:rPr>
      </w:pPr>
      <w:r w:rsidRPr="00315B8A">
        <w:t>g)</w:t>
      </w:r>
      <w:r w:rsidRPr="00315B8A">
        <w:tab/>
        <w:t>lisätään 7 a kohta seuraavasti:</w:t>
      </w:r>
    </w:p>
    <w:p w:rsidR="00F20D6F" w:rsidRPr="00315B8A" w:rsidRDefault="00F20D6F" w:rsidP="00AF56F2">
      <w:pPr>
        <w:pStyle w:val="Text2"/>
        <w:spacing w:line="360" w:lineRule="auto"/>
        <w:jc w:val="left"/>
        <w:rPr>
          <w:noProof/>
        </w:rPr>
      </w:pPr>
      <w:r w:rsidRPr="00315B8A">
        <w:t>”7 a. Jäsenvaltioiden on varmistettava, että asianomaiset nimetyt viranomaiset, talletusten vakuusjärjestelmät ja luottolaitokset ilmoittavat tallettajille, myös julkaisemalla tiedon verkkosivustollaan, että asianomainen hallintoviranomainen on tehnyt 2 artiklan 1 kohdan 8 alakohdan a alakohdassa tarkoitetun määrityksen tai että oikeusviranomainen on antanut 2 artiklan 1 kohdan 8 alakohdan b alakohdassa tarkoitetun päätöksen.”;</w:t>
      </w:r>
    </w:p>
    <w:p w:rsidR="00F20D6F" w:rsidRPr="00315B8A" w:rsidRDefault="00F20D6F" w:rsidP="00AF56F2">
      <w:pPr>
        <w:pStyle w:val="Point1"/>
        <w:spacing w:line="360" w:lineRule="auto"/>
        <w:jc w:val="left"/>
        <w:rPr>
          <w:noProof/>
        </w:rPr>
      </w:pPr>
      <w:r w:rsidRPr="00315B8A">
        <w:t>h)</w:t>
      </w:r>
      <w:r w:rsidRPr="00315B8A">
        <w:tab/>
        <w:t>korvataan 8 kohta seuraavasti:</w:t>
      </w:r>
    </w:p>
    <w:p w:rsidR="00F20D6F" w:rsidRPr="00315B8A" w:rsidRDefault="00F20D6F" w:rsidP="00AF56F2">
      <w:pPr>
        <w:pStyle w:val="Text2"/>
        <w:spacing w:line="360" w:lineRule="auto"/>
        <w:jc w:val="left"/>
        <w:rPr>
          <w:noProof/>
        </w:rPr>
      </w:pPr>
      <w:r w:rsidRPr="00315B8A">
        <w:lastRenderedPageBreak/>
        <w:t>”8. Jäsenvaltioiden on varmistettava, että jos tallettaja käyttää verkkopankkia, luottolaitokset toimittavat tässä direktiivissä edellytetyt tiedot tallettajilleen sähköisesti, paitsi jos tallettaja pyytää saada nämä tiedot paperilla.”;</w:t>
      </w:r>
    </w:p>
    <w:p w:rsidR="00F20D6F" w:rsidRPr="00315B8A" w:rsidRDefault="00F20D6F" w:rsidP="00AF56F2">
      <w:pPr>
        <w:pStyle w:val="Point1"/>
        <w:spacing w:line="360" w:lineRule="auto"/>
        <w:jc w:val="left"/>
        <w:rPr>
          <w:noProof/>
        </w:rPr>
      </w:pPr>
      <w:r w:rsidRPr="00315B8A">
        <w:t>i)</w:t>
      </w:r>
      <w:r w:rsidRPr="00315B8A">
        <w:tab/>
        <w:t>lisätään 9 kohta seuraavasti:</w:t>
      </w:r>
    </w:p>
    <w:p w:rsidR="00F20D6F" w:rsidRPr="00315B8A" w:rsidRDefault="00F20D6F" w:rsidP="00AF56F2">
      <w:pPr>
        <w:pStyle w:val="Text2"/>
        <w:spacing w:line="360" w:lineRule="auto"/>
        <w:jc w:val="left"/>
        <w:rPr>
          <w:noProof/>
        </w:rPr>
      </w:pPr>
      <w:r w:rsidRPr="00315B8A">
        <w:t>”9. EPV laatii teknisten täytäntöönpanostandardien luonnokset, joissa täsmennetään</w:t>
      </w:r>
    </w:p>
    <w:p w:rsidR="00F20D6F" w:rsidRPr="00315B8A" w:rsidRDefault="00F20D6F" w:rsidP="00AF56F2">
      <w:pPr>
        <w:pStyle w:val="Point2"/>
        <w:spacing w:line="360" w:lineRule="auto"/>
        <w:jc w:val="left"/>
        <w:rPr>
          <w:noProof/>
        </w:rPr>
      </w:pPr>
      <w:r w:rsidRPr="00315B8A">
        <w:t>a)</w:t>
      </w:r>
      <w:r w:rsidRPr="00315B8A">
        <w:tab/>
        <w:t>1 a kohdassa tarkoitetun tiedotteen sisältö ja muoto;</w:t>
      </w:r>
    </w:p>
    <w:p w:rsidR="00F20D6F" w:rsidRPr="00315B8A" w:rsidRDefault="00F20D6F" w:rsidP="00AF56F2">
      <w:pPr>
        <w:pStyle w:val="Point2"/>
        <w:spacing w:line="360" w:lineRule="auto"/>
        <w:jc w:val="left"/>
        <w:rPr>
          <w:noProof/>
        </w:rPr>
      </w:pPr>
      <w:r w:rsidRPr="00315B8A">
        <w:t>b)</w:t>
      </w:r>
      <w:r w:rsidRPr="00315B8A">
        <w:tab/>
        <w:t>menettely, jota noudatetaan nimetyiltä viranomaisilta, talletusten vakuusjärjestelmiltä tai luottolaitoksilta tallettajille toimitettavien tietojen antamisessa, ja näiden tietojen sisältö 8 b ja 8 c artiklassa sekä tämän artiklan 6, 7 ja 7 a kohdassa tarkoitetuissa tilanteissa.</w:t>
      </w:r>
    </w:p>
    <w:p w:rsidR="00F20D6F" w:rsidRPr="00315B8A" w:rsidRDefault="00F20D6F" w:rsidP="00AF56F2">
      <w:pPr>
        <w:pStyle w:val="Text2"/>
        <w:spacing w:line="360" w:lineRule="auto"/>
        <w:jc w:val="left"/>
        <w:rPr>
          <w:noProof/>
        </w:rPr>
      </w:pPr>
      <w:r w:rsidRPr="00315B8A">
        <w:t xml:space="preserve">EPV toimittaa nämä teknisten täytäntöönpanostandardien luonnokset komissiolle viimeistään [julkaisutoimisto: lisätään päivämäärä, joka on 12 kuukautta tämän direktiivin voimaantulopäivästä]. </w:t>
      </w:r>
    </w:p>
    <w:p w:rsidR="00F20D6F" w:rsidRPr="00315B8A" w:rsidRDefault="00F20D6F" w:rsidP="00AF56F2">
      <w:pPr>
        <w:pStyle w:val="Text2"/>
        <w:spacing w:line="360" w:lineRule="auto"/>
        <w:jc w:val="left"/>
        <w:rPr>
          <w:noProof/>
        </w:rPr>
      </w:pPr>
      <w:r w:rsidRPr="00315B8A">
        <w:t xml:space="preserve">Siirretään komissiolle valta hyväksyä ensimmäisessä alakohdassa tarkoitetut tekniset täytäntöönpanostandardit asetuksen (EU) </w:t>
      </w:r>
      <w:proofErr w:type="gramStart"/>
      <w:r w:rsidRPr="00315B8A">
        <w:t>N:o</w:t>
      </w:r>
      <w:proofErr w:type="gramEnd"/>
      <w:r w:rsidRPr="00315B8A">
        <w:t> 1093/2010 15 artiklan mukaisesti.”;</w:t>
      </w:r>
    </w:p>
    <w:p w:rsidR="00F20D6F" w:rsidRPr="00315B8A" w:rsidRDefault="00F20D6F" w:rsidP="00AF56F2">
      <w:pPr>
        <w:pStyle w:val="Point0"/>
        <w:spacing w:line="360" w:lineRule="auto"/>
        <w:jc w:val="left"/>
        <w:rPr>
          <w:noProof/>
        </w:rPr>
      </w:pPr>
      <w:r w:rsidRPr="00315B8A">
        <w:t>18)</w:t>
      </w:r>
      <w:r w:rsidRPr="00315B8A">
        <w:tab/>
        <w:t>Lisätään 16 a artikla seuraavasti:</w:t>
      </w:r>
    </w:p>
    <w:p w:rsidR="00F20D6F" w:rsidRPr="00315B8A" w:rsidRDefault="00F20D6F" w:rsidP="00811334">
      <w:pPr>
        <w:pStyle w:val="Text1"/>
        <w:spacing w:line="360" w:lineRule="auto"/>
        <w:jc w:val="center"/>
        <w:rPr>
          <w:i/>
          <w:iCs/>
          <w:noProof/>
        </w:rPr>
      </w:pPr>
      <w:r w:rsidRPr="00315B8A">
        <w:t>”</w:t>
      </w:r>
      <w:r w:rsidRPr="00315B8A">
        <w:rPr>
          <w:i/>
        </w:rPr>
        <w:t>16 a artikla</w:t>
      </w:r>
    </w:p>
    <w:p w:rsidR="00F20D6F" w:rsidRPr="00315B8A" w:rsidRDefault="00F20D6F" w:rsidP="00811334">
      <w:pPr>
        <w:pStyle w:val="Text1"/>
        <w:spacing w:line="360" w:lineRule="auto"/>
        <w:jc w:val="center"/>
        <w:rPr>
          <w:b/>
          <w:noProof/>
        </w:rPr>
      </w:pPr>
      <w:r w:rsidRPr="00315B8A">
        <w:rPr>
          <w:b/>
        </w:rPr>
        <w:t>Luottolaitosten ja talletusten vakuusjärjestelmän välinen tietojenvaihto ja viranomaisten raportointi</w:t>
      </w:r>
    </w:p>
    <w:p w:rsidR="00F20D6F" w:rsidRPr="00315B8A" w:rsidRDefault="00F20D6F" w:rsidP="00AF56F2">
      <w:pPr>
        <w:pStyle w:val="Text1"/>
        <w:spacing w:line="360" w:lineRule="auto"/>
        <w:jc w:val="left"/>
        <w:rPr>
          <w:noProof/>
        </w:rPr>
      </w:pPr>
      <w:r w:rsidRPr="00315B8A">
        <w:t xml:space="preserve">1. Jäsenvaltioiden on varmistettava, että talletusten vakuusjärjestelmät saavat jäseninään olevilta luottolaitoksilta </w:t>
      </w:r>
      <w:r w:rsidRPr="00315B8A">
        <w:rPr>
          <w:b/>
          <w:i/>
        </w:rPr>
        <w:t>vähintään kerran vuodessa</w:t>
      </w:r>
      <w:r w:rsidRPr="00315B8A">
        <w:t xml:space="preserve"> </w:t>
      </w:r>
      <w:r w:rsidRPr="00315B8A">
        <w:rPr>
          <w:rFonts w:ascii="Arial" w:hAnsi="Arial"/>
        </w:rPr>
        <w:t>▌</w:t>
      </w:r>
      <w:r w:rsidRPr="00315B8A">
        <w:t xml:space="preserve">ja milloin tahansa </w:t>
      </w:r>
      <w:r w:rsidRPr="00315B8A">
        <w:rPr>
          <w:rFonts w:ascii="Arial" w:hAnsi="Arial"/>
        </w:rPr>
        <w:t>▌</w:t>
      </w:r>
      <w:r w:rsidRPr="00315B8A">
        <w:t xml:space="preserve">sitä pyytäessään kaikki tiedot, jotka tarvitaan tallettajille maksettavien korvausten valmisteluun, 5 artiklan 4 kohdassa säädetyn tunnistamisvaatimuksen mukaisesti, 8 artiklan 5 kohtaa sekä 8 b ja 8 c artiklaa varten tarvittavat tiedot mukaan luettuina. </w:t>
      </w:r>
    </w:p>
    <w:p w:rsidR="00F20D6F" w:rsidRPr="00315B8A" w:rsidRDefault="00F20D6F" w:rsidP="00AF56F2">
      <w:pPr>
        <w:pStyle w:val="Text1"/>
        <w:spacing w:line="360" w:lineRule="auto"/>
        <w:jc w:val="left"/>
        <w:rPr>
          <w:noProof/>
        </w:rPr>
      </w:pPr>
      <w:r w:rsidRPr="00315B8A">
        <w:t xml:space="preserve">2. Jäsenvaltioiden on varmistettava, että luottolaitokset toimittavat </w:t>
      </w:r>
      <w:r w:rsidRPr="00315B8A">
        <w:rPr>
          <w:b/>
          <w:i/>
        </w:rPr>
        <w:t>vähintään kerran vuodessa ja milloin tahansa</w:t>
      </w:r>
      <w:r w:rsidRPr="00315B8A">
        <w:t xml:space="preserve"> pyynnöstä sille talletusten vakuusjärjestelmälle, jonka jäseniä ne ovat, tiedot seuraavista:</w:t>
      </w:r>
    </w:p>
    <w:p w:rsidR="00F20D6F" w:rsidRPr="00315B8A" w:rsidRDefault="00F20D6F" w:rsidP="00AF56F2">
      <w:pPr>
        <w:pStyle w:val="Point1"/>
        <w:spacing w:line="360" w:lineRule="auto"/>
        <w:jc w:val="left"/>
        <w:rPr>
          <w:noProof/>
        </w:rPr>
      </w:pPr>
      <w:r w:rsidRPr="00315B8A">
        <w:t>a)</w:t>
      </w:r>
      <w:r w:rsidRPr="00315B8A">
        <w:tab/>
        <w:t xml:space="preserve">kyseisten luottolaitosten sivukonttoreiden tallettajat; </w:t>
      </w:r>
    </w:p>
    <w:p w:rsidR="00F20D6F" w:rsidRPr="00315B8A" w:rsidRDefault="00F20D6F" w:rsidP="00AF56F2">
      <w:pPr>
        <w:pStyle w:val="Point1"/>
        <w:spacing w:line="360" w:lineRule="auto"/>
        <w:jc w:val="left"/>
        <w:rPr>
          <w:noProof/>
        </w:rPr>
      </w:pPr>
      <w:r w:rsidRPr="00315B8A">
        <w:lastRenderedPageBreak/>
        <w:t>b)</w:t>
      </w:r>
      <w:r w:rsidRPr="00315B8A">
        <w:tab/>
        <w:t>tallettajat, jotka ovat jäseninä olevien laitosten palvelujen tarjoamisen vapauden perusteella tarjoamien palvelujen vastaanottajia.</w:t>
      </w:r>
    </w:p>
    <w:p w:rsidR="00F20D6F" w:rsidRPr="00315B8A" w:rsidRDefault="00F20D6F" w:rsidP="00AF56F2">
      <w:pPr>
        <w:pStyle w:val="Text1"/>
        <w:spacing w:line="360" w:lineRule="auto"/>
        <w:jc w:val="left"/>
        <w:rPr>
          <w:noProof/>
        </w:rPr>
      </w:pPr>
      <w:r w:rsidRPr="00315B8A">
        <w:t>Edellä a ja b alakohdassa tarkoitetuissa tiedoissa on ilmoitettava jäsenvaltiot, joissa kyseiset sivukonttorit tai tallettajat sijaitsevat.</w:t>
      </w:r>
    </w:p>
    <w:p w:rsidR="00F20D6F" w:rsidRPr="00315B8A" w:rsidRDefault="00F20D6F" w:rsidP="00AF56F2">
      <w:pPr>
        <w:pStyle w:val="Text1"/>
        <w:spacing w:line="360" w:lineRule="auto"/>
        <w:jc w:val="left"/>
        <w:rPr>
          <w:noProof/>
        </w:rPr>
      </w:pPr>
      <w:r w:rsidRPr="00315B8A">
        <w:t xml:space="preserve">3. Jäsenvaltioiden on varmistettava, että talletusten vakuusjärjestelmät ilmoittavat kunkin vuoden maaliskuun 31 päivään mennessä </w:t>
      </w:r>
      <w:proofErr w:type="spellStart"/>
      <w:r w:rsidRPr="00315B8A">
        <w:t>EPV:lle</w:t>
      </w:r>
      <w:proofErr w:type="spellEnd"/>
      <w:r w:rsidRPr="00315B8A">
        <w:t xml:space="preserve"> kulloisessakin jäsenvaltiossa olevien suojattujen talletusten määrän edellisen vuoden joulukuun 31 päivänä. Talletusten vakuusjärjestelmien on samaan päivään mennessä myös ilmoitettava </w:t>
      </w:r>
      <w:proofErr w:type="spellStart"/>
      <w:r w:rsidRPr="00315B8A">
        <w:t>EPV:lle</w:t>
      </w:r>
      <w:proofErr w:type="spellEnd"/>
      <w:r w:rsidRPr="00315B8A">
        <w:t xml:space="preserve"> niiden käytettävissä olevien rahoitusvarojen määrä, mukaan lukien lainattujen varojen osuus, maksusitoumukset ja tavoitetason saavuttamista koskeva aikataulu </w:t>
      </w:r>
      <w:r w:rsidRPr="00315B8A">
        <w:rPr>
          <w:b/>
          <w:i/>
        </w:rPr>
        <w:t>10 artiklan 2 kohdassa tarkoitetun talletusten vakuusjärjestelmän varojen maksujen suorittamisen jälkeen</w:t>
      </w:r>
      <w:r w:rsidRPr="00315B8A">
        <w:t xml:space="preserve">. </w:t>
      </w:r>
    </w:p>
    <w:p w:rsidR="00F20D6F" w:rsidRPr="00315B8A" w:rsidRDefault="00F20D6F" w:rsidP="00AF56F2">
      <w:pPr>
        <w:pStyle w:val="Text1"/>
        <w:spacing w:line="360" w:lineRule="auto"/>
        <w:jc w:val="left"/>
        <w:rPr>
          <w:noProof/>
        </w:rPr>
      </w:pPr>
      <w:r w:rsidRPr="00315B8A">
        <w:t xml:space="preserve">4. Jäsenvaltioiden on varmistettava, että nimetyt viranomaiset ilmoittavat </w:t>
      </w:r>
      <w:proofErr w:type="spellStart"/>
      <w:r w:rsidRPr="00315B8A">
        <w:t>EPV:lle</w:t>
      </w:r>
      <w:proofErr w:type="spellEnd"/>
      <w:r w:rsidRPr="00315B8A">
        <w:t xml:space="preserve"> </w:t>
      </w:r>
      <w:r w:rsidRPr="00315B8A">
        <w:rPr>
          <w:b/>
          <w:i/>
        </w:rPr>
        <w:t xml:space="preserve">ja yhteiselle kriisinratkaisuneuvostolle </w:t>
      </w:r>
      <w:r w:rsidRPr="00315B8A">
        <w:t>ilman aiheetonta viivytystä kaikista seuraavista:</w:t>
      </w:r>
    </w:p>
    <w:p w:rsidR="00F20D6F" w:rsidRPr="00315B8A" w:rsidRDefault="00F20D6F" w:rsidP="00AF56F2">
      <w:pPr>
        <w:pStyle w:val="Point1"/>
        <w:spacing w:line="360" w:lineRule="auto"/>
        <w:jc w:val="left"/>
        <w:rPr>
          <w:noProof/>
        </w:rPr>
      </w:pPr>
      <w:r w:rsidRPr="00315B8A">
        <w:t>a)</w:t>
      </w:r>
      <w:r w:rsidRPr="00315B8A">
        <w:tab/>
        <w:t>se, että on määritetty, ettei talletuksia kyetä maksamaan 2 artiklan 1 kohdan 8 alakohdassa tarkoitetuissa tilanteissa;</w:t>
      </w:r>
    </w:p>
    <w:p w:rsidR="00F20D6F" w:rsidRPr="00315B8A" w:rsidRDefault="00F20D6F" w:rsidP="00AF56F2">
      <w:pPr>
        <w:pStyle w:val="Point1"/>
        <w:spacing w:line="360" w:lineRule="auto"/>
        <w:jc w:val="left"/>
        <w:rPr>
          <w:noProof/>
        </w:rPr>
      </w:pPr>
      <w:r w:rsidRPr="00315B8A">
        <w:t>b)</w:t>
      </w:r>
      <w:r w:rsidRPr="00315B8A">
        <w:tab/>
        <w:t>se, onko 11 artiklan 2, 3 ja 5 kohdassa tarkoitettuja toimenpiteitä sovellettu, ja 8 artiklan 1 kohdan ja 11 artiklan 2, 3 ja 5 kohdan mukaisesti käytettyjen varojen määrä sekä tarvittaessa ja kun tiedot ovat saatavilla, takaisinperittyjen varojen määrä, talletusten vakuusjärjestelmälle takaisinperinnästä aiheutuneet kustannukset ja takaisinperintämenettelyn kesto;</w:t>
      </w:r>
    </w:p>
    <w:p w:rsidR="00F20D6F" w:rsidRPr="00315B8A" w:rsidRDefault="00F20D6F" w:rsidP="00AF56F2">
      <w:pPr>
        <w:pStyle w:val="Point1"/>
        <w:spacing w:line="360" w:lineRule="auto"/>
        <w:jc w:val="left"/>
        <w:rPr>
          <w:noProof/>
        </w:rPr>
      </w:pPr>
      <w:r w:rsidRPr="00315B8A">
        <w:t>c)</w:t>
      </w:r>
      <w:r w:rsidRPr="00315B8A">
        <w:tab/>
        <w:t>10 artiklan 3 kohdassa tarkoitettujen vaihtoehtoisten rahoitusjärjestelyjen saatavuus ja käyttö;</w:t>
      </w:r>
    </w:p>
    <w:p w:rsidR="00F20D6F" w:rsidRPr="00315B8A" w:rsidRDefault="00F20D6F" w:rsidP="00AF56F2">
      <w:pPr>
        <w:pStyle w:val="Point1"/>
        <w:spacing w:line="360" w:lineRule="auto"/>
        <w:jc w:val="left"/>
        <w:rPr>
          <w:noProof/>
        </w:rPr>
      </w:pPr>
      <w:r w:rsidRPr="00315B8A">
        <w:t>d)</w:t>
      </w:r>
      <w:r w:rsidRPr="00315B8A">
        <w:tab/>
        <w:t xml:space="preserve">talletusten vakuusjärjestelmät, joiden toiminta on lopetettu, tai perustetut uudet talletusten vakuusjärjestelmät, mukaan lukien talletusten vakuusjärjestelmät, jotka ovat seurausta sulautumisesta tai siitä, että talletusten vakuusjärjestelmä on alkanut harjoittaa </w:t>
      </w:r>
      <w:proofErr w:type="spellStart"/>
      <w:r w:rsidRPr="00315B8A">
        <w:t>rajatylittävää</w:t>
      </w:r>
      <w:proofErr w:type="spellEnd"/>
      <w:r w:rsidRPr="00315B8A">
        <w:t xml:space="preserve"> toimintaa.</w:t>
      </w:r>
    </w:p>
    <w:p w:rsidR="00F20D6F" w:rsidRPr="00315B8A" w:rsidRDefault="00F20D6F" w:rsidP="00AF56F2">
      <w:pPr>
        <w:pStyle w:val="Text1"/>
        <w:spacing w:line="360" w:lineRule="auto"/>
        <w:jc w:val="left"/>
        <w:rPr>
          <w:noProof/>
        </w:rPr>
      </w:pPr>
      <w:r w:rsidRPr="00315B8A">
        <w:t>Ensimmäisessä alakohdassa tarkoitetun ilmoituksen on sisällettävä yhteenveto, jossa kuvaillaan kaikkia seuraavia:</w:t>
      </w:r>
    </w:p>
    <w:p w:rsidR="00F20D6F" w:rsidRPr="00315B8A" w:rsidRDefault="00F20D6F" w:rsidP="00AF56F2">
      <w:pPr>
        <w:pStyle w:val="Point1"/>
        <w:spacing w:line="360" w:lineRule="auto"/>
        <w:jc w:val="left"/>
        <w:rPr>
          <w:noProof/>
        </w:rPr>
      </w:pPr>
      <w:r w:rsidRPr="00315B8A">
        <w:t>a)</w:t>
      </w:r>
      <w:r w:rsidRPr="00315B8A">
        <w:tab/>
        <w:t>luottolaitoksen alkutilanne;</w:t>
      </w:r>
    </w:p>
    <w:p w:rsidR="00F20D6F" w:rsidRPr="00315B8A" w:rsidRDefault="00F20D6F" w:rsidP="00AF56F2">
      <w:pPr>
        <w:pStyle w:val="Point1"/>
        <w:spacing w:line="360" w:lineRule="auto"/>
        <w:jc w:val="left"/>
        <w:rPr>
          <w:noProof/>
        </w:rPr>
      </w:pPr>
      <w:r w:rsidRPr="00315B8A">
        <w:lastRenderedPageBreak/>
        <w:t>b)</w:t>
      </w:r>
      <w:r w:rsidRPr="00315B8A">
        <w:tab/>
        <w:t>toimenpiteet, joihin talletusten vakuusjärjestelmän varoja on käytetty</w:t>
      </w:r>
      <w:r w:rsidRPr="00315B8A">
        <w:rPr>
          <w:b/>
          <w:i/>
        </w:rPr>
        <w:t>, mukaan lukien 11 artiklan 2, 3 ja 5 kohdassa tarkoitettuihin toimenpiteisiin käytetyt erityisvälineet</w:t>
      </w:r>
      <w:r w:rsidRPr="00315B8A">
        <w:t>;</w:t>
      </w:r>
    </w:p>
    <w:p w:rsidR="00F20D6F" w:rsidRPr="00315B8A" w:rsidRDefault="00F20D6F" w:rsidP="00AF56F2">
      <w:pPr>
        <w:pStyle w:val="Point1"/>
        <w:spacing w:line="360" w:lineRule="auto"/>
        <w:jc w:val="left"/>
        <w:rPr>
          <w:noProof/>
        </w:rPr>
      </w:pPr>
      <w:r w:rsidRPr="00315B8A">
        <w:t>c)</w:t>
      </w:r>
      <w:r w:rsidRPr="00315B8A">
        <w:tab/>
        <w:t>käytettävissä olevien rahoitusvarojen määrä, joka odotetaan käytettävän.</w:t>
      </w:r>
    </w:p>
    <w:p w:rsidR="00F20D6F" w:rsidRPr="00315B8A" w:rsidRDefault="00F20D6F" w:rsidP="00AF56F2">
      <w:pPr>
        <w:pStyle w:val="Text1"/>
        <w:spacing w:line="360" w:lineRule="auto"/>
        <w:jc w:val="left"/>
        <w:rPr>
          <w:noProof/>
        </w:rPr>
      </w:pPr>
      <w:r w:rsidRPr="00315B8A">
        <w:t>5. EPV julkistaa 2 ja 3 kohdan mukaisesti saadut tiedot ja 4 kohdassa tarkoitetun yhteenvedon ilman aiheetonta viivytystä.</w:t>
      </w:r>
    </w:p>
    <w:p w:rsidR="00F20D6F" w:rsidRPr="00315B8A" w:rsidRDefault="00F20D6F" w:rsidP="00AF56F2">
      <w:pPr>
        <w:pStyle w:val="Text1"/>
        <w:spacing w:line="360" w:lineRule="auto"/>
        <w:jc w:val="left"/>
        <w:rPr>
          <w:noProof/>
        </w:rPr>
      </w:pPr>
      <w:r w:rsidRPr="00315B8A">
        <w:t xml:space="preserve">6. Jäsenvaltioiden on varmistettava, että talletusten vakuusjärjestelmään kuuluvien luottolaitosten kriisinratkaisuviranomaiset toimittavat </w:t>
      </w:r>
      <w:r w:rsidRPr="00315B8A">
        <w:rPr>
          <w:b/>
          <w:i/>
        </w:rPr>
        <w:t>vuosittain</w:t>
      </w:r>
      <w:r w:rsidRPr="00315B8A">
        <w:t xml:space="preserve"> asianomaiselle talletusten vakuusjärjestelmälle direktiivin 2014/59/EU 10 artiklan 7 kohdan a alakohdassa tarkoitetun tiivistelmän kriisinratkaisusuunnitelmien keskeisistä osista</w:t>
      </w:r>
      <w:r w:rsidR="00811334">
        <w:t xml:space="preserve"> </w:t>
      </w:r>
      <w:r w:rsidRPr="00315B8A">
        <w:t>▌</w:t>
      </w:r>
      <w:r w:rsidR="00811334">
        <w:t>.</w:t>
      </w:r>
    </w:p>
    <w:p w:rsidR="00F20D6F" w:rsidRPr="00315B8A" w:rsidRDefault="00F20D6F" w:rsidP="00AF56F2">
      <w:pPr>
        <w:pStyle w:val="Text1"/>
        <w:spacing w:line="360" w:lineRule="auto"/>
        <w:jc w:val="left"/>
        <w:rPr>
          <w:noProof/>
        </w:rPr>
      </w:pPr>
      <w:r w:rsidRPr="00315B8A">
        <w:t xml:space="preserve">7. EPV laatii teknisten täytäntöönpanostandardien luonnokset, joissa täsmennetään menettelyt, joita on noudatettava toimitettaessa 1–4 kohdassa tarkoitettuja tietoja, ja kyseisten tietojen toimittamista koskevat mallit sekä tarkennetaan kyseisten tietojen sisältöä ottaen huomioon tallettajien tyypit. </w:t>
      </w:r>
    </w:p>
    <w:p w:rsidR="00F20D6F" w:rsidRPr="00315B8A" w:rsidRDefault="00F20D6F" w:rsidP="00AF56F2">
      <w:pPr>
        <w:pStyle w:val="Text1"/>
        <w:spacing w:line="360" w:lineRule="auto"/>
        <w:jc w:val="left"/>
        <w:rPr>
          <w:noProof/>
        </w:rPr>
      </w:pPr>
      <w:r w:rsidRPr="00315B8A">
        <w:t>EPV toimittaa nämä teknisten täytäntöönpanostandardien luonnokset komissiolle viimeistään [julkaisutoimisto: lisätään päivämäärä, joka on 12 kuukautta tämän direktiivin voimaantulopäivästä].</w:t>
      </w:r>
    </w:p>
    <w:p w:rsidR="00F20D6F" w:rsidRPr="00315B8A" w:rsidRDefault="00F20D6F" w:rsidP="00AF56F2">
      <w:pPr>
        <w:pStyle w:val="Text1"/>
        <w:spacing w:line="360" w:lineRule="auto"/>
        <w:jc w:val="left"/>
        <w:rPr>
          <w:noProof/>
        </w:rPr>
      </w:pPr>
      <w:r w:rsidRPr="00315B8A">
        <w:t xml:space="preserve">Siirretään komissiolle valta hyväksyä ensimmäisessä alakohdassa tarkoitetut tekniset täytäntöönpanostandardit asetuksen (EU) </w:t>
      </w:r>
      <w:proofErr w:type="gramStart"/>
      <w:r w:rsidRPr="00315B8A">
        <w:t>N:o</w:t>
      </w:r>
      <w:proofErr w:type="gramEnd"/>
      <w:r w:rsidRPr="00315B8A">
        <w:t> 1093/2010 15 artiklan mukaisesti.”;</w:t>
      </w:r>
    </w:p>
    <w:p w:rsidR="00F20D6F" w:rsidRPr="00315B8A" w:rsidRDefault="00F20D6F" w:rsidP="00AF56F2">
      <w:pPr>
        <w:pStyle w:val="Point0"/>
        <w:spacing w:line="360" w:lineRule="auto"/>
        <w:jc w:val="left"/>
        <w:rPr>
          <w:noProof/>
        </w:rPr>
      </w:pPr>
      <w:r w:rsidRPr="00315B8A">
        <w:t>19)</w:t>
      </w:r>
      <w:r w:rsidRPr="00315B8A">
        <w:tab/>
        <w:t>Poistetaan liite I.</w:t>
      </w:r>
    </w:p>
    <w:p w:rsidR="00F20D6F" w:rsidRPr="00315B8A" w:rsidRDefault="00F20D6F" w:rsidP="00811334">
      <w:pPr>
        <w:pStyle w:val="Titrearticle"/>
        <w:keepLines/>
        <w:spacing w:line="360" w:lineRule="auto"/>
        <w:rPr>
          <w:noProof/>
        </w:rPr>
      </w:pPr>
      <w:r w:rsidRPr="00315B8A">
        <w:t>2 artikla</w:t>
      </w:r>
    </w:p>
    <w:p w:rsidR="00F20D6F" w:rsidRPr="00315B8A" w:rsidRDefault="00F20D6F" w:rsidP="00811334">
      <w:pPr>
        <w:keepLines/>
        <w:widowControl/>
        <w:spacing w:line="360" w:lineRule="auto"/>
        <w:jc w:val="center"/>
        <w:rPr>
          <w:b/>
          <w:bCs/>
          <w:noProof/>
          <w:szCs w:val="24"/>
        </w:rPr>
      </w:pPr>
      <w:r w:rsidRPr="00315B8A">
        <w:rPr>
          <w:b/>
        </w:rPr>
        <w:t>Siirtymäsäännökset</w:t>
      </w:r>
    </w:p>
    <w:p w:rsidR="00F20D6F" w:rsidRPr="00315B8A" w:rsidRDefault="00F20D6F" w:rsidP="00AF56F2">
      <w:pPr>
        <w:pStyle w:val="ManualNumPar1"/>
        <w:spacing w:line="360" w:lineRule="auto"/>
        <w:jc w:val="left"/>
        <w:rPr>
          <w:noProof/>
        </w:rPr>
      </w:pPr>
      <w:r w:rsidRPr="00315B8A">
        <w:t>1.</w:t>
      </w:r>
      <w:r w:rsidRPr="00315B8A">
        <w:tab/>
        <w:t xml:space="preserve">Jäsenvaltioiden on varmistettava, että sellaisten luottolaitosten sivukonttorit, joiden kotipaikka on unionin ulkopuolella ja jotka ottavat vastaan suojakelpoisia talletuksia jäsenvaltiossa [...] päivänä [...]kuuta [...] [julkaisutoimisto: lisätään voimaantulopäivä] ja jotka eivät ole talletusten vakuusjärjestelmän jäseniä kyseisenä päivänä, liittyvät alueellaan voimassa olevaan talletusten vakuusjärjestelmään viimeistään [julkaisutoimisto: lisätään päivämäärä, joka on kolme kuukautta voimaantulosta]. Näihin sivukonttoreihin ei sovelleta 1 artiklan 15 alakohtaa </w:t>
      </w:r>
      <w:r w:rsidRPr="00315B8A">
        <w:lastRenderedPageBreak/>
        <w:t>[...] päivään [...]kuuta [...] [julkaisutoimisto: lisätään päivämäärä, joka on kolme kuukautta voimaantulosta] saakka.</w:t>
      </w:r>
    </w:p>
    <w:p w:rsidR="00F20D6F" w:rsidRPr="00315B8A" w:rsidRDefault="00F20D6F" w:rsidP="00AF56F2">
      <w:pPr>
        <w:pStyle w:val="ManualNumPar1"/>
        <w:spacing w:line="360" w:lineRule="auto"/>
        <w:jc w:val="left"/>
        <w:rPr>
          <w:rFonts w:eastAsia="Times New Roman"/>
          <w:noProof/>
        </w:rPr>
      </w:pPr>
      <w:r w:rsidRPr="00315B8A">
        <w:t>2.</w:t>
      </w:r>
      <w:r w:rsidRPr="00315B8A">
        <w:tab/>
        <w:t xml:space="preserve">Poiketen siitä, mitä direktiivin 2014/49/EU 11 artiklan 3 kohdassa, sellaisena kuin se on muutettuna tällä direktiivillä, ja 11 a, 11 b, 11 c ja 11 e artiklassa säädetään ennaltaehkäisevien toimenpiteiden osalta, jäsenvaltiot voivat [...] päivään [...]kuuta [...] [julkaisutoimisto: lisätään päivämäärä, joka on </w:t>
      </w:r>
      <w:r w:rsidRPr="00315B8A">
        <w:rPr>
          <w:b/>
          <w:bCs/>
          <w:i/>
          <w:iCs/>
        </w:rPr>
        <w:t>36 </w:t>
      </w:r>
      <w:r w:rsidRPr="00315B8A">
        <w:t>kuukautta tämän direktiivin voimaantulopäivästä] saakka sallia, että 1 artiklan 1 kohdan c alakohdassa tarkoitetut laitosten suojajärjestelmät noudattavat kansallisia säännöksiä, joilla pannaan täytäntöön direktiivin 2014/49/EU 11 artiklan 3 kohta sellaisena kuin sitä sovellettiin [julkaisutoimisto: lisätään tämän direktiivin voimaatulopäivä].</w:t>
      </w:r>
    </w:p>
    <w:p w:rsidR="00F20D6F" w:rsidRPr="00315B8A" w:rsidRDefault="00F20D6F" w:rsidP="00811334">
      <w:pPr>
        <w:pStyle w:val="Titrearticle"/>
        <w:keepLines/>
        <w:spacing w:line="360" w:lineRule="auto"/>
        <w:rPr>
          <w:noProof/>
        </w:rPr>
      </w:pPr>
      <w:bookmarkStart w:id="21" w:name="_Hlk125725253"/>
      <w:r w:rsidRPr="00315B8A">
        <w:t>3 artikla</w:t>
      </w:r>
    </w:p>
    <w:p w:rsidR="00F20D6F" w:rsidRPr="00315B8A" w:rsidRDefault="00F20D6F" w:rsidP="00811334">
      <w:pPr>
        <w:pStyle w:val="Titrearticle"/>
        <w:spacing w:line="360" w:lineRule="auto"/>
        <w:rPr>
          <w:b/>
          <w:i w:val="0"/>
          <w:noProof/>
        </w:rPr>
      </w:pPr>
      <w:r w:rsidRPr="00315B8A">
        <w:rPr>
          <w:b/>
          <w:i w:val="0"/>
        </w:rPr>
        <w:t>Saattaminen osaksi kansallista lainsäädäntöä</w:t>
      </w:r>
    </w:p>
    <w:p w:rsidR="00F20D6F" w:rsidRPr="00315B8A" w:rsidRDefault="00F20D6F" w:rsidP="00AF56F2">
      <w:pPr>
        <w:pStyle w:val="ManualNumPar1"/>
        <w:spacing w:line="360" w:lineRule="auto"/>
        <w:jc w:val="left"/>
        <w:rPr>
          <w:noProof/>
        </w:rPr>
      </w:pPr>
      <w:r w:rsidRPr="00315B8A">
        <w:t>1.</w:t>
      </w:r>
      <w:r w:rsidRPr="00315B8A">
        <w:tab/>
        <w:t>Jäsenvaltioiden on annettava ja julkaistava tämän direktiivin noudattamisen edellyttämät lait, asetukset ja hallinnolliset määräykset viimeistään [julkaisutoimisto: lisätään päivämäärä, joka on 24 kuukautta tämän direktiivin voimaantulopäivästä]. Niiden on viipymättä toimitettava nämä säännökset kirjallisina komissiolle.</w:t>
      </w:r>
    </w:p>
    <w:p w:rsidR="00F20D6F" w:rsidRPr="00315B8A" w:rsidRDefault="00F20D6F" w:rsidP="00AF56F2">
      <w:pPr>
        <w:pStyle w:val="Text1"/>
        <w:spacing w:line="360" w:lineRule="auto"/>
        <w:jc w:val="left"/>
        <w:rPr>
          <w:noProof/>
        </w:rPr>
      </w:pPr>
      <w:r w:rsidRPr="00315B8A">
        <w:t xml:space="preserve">Jäsenvaltioiden on sovellettava näitä säännöksiä [...] päivästä [...]kuuta [...] [julkaisutoimisto: lisätään päivämäärä, joka on 24 kuukautta tämän direktiivin voimaantulopäivästä]. Niiden on kuitenkin sovellettava 11 artiklan 3 kohdan, sellaisena kuin se on muutettuna tällä direktiivillä, ja 11 a, 11 b, 11 c ja 11 e artiklan noudattamisen edellyttämiä säännöksiä ennaltaehkäisevien toimenpiteiden osalta [...] päivästä [...]kuuta [...] [julkaisutoimisto: lisätään päivämäärä, joka on </w:t>
      </w:r>
      <w:r w:rsidRPr="00315B8A">
        <w:rPr>
          <w:b/>
          <w:i/>
        </w:rPr>
        <w:t>36</w:t>
      </w:r>
      <w:r w:rsidRPr="00315B8A">
        <w:t> kuukautta tämän direktiivin voimaantulopäivästä].</w:t>
      </w:r>
    </w:p>
    <w:p w:rsidR="00F20D6F" w:rsidRPr="00315B8A" w:rsidRDefault="00F20D6F" w:rsidP="00AF56F2">
      <w:pPr>
        <w:pStyle w:val="Text1"/>
        <w:spacing w:line="360" w:lineRule="auto"/>
        <w:jc w:val="left"/>
        <w:rPr>
          <w:noProof/>
        </w:rPr>
      </w:pPr>
      <w:r w:rsidRPr="00315B8A">
        <w:t>Näissä jäsenvaltioiden antamissa säädöksissä on viitattava tähän direktiiviin tai niihin on liitettävä tällainen viittaus, kun ne julkaistaan virallisesti. Jäsenvaltioiden on säädettävä siitä, miten viittaukset tehdään.</w:t>
      </w:r>
    </w:p>
    <w:p w:rsidR="00F20D6F" w:rsidRPr="00315B8A" w:rsidRDefault="00F20D6F" w:rsidP="00AF56F2">
      <w:pPr>
        <w:pStyle w:val="ManualNumPar1"/>
        <w:spacing w:line="360" w:lineRule="auto"/>
        <w:jc w:val="left"/>
        <w:rPr>
          <w:noProof/>
        </w:rPr>
      </w:pPr>
      <w:r w:rsidRPr="00315B8A">
        <w:t>2.</w:t>
      </w:r>
      <w:r w:rsidRPr="00315B8A">
        <w:tab/>
        <w:t>Jäsenvaltioiden on toimitettava tässä direktiivissä säännellyistä kysymyksistä antamansa keskeiset kansalliset säännökset kirjallisina komissiolle.</w:t>
      </w:r>
    </w:p>
    <w:bookmarkEnd w:id="21"/>
    <w:p w:rsidR="00F20D6F" w:rsidRPr="00315B8A" w:rsidRDefault="00F20D6F" w:rsidP="00811334">
      <w:pPr>
        <w:pStyle w:val="Titrearticle"/>
        <w:spacing w:line="360" w:lineRule="auto"/>
        <w:rPr>
          <w:noProof/>
        </w:rPr>
      </w:pPr>
      <w:r w:rsidRPr="00315B8A">
        <w:lastRenderedPageBreak/>
        <w:t>4 artikla</w:t>
      </w:r>
    </w:p>
    <w:p w:rsidR="00F20D6F" w:rsidRPr="00315B8A" w:rsidRDefault="00F20D6F" w:rsidP="00811334">
      <w:pPr>
        <w:pStyle w:val="Titrearticle"/>
        <w:spacing w:line="360" w:lineRule="auto"/>
        <w:rPr>
          <w:b/>
          <w:i w:val="0"/>
          <w:noProof/>
        </w:rPr>
      </w:pPr>
      <w:r w:rsidRPr="00315B8A">
        <w:rPr>
          <w:b/>
          <w:i w:val="0"/>
        </w:rPr>
        <w:t>Voimaantulo</w:t>
      </w:r>
    </w:p>
    <w:p w:rsidR="00F20D6F" w:rsidRPr="00315B8A" w:rsidRDefault="00F20D6F" w:rsidP="00811334">
      <w:pPr>
        <w:widowControl/>
        <w:spacing w:line="360" w:lineRule="auto"/>
        <w:rPr>
          <w:noProof/>
        </w:rPr>
      </w:pPr>
      <w:r w:rsidRPr="00315B8A">
        <w:t>Tämä direktiivi tulee voimaan kahdentenakymmenentenä päivänä sen jälkeen, kun se on julkaistu</w:t>
      </w:r>
      <w:r w:rsidRPr="00315B8A">
        <w:rPr>
          <w:i/>
          <w:iCs/>
        </w:rPr>
        <w:t xml:space="preserve"> Euroopan unionin virallisessa lehdessä</w:t>
      </w:r>
      <w:r w:rsidRPr="00315B8A">
        <w:t>.</w:t>
      </w:r>
    </w:p>
    <w:p w:rsidR="00F20D6F" w:rsidRPr="00315B8A" w:rsidRDefault="00F20D6F" w:rsidP="00811334">
      <w:pPr>
        <w:pStyle w:val="Titrearticle"/>
        <w:spacing w:line="360" w:lineRule="auto"/>
        <w:rPr>
          <w:noProof/>
        </w:rPr>
      </w:pPr>
      <w:r w:rsidRPr="00315B8A">
        <w:t>5 artikla</w:t>
      </w:r>
    </w:p>
    <w:p w:rsidR="00F20D6F" w:rsidRPr="00315B8A" w:rsidRDefault="00F20D6F" w:rsidP="00811334">
      <w:pPr>
        <w:widowControl/>
        <w:spacing w:before="360" w:after="120" w:line="360" w:lineRule="auto"/>
        <w:jc w:val="center"/>
        <w:rPr>
          <w:noProof/>
        </w:rPr>
      </w:pPr>
      <w:r w:rsidRPr="00315B8A">
        <w:rPr>
          <w:b/>
        </w:rPr>
        <w:t>Osoitus</w:t>
      </w:r>
    </w:p>
    <w:p w:rsidR="00F20D6F" w:rsidRPr="00315B8A" w:rsidRDefault="00F20D6F" w:rsidP="00811334">
      <w:pPr>
        <w:keepNext/>
        <w:keepLines/>
        <w:widowControl/>
        <w:spacing w:line="360" w:lineRule="auto"/>
        <w:rPr>
          <w:noProof/>
        </w:rPr>
      </w:pPr>
      <w:r w:rsidRPr="00315B8A">
        <w:t>Tämä direktiivi on osoitettu kaikille jäsenvaltioille.</w:t>
      </w:r>
    </w:p>
    <w:p w:rsidR="00F20D6F" w:rsidRPr="00315B8A" w:rsidRDefault="00F20D6F" w:rsidP="00AF56F2">
      <w:pPr>
        <w:pStyle w:val="Fait"/>
        <w:spacing w:line="360" w:lineRule="auto"/>
        <w:jc w:val="left"/>
        <w:rPr>
          <w:noProof/>
        </w:rPr>
      </w:pPr>
      <w:r w:rsidRPr="00315B8A">
        <w:t xml:space="preserve">Tehty </w:t>
      </w:r>
      <w:r w:rsidR="00FE1B6D">
        <w:t>…</w:t>
      </w:r>
    </w:p>
    <w:p w:rsidR="00F20D6F" w:rsidRPr="00315B8A" w:rsidRDefault="00F20D6F" w:rsidP="00B567E1">
      <w:pPr>
        <w:pStyle w:val="Institutionquisigne"/>
        <w:tabs>
          <w:tab w:val="clear" w:pos="4252"/>
          <w:tab w:val="left" w:pos="4253"/>
        </w:tabs>
        <w:spacing w:line="360" w:lineRule="auto"/>
        <w:jc w:val="left"/>
        <w:rPr>
          <w:noProof/>
        </w:rPr>
      </w:pPr>
      <w:r w:rsidRPr="00315B8A">
        <w:t>Euroopan parlamentin puolesta</w:t>
      </w:r>
      <w:r w:rsidRPr="00315B8A">
        <w:tab/>
        <w:t>Neuvoston puolesta</w:t>
      </w:r>
    </w:p>
    <w:p w:rsidR="00F20D6F" w:rsidRPr="00315B8A" w:rsidRDefault="00F20D6F" w:rsidP="00B567E1">
      <w:pPr>
        <w:pStyle w:val="Personnequisigne"/>
        <w:tabs>
          <w:tab w:val="clear" w:pos="4252"/>
          <w:tab w:val="left" w:pos="4253"/>
        </w:tabs>
        <w:spacing w:line="360" w:lineRule="auto"/>
        <w:rPr>
          <w:noProof/>
        </w:rPr>
      </w:pPr>
      <w:r w:rsidRPr="00315B8A">
        <w:t>Puhemies</w:t>
      </w:r>
      <w:r w:rsidRPr="00315B8A">
        <w:tab/>
        <w:t>Puheenjohtaja</w:t>
      </w:r>
    </w:p>
    <w:p w:rsidR="00E365E1" w:rsidRPr="00315B8A" w:rsidRDefault="00E365E1" w:rsidP="008C0409">
      <w:pPr>
        <w:widowControl/>
      </w:pPr>
    </w:p>
    <w:sectPr w:rsidR="00E365E1" w:rsidRPr="00315B8A" w:rsidSect="008A068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28D" w:rsidRPr="00315B8A" w:rsidRDefault="001C228D">
      <w:r w:rsidRPr="00315B8A">
        <w:separator/>
      </w:r>
    </w:p>
  </w:endnote>
  <w:endnote w:type="continuationSeparator" w:id="0">
    <w:p w:rsidR="001C228D" w:rsidRPr="00315B8A" w:rsidRDefault="001C228D">
      <w:r w:rsidRPr="00315B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28D" w:rsidRPr="00315B8A" w:rsidRDefault="001C228D">
      <w:r w:rsidRPr="00315B8A">
        <w:separator/>
      </w:r>
    </w:p>
  </w:footnote>
  <w:footnote w:type="continuationSeparator" w:id="0">
    <w:p w:rsidR="001C228D" w:rsidRPr="00315B8A" w:rsidRDefault="001C228D">
      <w:r w:rsidRPr="00315B8A">
        <w:continuationSeparator/>
      </w:r>
    </w:p>
  </w:footnote>
  <w:footnote w:id="1">
    <w:p w:rsidR="00F20D6F" w:rsidRPr="00315B8A" w:rsidRDefault="00F20D6F" w:rsidP="00AF56F2">
      <w:pPr>
        <w:pStyle w:val="FootnoteText"/>
        <w:keepLines w:val="0"/>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EUVL C 307, 31.8.2023, s. 19.</w:t>
      </w:r>
    </w:p>
  </w:footnote>
  <w:footnote w:id="2">
    <w:p w:rsidR="008A068B" w:rsidRPr="007B3697" w:rsidRDefault="008A068B" w:rsidP="008A068B">
      <w:pPr>
        <w:pStyle w:val="FootnoteText"/>
        <w:ind w:left="567" w:hanging="567"/>
        <w:rPr>
          <w:sz w:val="24"/>
          <w:lang w:val="fi-FI"/>
        </w:rPr>
      </w:pPr>
      <w:r w:rsidRPr="007B3697">
        <w:rPr>
          <w:rStyle w:val="FootnoteReference"/>
          <w:sz w:val="24"/>
          <w:lang w:val="fi-FI"/>
        </w:rPr>
        <w:t>*</w:t>
      </w:r>
      <w:r w:rsidRPr="007B3697">
        <w:rPr>
          <w:sz w:val="24"/>
          <w:lang w:val="fi-FI"/>
        </w:rPr>
        <w:t xml:space="preserve"> </w:t>
      </w:r>
      <w:r w:rsidRPr="007B3697">
        <w:rPr>
          <w:sz w:val="24"/>
          <w:lang w:val="fi-FI"/>
        </w:rPr>
        <w:tab/>
      </w:r>
      <w:r>
        <w:rPr>
          <w:sz w:val="24"/>
          <w:lang w:val="fi-FI"/>
        </w:rPr>
        <w:t>T</w:t>
      </w:r>
      <w:r w:rsidRPr="00445A22">
        <w:rPr>
          <w:sz w:val="24"/>
          <w:lang w:val="fi-FI"/>
        </w:rPr>
        <w:t xml:space="preserve">ekstiin tehdyt muutokset johtuvat tarkistuksen 1 hyväksymisestä. </w:t>
      </w:r>
      <w:r>
        <w:rPr>
          <w:sz w:val="24"/>
          <w:lang w:val="fi-FI"/>
        </w:rPr>
        <w:t>U</w:t>
      </w:r>
      <w:r w:rsidRPr="007B3697">
        <w:rPr>
          <w:sz w:val="24"/>
          <w:lang w:val="fi-FI"/>
        </w:rPr>
        <w:t>usi tai muutettu teksti merkitään lihavoidulla kursiivilla, poistot symbolilla ▌.</w:t>
      </w:r>
    </w:p>
  </w:footnote>
  <w:footnote w:id="3">
    <w:p w:rsidR="00F20D6F" w:rsidRPr="00315B8A" w:rsidRDefault="00F20D6F" w:rsidP="00AF56F2">
      <w:pPr>
        <w:pStyle w:val="FootnoteText"/>
        <w:keepLines w:val="0"/>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 xml:space="preserve">EUVL </w:t>
      </w:r>
      <w:proofErr w:type="gramStart"/>
      <w:r w:rsidRPr="00315B8A">
        <w:rPr>
          <w:sz w:val="24"/>
          <w:lang w:val="fi-FI"/>
        </w:rPr>
        <w:t>C ,</w:t>
      </w:r>
      <w:proofErr w:type="gramEnd"/>
      <w:r w:rsidRPr="00315B8A">
        <w:rPr>
          <w:sz w:val="24"/>
          <w:lang w:val="fi-FI"/>
        </w:rPr>
        <w:t xml:space="preserve"> , s. .</w:t>
      </w:r>
    </w:p>
  </w:footnote>
  <w:footnote w:id="4">
    <w:p w:rsidR="00F20D6F" w:rsidRPr="00315B8A" w:rsidRDefault="00F20D6F" w:rsidP="00AF56F2">
      <w:pPr>
        <w:pStyle w:val="FootnoteText"/>
        <w:keepLines w:val="0"/>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 xml:space="preserve">EUVL </w:t>
      </w:r>
      <w:proofErr w:type="gramStart"/>
      <w:r w:rsidRPr="00315B8A">
        <w:rPr>
          <w:sz w:val="24"/>
          <w:lang w:val="fi-FI"/>
        </w:rPr>
        <w:t>C ,</w:t>
      </w:r>
      <w:proofErr w:type="gramEnd"/>
      <w:r w:rsidRPr="00315B8A">
        <w:rPr>
          <w:sz w:val="24"/>
          <w:lang w:val="fi-FI"/>
        </w:rPr>
        <w:t xml:space="preserve"> , s. .</w:t>
      </w:r>
    </w:p>
  </w:footnote>
  <w:footnote w:id="5">
    <w:p w:rsidR="00F20D6F" w:rsidRPr="00315B8A" w:rsidRDefault="00F20D6F" w:rsidP="00AF56F2">
      <w:pPr>
        <w:pStyle w:val="FootnoteText"/>
        <w:keepLines w:val="0"/>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 xml:space="preserve">EUVL </w:t>
      </w:r>
      <w:proofErr w:type="gramStart"/>
      <w:r w:rsidRPr="00315B8A">
        <w:rPr>
          <w:sz w:val="24"/>
          <w:lang w:val="fi-FI"/>
        </w:rPr>
        <w:t>C ,</w:t>
      </w:r>
      <w:proofErr w:type="gramEnd"/>
      <w:r w:rsidRPr="00315B8A">
        <w:rPr>
          <w:sz w:val="24"/>
          <w:lang w:val="fi-FI"/>
        </w:rPr>
        <w:t xml:space="preserve"> , s. .</w:t>
      </w:r>
    </w:p>
  </w:footnote>
  <w:footnote w:id="6">
    <w:p w:rsidR="00F20D6F" w:rsidRPr="008A068B" w:rsidRDefault="00F20D6F" w:rsidP="00AF56F2">
      <w:pPr>
        <w:pStyle w:val="FootnoteText"/>
        <w:keepLines w:val="0"/>
        <w:ind w:left="567" w:hanging="567"/>
        <w:rPr>
          <w:i/>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Euroopan parlamentin ja neuvoston direktiivi 2014/49/EU, annettu 16 päivänä huhtikuuta 2014, talletusten vakuusjärjestelmistä (uudelleenlaadittu</w:t>
      </w:r>
      <w:r w:rsidRPr="008A068B">
        <w:rPr>
          <w:sz w:val="24"/>
          <w:lang w:val="fi-FI"/>
        </w:rPr>
        <w:t>)</w:t>
      </w:r>
      <w:r w:rsidRPr="008A068B">
        <w:rPr>
          <w:i/>
          <w:sz w:val="24"/>
          <w:lang w:val="fi-FI"/>
        </w:rPr>
        <w:t xml:space="preserve"> </w:t>
      </w:r>
      <w:r w:rsidRPr="008A068B">
        <w:rPr>
          <w:sz w:val="24"/>
          <w:lang w:val="fi-FI"/>
        </w:rPr>
        <w:t>(</w:t>
      </w:r>
      <w:r w:rsidRPr="008A068B">
        <w:rPr>
          <w:rStyle w:val="Emphasis"/>
          <w:i w:val="0"/>
          <w:sz w:val="24"/>
          <w:lang w:val="fi-FI"/>
        </w:rPr>
        <w:t>EUVL L 173, 12.6.2014, s. 149</w:t>
      </w:r>
      <w:r w:rsidRPr="008A068B">
        <w:rPr>
          <w:sz w:val="24"/>
          <w:lang w:val="fi-FI"/>
        </w:rPr>
        <w:t>).</w:t>
      </w:r>
    </w:p>
  </w:footnote>
  <w:footnote w:id="7">
    <w:p w:rsidR="00F20D6F" w:rsidRPr="00315B8A" w:rsidRDefault="00F20D6F" w:rsidP="008A068B">
      <w:pPr>
        <w:pStyle w:val="FootnoteText"/>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Euroopan parlamentin ja neuvoston direktiivi 2013/36/EU, annettu 26 päivänä kesäkuuta 2013, oikeudesta harjoittaa luottolaitostoimintaa ja luottolaitosten ja sijoituspalveluyritysten vakavaraisuusvalvonnasta, direktiivin 2002/87/EY muuttamisesta sekä direktiivien 2006/48/EY ja 2006/49/EY kumoamisesta (EUVL L 176, 27.6.2013, s. 338).</w:t>
      </w:r>
    </w:p>
  </w:footnote>
  <w:footnote w:id="8">
    <w:p w:rsidR="00F20D6F" w:rsidRPr="00315B8A" w:rsidRDefault="00F20D6F" w:rsidP="00AF56F2">
      <w:pPr>
        <w:pStyle w:val="FootnoteText"/>
        <w:keepLines w:val="0"/>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Euroopan parlamentin ja neuvoston direktiivi 2009/110/EY, annettu 16 päivänä syyskuuta 2009, sähköisen rahan liikkeeseenlaskijalaitosten liiketoiminnan aloittamisesta, harjoittamisesta ja toiminnan vakauden valvonnasta, direktiivien 2005/60/EY ja 2006/48/EY muuttamisesta sekä direktiivin 2000/46/EY kumoamisesta (EUVL L 267, 10.10.2009, s. 7).</w:t>
      </w:r>
    </w:p>
  </w:footnote>
  <w:footnote w:id="9">
    <w:p w:rsidR="00F20D6F" w:rsidRPr="00315B8A" w:rsidRDefault="00F20D6F" w:rsidP="00AF56F2">
      <w:pPr>
        <w:pStyle w:val="FootnoteText"/>
        <w:keepLines w:val="0"/>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 xml:space="preserve">Euroopan parlamentin ja neuvoston direktiivi (EU) 2015/2366, annettu 25 päivänä marraskuuta 2015, maksupalveluista sisämarkkinoilla, direktiivien 2002/65/EY, 2009/110/EY ja 2013/36/EU ja asetuksen (EU) </w:t>
      </w:r>
      <w:proofErr w:type="gramStart"/>
      <w:r w:rsidRPr="00315B8A">
        <w:rPr>
          <w:sz w:val="24"/>
          <w:lang w:val="fi-FI"/>
        </w:rPr>
        <w:t>N:o</w:t>
      </w:r>
      <w:proofErr w:type="gramEnd"/>
      <w:r w:rsidRPr="00315B8A">
        <w:rPr>
          <w:sz w:val="24"/>
          <w:lang w:val="fi-FI"/>
        </w:rPr>
        <w:t xml:space="preserve"> 1093/2010 muuttamisesta sekä direktiivin 2007/64/EY kumoamisesta (EUVL L 337, 23.12.2015, s. 35).</w:t>
      </w:r>
    </w:p>
  </w:footnote>
  <w:footnote w:id="10">
    <w:p w:rsidR="00F20D6F" w:rsidRPr="00315B8A" w:rsidRDefault="00F20D6F" w:rsidP="00AF56F2">
      <w:pPr>
        <w:pStyle w:val="FootnoteText"/>
        <w:keepLines w:val="0"/>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Euroopan parlamentin ja neuvoston direktiivi 2014/65/EU, annettu 15 päivänä toukokuuta 2014, rahoitusvälineiden markkinoista sekä direktiivin 2002/92/EY ja direktiivin 2011/61/EU muuttamisesta (uudelleenlaadittu) (EUVL L 173, 12.6.2014, s. 349).</w:t>
      </w:r>
    </w:p>
  </w:footnote>
  <w:footnote w:id="11">
    <w:p w:rsidR="00F20D6F" w:rsidRPr="00315B8A" w:rsidRDefault="00F20D6F" w:rsidP="00AF56F2">
      <w:pPr>
        <w:pStyle w:val="FootnoteText"/>
        <w:keepLines w:val="0"/>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 xml:space="preserve">Euroopan parlamentin ja neuvoston asetus (EU) </w:t>
      </w:r>
      <w:proofErr w:type="gramStart"/>
      <w:r w:rsidRPr="00315B8A">
        <w:rPr>
          <w:sz w:val="24"/>
          <w:lang w:val="fi-FI"/>
        </w:rPr>
        <w:t>N:o</w:t>
      </w:r>
      <w:proofErr w:type="gramEnd"/>
      <w:r w:rsidRPr="00315B8A">
        <w:rPr>
          <w:sz w:val="24"/>
          <w:lang w:val="fi-FI"/>
        </w:rPr>
        <w:t xml:space="preserve"> 575/2013, annettu 26 päivänä kesäkuuta 2013, luottolaitosten ja sijoituspalveluyritysten vakavaraisuusvaatimuksista ja asetuksen (EU) N:o 648/2012 muuttamisesta (EUVL L 176, 27.6.2013, s. 1).</w:t>
      </w:r>
    </w:p>
  </w:footnote>
  <w:footnote w:id="12">
    <w:p w:rsidR="00F20D6F" w:rsidRPr="00315B8A" w:rsidRDefault="00F20D6F" w:rsidP="00AF56F2">
      <w:pPr>
        <w:pStyle w:val="FootnoteText"/>
        <w:keepLines w:val="0"/>
        <w:ind w:left="567" w:hanging="567"/>
        <w:rPr>
          <w:sz w:val="24"/>
          <w:lang w:val="fi-FI"/>
        </w:rPr>
      </w:pPr>
      <w:r w:rsidRPr="00315B8A">
        <w:rPr>
          <w:rStyle w:val="FootnoteReference"/>
          <w:sz w:val="24"/>
          <w:lang w:val="fi-FI"/>
        </w:rPr>
        <w:footnoteRef/>
      </w:r>
      <w:r w:rsidR="00315B8A" w:rsidRPr="00315B8A">
        <w:rPr>
          <w:sz w:val="24"/>
          <w:lang w:val="fi-FI"/>
        </w:rPr>
        <w:t xml:space="preserve"> </w:t>
      </w:r>
      <w:r w:rsidR="00315B8A" w:rsidRPr="00315B8A">
        <w:rPr>
          <w:sz w:val="24"/>
          <w:lang w:val="fi-FI"/>
        </w:rPr>
        <w:tab/>
      </w:r>
      <w:r w:rsidRPr="00315B8A">
        <w:rPr>
          <w:sz w:val="24"/>
          <w:lang w:val="fi-FI"/>
        </w:rPr>
        <w:t>Euroopan parlamentin ja neuvoston asetus (EU) </w:t>
      </w:r>
      <w:proofErr w:type="gramStart"/>
      <w:r w:rsidRPr="00315B8A">
        <w:rPr>
          <w:sz w:val="24"/>
          <w:lang w:val="fi-FI"/>
        </w:rPr>
        <w:t>N:o</w:t>
      </w:r>
      <w:proofErr w:type="gramEnd"/>
      <w:r w:rsidRPr="00315B8A">
        <w:rPr>
          <w:sz w:val="24"/>
          <w:lang w:val="fi-FI"/>
        </w:rPr>
        <w:t> 1093/2010, annettu 24 päivänä marraskuuta 2010, Euroopan valvontaviranomaisen (Euroopan pankkiviranomainen) perustamisesta sekä päätöksen N:o 716/2009/EY muuttamisesta ja komission päätöksen 2009/78/EY kumoamisesta (EUVL L 331, 15.12.2010, s. 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FI"/>
    <w:docVar w:name="dvnumam" w:val="0"/>
    <w:docVar w:name="dvpe" w:val="753.698"/>
    <w:docVar w:name="dvrapporteur" w:val="Esittelijä: "/>
    <w:docVar w:name="dvstar" w:val="***I"/>
    <w:docVar w:name="dvtitre" w:val="Euroopan parlamentin lainsäädäntöpäätöslauselma xx. xxxkuuta 2024 ehdotuksesta Euroopan parlamentin ja neuvoston direktiiviksi direktiivin 2014/49/EU muuttamisesta talletussuojan soveltamisalan, talletusten vakuusjärjestelmien varojen käytön, rajatylittävän yhteistyön ja avoimuuden osalta(COM(2023)0228 – C9-0133/2023 – 2023/0115(COD))"/>
  </w:docVars>
  <w:rsids>
    <w:rsidRoot w:val="001C228D"/>
    <w:rsid w:val="00002272"/>
    <w:rsid w:val="00064002"/>
    <w:rsid w:val="000677B9"/>
    <w:rsid w:val="000831BA"/>
    <w:rsid w:val="000A42CC"/>
    <w:rsid w:val="000E7DD9"/>
    <w:rsid w:val="0010095E"/>
    <w:rsid w:val="00125B37"/>
    <w:rsid w:val="00187494"/>
    <w:rsid w:val="001C228D"/>
    <w:rsid w:val="001F32AE"/>
    <w:rsid w:val="002767FF"/>
    <w:rsid w:val="002B18FE"/>
    <w:rsid w:val="002B5493"/>
    <w:rsid w:val="00315B8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1334"/>
    <w:rsid w:val="00817416"/>
    <w:rsid w:val="00842779"/>
    <w:rsid w:val="00865F67"/>
    <w:rsid w:val="00881A7B"/>
    <w:rsid w:val="008840E5"/>
    <w:rsid w:val="00887B3E"/>
    <w:rsid w:val="008A068B"/>
    <w:rsid w:val="008C0409"/>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6F2"/>
    <w:rsid w:val="00B12E95"/>
    <w:rsid w:val="00B22876"/>
    <w:rsid w:val="00B558F0"/>
    <w:rsid w:val="00B567E1"/>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042A"/>
    <w:rsid w:val="00E820A4"/>
    <w:rsid w:val="00E84F16"/>
    <w:rsid w:val="00EB006A"/>
    <w:rsid w:val="00EB4772"/>
    <w:rsid w:val="00ED169E"/>
    <w:rsid w:val="00ED4235"/>
    <w:rsid w:val="00F04346"/>
    <w:rsid w:val="00F075DC"/>
    <w:rsid w:val="00F149E9"/>
    <w:rsid w:val="00F20D6F"/>
    <w:rsid w:val="00F5134D"/>
    <w:rsid w:val="00F551E6"/>
    <w:rsid w:val="00F74202"/>
    <w:rsid w:val="00F87713"/>
    <w:rsid w:val="00FB4360"/>
    <w:rsid w:val="00FD0C70"/>
    <w:rsid w:val="00FE1B6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ED50C"/>
  <w15:chartTrackingRefBased/>
  <w15:docId w15:val="{5C4EF930-A807-4194-8358-0CF59C78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20D6F"/>
    <w:pPr>
      <w:spacing w:before="480" w:after="240"/>
    </w:pPr>
  </w:style>
  <w:style w:type="paragraph" w:customStyle="1" w:styleId="NormalBold">
    <w:name w:val="NormalBold"/>
    <w:basedOn w:val="Normal"/>
    <w:rsid w:val="00F20D6F"/>
    <w:rPr>
      <w:b/>
    </w:rPr>
  </w:style>
  <w:style w:type="paragraph" w:customStyle="1" w:styleId="NormalHanging12a">
    <w:name w:val="NormalHanging12a"/>
    <w:basedOn w:val="Normal"/>
    <w:rsid w:val="00F20D6F"/>
    <w:pPr>
      <w:spacing w:after="240"/>
      <w:ind w:left="567" w:hanging="567"/>
    </w:pPr>
  </w:style>
  <w:style w:type="paragraph" w:customStyle="1" w:styleId="NormalCenter12a">
    <w:name w:val="NormalCenter12a"/>
    <w:basedOn w:val="Normal"/>
    <w:rsid w:val="00F20D6F"/>
    <w:pPr>
      <w:spacing w:after="240"/>
      <w:jc w:val="center"/>
    </w:pPr>
  </w:style>
  <w:style w:type="paragraph" w:customStyle="1" w:styleId="AmNumberTabs">
    <w:name w:val="AmNumberTabs"/>
    <w:basedOn w:val="Normal"/>
    <w:rsid w:val="00F20D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F20D6F"/>
    <w:pPr>
      <w:spacing w:before="720" w:after="240"/>
      <w:jc w:val="center"/>
    </w:pPr>
  </w:style>
  <w:style w:type="character" w:customStyle="1" w:styleId="normaltextrun">
    <w:name w:val="normaltextrun"/>
    <w:basedOn w:val="DefaultParagraphFont"/>
    <w:rsid w:val="00F20D6F"/>
  </w:style>
  <w:style w:type="character" w:customStyle="1" w:styleId="eop">
    <w:name w:val="eop"/>
    <w:basedOn w:val="DefaultParagraphFont"/>
    <w:rsid w:val="00F20D6F"/>
  </w:style>
  <w:style w:type="character" w:styleId="Emphasis">
    <w:name w:val="Emphasis"/>
    <w:basedOn w:val="DefaultParagraphFont"/>
    <w:uiPriority w:val="20"/>
    <w:qFormat/>
    <w:rsid w:val="00F20D6F"/>
    <w:rPr>
      <w:i/>
      <w:iCs/>
    </w:rPr>
  </w:style>
  <w:style w:type="character" w:customStyle="1" w:styleId="ui-provider">
    <w:name w:val="ui-provider"/>
    <w:basedOn w:val="DefaultParagraphFont"/>
    <w:rsid w:val="00F20D6F"/>
  </w:style>
  <w:style w:type="paragraph" w:customStyle="1" w:styleId="Text1">
    <w:name w:val="Text 1"/>
    <w:basedOn w:val="Normal"/>
    <w:rsid w:val="00F20D6F"/>
    <w:pPr>
      <w:widowControl/>
      <w:spacing w:before="120" w:after="120"/>
      <w:ind w:left="850"/>
      <w:jc w:val="both"/>
    </w:pPr>
    <w:rPr>
      <w:rFonts w:eastAsiaTheme="minorHAnsi"/>
      <w:szCs w:val="22"/>
      <w:lang w:eastAsia="en-US"/>
    </w:rPr>
  </w:style>
  <w:style w:type="paragraph" w:customStyle="1" w:styleId="Text2">
    <w:name w:val="Text 2"/>
    <w:basedOn w:val="Normal"/>
    <w:rsid w:val="00F20D6F"/>
    <w:pPr>
      <w:widowControl/>
      <w:spacing w:before="120" w:after="120"/>
      <w:ind w:left="1417"/>
      <w:jc w:val="both"/>
    </w:pPr>
    <w:rPr>
      <w:rFonts w:eastAsiaTheme="minorHAnsi"/>
      <w:szCs w:val="22"/>
      <w:lang w:eastAsia="en-US"/>
    </w:rPr>
  </w:style>
  <w:style w:type="paragraph" w:customStyle="1" w:styleId="Text3">
    <w:name w:val="Text 3"/>
    <w:basedOn w:val="Normal"/>
    <w:rsid w:val="00F20D6F"/>
    <w:pPr>
      <w:widowControl/>
      <w:spacing w:before="120" w:after="120"/>
      <w:ind w:left="1984"/>
      <w:jc w:val="both"/>
    </w:pPr>
    <w:rPr>
      <w:rFonts w:eastAsiaTheme="minorHAnsi"/>
      <w:szCs w:val="22"/>
      <w:lang w:eastAsia="en-US"/>
    </w:rPr>
  </w:style>
  <w:style w:type="paragraph" w:customStyle="1" w:styleId="Point0">
    <w:name w:val="Point 0"/>
    <w:basedOn w:val="Normal"/>
    <w:rsid w:val="00F20D6F"/>
    <w:pPr>
      <w:widowControl/>
      <w:spacing w:before="120" w:after="120"/>
      <w:ind w:left="850" w:hanging="850"/>
      <w:jc w:val="both"/>
    </w:pPr>
    <w:rPr>
      <w:rFonts w:eastAsiaTheme="minorHAnsi"/>
      <w:szCs w:val="22"/>
      <w:lang w:eastAsia="en-US"/>
    </w:rPr>
  </w:style>
  <w:style w:type="paragraph" w:customStyle="1" w:styleId="Point1">
    <w:name w:val="Point 1"/>
    <w:basedOn w:val="Normal"/>
    <w:rsid w:val="00F20D6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F20D6F"/>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F20D6F"/>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F20D6F"/>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F20D6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F20D6F"/>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F20D6F"/>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F20D6F"/>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F20D6F"/>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F20D6F"/>
    <w:pPr>
      <w:widowControl/>
      <w:ind w:left="5103"/>
    </w:pPr>
    <w:rPr>
      <w:rFonts w:eastAsiaTheme="minorHAnsi"/>
      <w:szCs w:val="22"/>
      <w:lang w:eastAsia="en-US"/>
    </w:rPr>
  </w:style>
  <w:style w:type="paragraph" w:customStyle="1" w:styleId="Statut">
    <w:name w:val="Statut"/>
    <w:basedOn w:val="Normal"/>
    <w:next w:val="Typedudocument"/>
    <w:rsid w:val="00F20D6F"/>
    <w:pPr>
      <w:widowControl/>
      <w:spacing w:before="360"/>
      <w:jc w:val="center"/>
    </w:pPr>
    <w:rPr>
      <w:rFonts w:eastAsiaTheme="minorHAnsi"/>
      <w:szCs w:val="22"/>
      <w:lang w:eastAsia="en-US"/>
    </w:rPr>
  </w:style>
  <w:style w:type="paragraph" w:customStyle="1" w:styleId="Titrearticle">
    <w:name w:val="Titre article"/>
    <w:basedOn w:val="Normal"/>
    <w:next w:val="Normal"/>
    <w:rsid w:val="00F20D6F"/>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F20D6F"/>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F20D6F"/>
    <w:pPr>
      <w:widowControl/>
      <w:spacing w:before="360"/>
      <w:jc w:val="center"/>
    </w:pPr>
    <w:rPr>
      <w:rFonts w:eastAsiaTheme="minorHAnsi"/>
      <w:b/>
      <w:szCs w:val="22"/>
      <w:lang w:eastAsia="en-US"/>
    </w:rPr>
  </w:style>
  <w:style w:type="paragraph" w:customStyle="1" w:styleId="IntrtEEE">
    <w:name w:val="Intérêt EEE"/>
    <w:basedOn w:val="Normal"/>
    <w:next w:val="Normal"/>
    <w:rsid w:val="00F20D6F"/>
    <w:pPr>
      <w:widowControl/>
      <w:spacing w:before="360" w:after="240"/>
      <w:jc w:val="center"/>
    </w:pPr>
    <w:rPr>
      <w:rFonts w:eastAsiaTheme="minorHAnsi"/>
      <w:szCs w:val="22"/>
      <w:lang w:eastAsia="en-US"/>
    </w:rPr>
  </w:style>
  <w:style w:type="paragraph" w:customStyle="1" w:styleId="paragraph">
    <w:name w:val="paragraph"/>
    <w:basedOn w:val="Normal"/>
    <w:rsid w:val="00F20D6F"/>
    <w:pPr>
      <w:widowControl/>
      <w:spacing w:before="100" w:beforeAutospacing="1" w:after="100" w:afterAutospacing="1"/>
    </w:pPr>
    <w:rPr>
      <w:szCs w:val="24"/>
      <w:lang w:eastAsia="en-IE"/>
    </w:rPr>
  </w:style>
  <w:style w:type="paragraph" w:styleId="Footer">
    <w:name w:val="footer"/>
    <w:basedOn w:val="Normal"/>
    <w:link w:val="FooterChar"/>
    <w:rsid w:val="00F551E6"/>
    <w:pPr>
      <w:tabs>
        <w:tab w:val="center" w:pos="4513"/>
        <w:tab w:val="right" w:pos="9026"/>
      </w:tabs>
    </w:pPr>
  </w:style>
  <w:style w:type="character" w:customStyle="1" w:styleId="FooterChar">
    <w:name w:val="Footer Char"/>
    <w:basedOn w:val="DefaultParagraphFont"/>
    <w:link w:val="Footer"/>
    <w:rsid w:val="00F551E6"/>
    <w:rPr>
      <w:sz w:val="24"/>
      <w:lang w:val="fi-FI"/>
    </w:rPr>
  </w:style>
  <w:style w:type="paragraph" w:styleId="BalloonText">
    <w:name w:val="Balloon Text"/>
    <w:basedOn w:val="Normal"/>
    <w:link w:val="BalloonTextChar"/>
    <w:rsid w:val="00811334"/>
    <w:rPr>
      <w:rFonts w:ascii="Segoe UI" w:hAnsi="Segoe UI" w:cs="Segoe UI"/>
      <w:sz w:val="18"/>
      <w:szCs w:val="18"/>
    </w:rPr>
  </w:style>
  <w:style w:type="character" w:customStyle="1" w:styleId="BalloonTextChar">
    <w:name w:val="Balloon Text Char"/>
    <w:basedOn w:val="DefaultParagraphFont"/>
    <w:link w:val="BalloonText"/>
    <w:rsid w:val="00811334"/>
    <w:rPr>
      <w:rFonts w:ascii="Segoe UI" w:hAnsi="Segoe UI" w:cs="Segoe UI"/>
      <w:sz w:val="18"/>
      <w:szCs w:val="18"/>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8A068B"/>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5362E-5075-4566-8FE9-DEF5ABCB3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12507</Words>
  <Characters>110072</Characters>
  <Application>Microsoft Office Word</Application>
  <DocSecurity>0</DocSecurity>
  <Lines>917</Lines>
  <Paragraphs>244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LUKSITE Marija</cp:lastModifiedBy>
  <cp:revision>2</cp:revision>
  <cp:lastPrinted>2004-11-19T15:42:00Z</cp:lastPrinted>
  <dcterms:created xsi:type="dcterms:W3CDTF">2024-10-08T09:05:00Z</dcterms:created>
  <dcterms:modified xsi:type="dcterms:W3CDTF">2024-10-08T09:05:00Z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A9-0154/2024</vt:lpwstr>
  </property>
  <property fmtid="{D5CDD505-2E9C-101B-9397-08002B2CF9AE}" pid="4" name="&lt;Type&gt;">
    <vt:lpwstr>RR</vt:lpwstr>
  </property>
</Properties>
</file>