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E22DDE" w:rsidTr="0010095E">
        <w:trPr>
          <w:trHeight w:hRule="exact" w:val="1418"/>
        </w:trPr>
        <w:tc>
          <w:tcPr>
            <w:tcW w:w="6804" w:type="dxa"/>
            <w:shd w:val="clear" w:color="auto" w:fill="auto"/>
            <w:vAlign w:val="center"/>
          </w:tcPr>
          <w:p w:rsidR="00751A4A" w:rsidRPr="00E22DDE" w:rsidRDefault="00002BA3" w:rsidP="0010095E">
            <w:pPr>
              <w:pStyle w:val="EPName"/>
            </w:pPr>
            <w:r w:rsidRPr="00E22DDE">
              <w:t>Europos Parlamentas</w:t>
            </w:r>
          </w:p>
          <w:p w:rsidR="00751A4A" w:rsidRPr="00E22DDE" w:rsidRDefault="00817416" w:rsidP="00756632">
            <w:pPr>
              <w:pStyle w:val="EPTerm"/>
              <w:rPr>
                <w:rStyle w:val="HideTWBExt"/>
                <w:noProof w:val="0"/>
                <w:vanish w:val="0"/>
                <w:color w:val="auto"/>
              </w:rPr>
            </w:pPr>
            <w:r w:rsidRPr="00E22DDE">
              <w:t>2019-2024</w:t>
            </w:r>
          </w:p>
        </w:tc>
        <w:tc>
          <w:tcPr>
            <w:tcW w:w="2268" w:type="dxa"/>
            <w:shd w:val="clear" w:color="auto" w:fill="auto"/>
          </w:tcPr>
          <w:p w:rsidR="00751A4A" w:rsidRPr="00E22DDE" w:rsidRDefault="00187494" w:rsidP="0010095E">
            <w:pPr>
              <w:pStyle w:val="EPLogo"/>
            </w:pPr>
            <w:r w:rsidRPr="00E22DDE">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E22DDE" w:rsidRDefault="00D058B8" w:rsidP="004C5D52">
      <w:pPr>
        <w:pStyle w:val="LineTop"/>
      </w:pPr>
    </w:p>
    <w:p w:rsidR="00680577" w:rsidRPr="00E22DDE" w:rsidRDefault="00002BA3" w:rsidP="00680577">
      <w:pPr>
        <w:pStyle w:val="EPBodyTA1"/>
      </w:pPr>
      <w:r w:rsidRPr="00E22DDE">
        <w:t>PRIIMTI TEKSTAI</w:t>
      </w:r>
    </w:p>
    <w:p w:rsidR="00D058B8" w:rsidRPr="00E22DDE" w:rsidRDefault="00D058B8" w:rsidP="00D058B8">
      <w:pPr>
        <w:pStyle w:val="LineBottom"/>
      </w:pPr>
    </w:p>
    <w:p w:rsidR="00002BA3" w:rsidRPr="00E22DDE" w:rsidRDefault="00002BA3" w:rsidP="00002BA3">
      <w:pPr>
        <w:pStyle w:val="ATHeading1"/>
      </w:pPr>
      <w:bookmarkStart w:id="0" w:name="TANumber"/>
      <w:r w:rsidRPr="00E22DDE">
        <w:t>P9_TA(2024)0</w:t>
      </w:r>
      <w:r w:rsidR="00DD0FC6" w:rsidRPr="00E22DDE">
        <w:t>328</w:t>
      </w:r>
      <w:bookmarkEnd w:id="0"/>
    </w:p>
    <w:p w:rsidR="00002BA3" w:rsidRPr="00E22DDE" w:rsidRDefault="00422A2C" w:rsidP="00422A2C">
      <w:pPr>
        <w:pStyle w:val="ATHeading2"/>
      </w:pPr>
      <w:bookmarkStart w:id="1" w:name="title"/>
      <w:r w:rsidRPr="00E22DDE">
        <w:t>I</w:t>
      </w:r>
      <w:r w:rsidR="00002BA3" w:rsidRPr="00E22DDE">
        <w:t>ndėlių apsaugos taikymo sritis, indėlių garantijų sistemų lėšų naudojim</w:t>
      </w:r>
      <w:r w:rsidRPr="00E22DDE">
        <w:t>as</w:t>
      </w:r>
      <w:r w:rsidR="00002BA3" w:rsidRPr="00E22DDE">
        <w:t>, tarpvalstybini</w:t>
      </w:r>
      <w:r w:rsidRPr="00E22DDE">
        <w:t>s</w:t>
      </w:r>
      <w:r w:rsidR="00002BA3" w:rsidRPr="00E22DDE">
        <w:t xml:space="preserve"> bendradarbiavim</w:t>
      </w:r>
      <w:r w:rsidRPr="00E22DDE">
        <w:t>as</w:t>
      </w:r>
      <w:r w:rsidR="00002BA3" w:rsidRPr="00E22DDE">
        <w:t xml:space="preserve"> ir skaidrum</w:t>
      </w:r>
      <w:r w:rsidRPr="00E22DDE">
        <w:t>as (DIGS2)</w:t>
      </w:r>
      <w:bookmarkEnd w:id="1"/>
    </w:p>
    <w:p w:rsidR="00002BA3" w:rsidRPr="00E22DDE" w:rsidRDefault="00002BA3" w:rsidP="00002BA3">
      <w:pPr>
        <w:rPr>
          <w:i/>
          <w:vanish/>
        </w:rPr>
      </w:pPr>
      <w:r w:rsidRPr="00E22DDE">
        <w:rPr>
          <w:i/>
        </w:rPr>
        <w:fldChar w:fldCharType="begin"/>
      </w:r>
      <w:r w:rsidRPr="00E22DDE">
        <w:rPr>
          <w:i/>
        </w:rPr>
        <w:instrText xml:space="preserve"> TC"(</w:instrText>
      </w:r>
      <w:bookmarkStart w:id="2" w:name="DocNumber"/>
      <w:r w:rsidRPr="00E22DDE">
        <w:rPr>
          <w:i/>
        </w:rPr>
        <w:instrText>A9-0154/2024</w:instrText>
      </w:r>
      <w:bookmarkEnd w:id="2"/>
      <w:r w:rsidRPr="00E22DDE">
        <w:rPr>
          <w:i/>
        </w:rPr>
        <w:instrText xml:space="preserve"> - Pranešėja: Kira Marie Peter</w:instrText>
      </w:r>
      <w:r w:rsidRPr="00E22DDE">
        <w:rPr>
          <w:i/>
        </w:rPr>
        <w:noBreakHyphen/>
        <w:instrText xml:space="preserve">Hansen)"\l3 \n&gt; \* MERGEFORMAT </w:instrText>
      </w:r>
      <w:r w:rsidRPr="00E22DDE">
        <w:rPr>
          <w:i/>
        </w:rPr>
        <w:fldChar w:fldCharType="end"/>
      </w:r>
    </w:p>
    <w:p w:rsidR="00002BA3" w:rsidRPr="00E22DDE" w:rsidRDefault="00002BA3" w:rsidP="00002BA3">
      <w:pPr>
        <w:rPr>
          <w:vanish/>
        </w:rPr>
      </w:pPr>
      <w:bookmarkStart w:id="3" w:name="Commission"/>
      <w:r w:rsidRPr="00E22DDE">
        <w:rPr>
          <w:vanish/>
        </w:rPr>
        <w:t>Ekonomikos ir pinigų politikos komitetas</w:t>
      </w:r>
      <w:bookmarkEnd w:id="3"/>
    </w:p>
    <w:p w:rsidR="00002BA3" w:rsidRPr="00E22DDE" w:rsidRDefault="00002BA3" w:rsidP="00002BA3">
      <w:pPr>
        <w:rPr>
          <w:vanish/>
        </w:rPr>
      </w:pPr>
      <w:bookmarkStart w:id="4" w:name="PE"/>
      <w:r w:rsidRPr="00E22DDE">
        <w:rPr>
          <w:vanish/>
        </w:rPr>
        <w:t>PE753.698</w:t>
      </w:r>
      <w:bookmarkEnd w:id="4"/>
    </w:p>
    <w:p w:rsidR="00002BA3" w:rsidRPr="00E22DDE" w:rsidRDefault="007D6D52" w:rsidP="00002BA3">
      <w:pPr>
        <w:pStyle w:val="ATHeading3"/>
      </w:pPr>
      <w:bookmarkStart w:id="5" w:name="Sujet"/>
      <w:r w:rsidRPr="00E22DDE">
        <w:t xml:space="preserve">2024 m. balandžio </w:t>
      </w:r>
      <w:r w:rsidR="003D0DE8" w:rsidRPr="00E22DDE">
        <w:t>24</w:t>
      </w:r>
      <w:r w:rsidRPr="00E22DDE">
        <w:t xml:space="preserve"> d. </w:t>
      </w:r>
      <w:r w:rsidR="00002BA3" w:rsidRPr="00E22DDE">
        <w:t>Europos Parlamento teisėkūros rezoliucija dėl pasiūlymo dėl Europos Parlamento ir Tarybos direktyvos, kuria dėl indėlių apsaugos taikymo srities, indėlių garantijų sistemų lėšų naudojimo, tarpvalstybinio bendradarbiavimo ir skaidrumo iš dalies keičiama Direktyva 2014/49/ES</w:t>
      </w:r>
      <w:bookmarkEnd w:id="5"/>
      <w:r w:rsidR="00002BA3" w:rsidRPr="00E22DDE">
        <w:t xml:space="preserve"> </w:t>
      </w:r>
      <w:bookmarkStart w:id="6" w:name="References"/>
      <w:r w:rsidR="00002BA3" w:rsidRPr="00E22DDE">
        <w:t>(COM(2023)0228 – C9-0133/2023 – 2023/0115(COD))</w:t>
      </w:r>
      <w:bookmarkEnd w:id="6"/>
    </w:p>
    <w:p w:rsidR="000B604B" w:rsidRPr="00E22DDE" w:rsidRDefault="000B604B" w:rsidP="000B604B">
      <w:pPr>
        <w:pStyle w:val="NormalBold"/>
      </w:pPr>
      <w:bookmarkStart w:id="7" w:name="TextBodyBegin"/>
      <w:bookmarkEnd w:id="7"/>
      <w:r w:rsidRPr="00E22DDE">
        <w:t>(Įprasta teisėkūros procedūra: pirmasis svarstymas)</w:t>
      </w:r>
    </w:p>
    <w:p w:rsidR="000B604B" w:rsidRPr="00E22DDE" w:rsidRDefault="000B604B" w:rsidP="000B604B">
      <w:pPr>
        <w:pStyle w:val="EPComma"/>
      </w:pPr>
      <w:r w:rsidRPr="00E22DDE">
        <w:rPr>
          <w:i/>
          <w:iCs/>
        </w:rPr>
        <w:t>Europos Parlamentas</w:t>
      </w:r>
      <w:r w:rsidRPr="00E22DDE">
        <w:t>,</w:t>
      </w:r>
    </w:p>
    <w:p w:rsidR="000B604B" w:rsidRPr="00E22DDE" w:rsidRDefault="000B604B" w:rsidP="000B604B">
      <w:pPr>
        <w:pStyle w:val="NormalHanging12a"/>
      </w:pPr>
      <w:r w:rsidRPr="00E22DDE">
        <w:t>–</w:t>
      </w:r>
      <w:r w:rsidRPr="00E22DDE">
        <w:tab/>
        <w:t>atsižvelgdamas į Komisijos pasiūlymą Europos Parlamentui ir Tarybai (COM(2023)0228),</w:t>
      </w:r>
    </w:p>
    <w:p w:rsidR="000B604B" w:rsidRPr="00E22DDE" w:rsidRDefault="000B604B" w:rsidP="000B604B">
      <w:pPr>
        <w:pStyle w:val="NormalHanging12a"/>
      </w:pPr>
      <w:r w:rsidRPr="00E22DDE">
        <w:t>–</w:t>
      </w:r>
      <w:r w:rsidRPr="00E22DDE">
        <w:tab/>
        <w:t>atsižvelgdamas į Sutarties dėl Europos Sąjungos veikimo 294 straipsnio 2 dalį ir 53 straipsnio 1 dalį, pagal kurias Komisija pateikė pasiūlymą Parlamentui (C9</w:t>
      </w:r>
      <w:r w:rsidRPr="00E22DDE">
        <w:noBreakHyphen/>
        <w:t>0133/2023),</w:t>
      </w:r>
    </w:p>
    <w:p w:rsidR="000B604B" w:rsidRPr="00E22DDE" w:rsidRDefault="000B604B" w:rsidP="000B604B">
      <w:pPr>
        <w:pStyle w:val="NormalHanging12a"/>
      </w:pPr>
      <w:r w:rsidRPr="00E22DDE">
        <w:t>–</w:t>
      </w:r>
      <w:r w:rsidRPr="00E22DDE">
        <w:tab/>
        <w:t>atsižvelgdamas į Sutarties dėl Europos Sąjungos veikimo 294 straipsnio 3 dalį,</w:t>
      </w:r>
    </w:p>
    <w:p w:rsidR="000B604B" w:rsidRPr="00E22DDE" w:rsidRDefault="000B604B" w:rsidP="000B604B">
      <w:pPr>
        <w:pStyle w:val="NormalHanging12a"/>
      </w:pPr>
      <w:r w:rsidRPr="00E22DDE">
        <w:t>–</w:t>
      </w:r>
      <w:r w:rsidRPr="00E22DDE">
        <w:tab/>
        <w:t>atsižvelgdamas į Europos Centrinio Banko 2023 m. liepos 5 d. nuomonę</w:t>
      </w:r>
      <w:r w:rsidRPr="00E22DDE">
        <w:rPr>
          <w:rStyle w:val="FootnoteReference"/>
        </w:rPr>
        <w:footnoteReference w:id="1"/>
      </w:r>
      <w:r w:rsidRPr="00E22DDE">
        <w:t>,</w:t>
      </w:r>
    </w:p>
    <w:p w:rsidR="000B604B" w:rsidRPr="00E22DDE" w:rsidRDefault="000B604B" w:rsidP="000B604B">
      <w:pPr>
        <w:pStyle w:val="NormalHanging12a"/>
      </w:pPr>
      <w:r w:rsidRPr="00E22DDE">
        <w:t>–</w:t>
      </w:r>
      <w:r w:rsidRPr="00E22DDE">
        <w:tab/>
        <w:t>atsižvelgdamas į Darbo tvarkos taisyklių 59 straipsnį,</w:t>
      </w:r>
    </w:p>
    <w:p w:rsidR="000B604B" w:rsidRPr="00E22DDE" w:rsidRDefault="000B604B" w:rsidP="000B604B">
      <w:pPr>
        <w:pStyle w:val="NormalHanging12a"/>
      </w:pPr>
      <w:r w:rsidRPr="00E22DDE">
        <w:t>–</w:t>
      </w:r>
      <w:r w:rsidRPr="00E22DDE">
        <w:tab/>
        <w:t>atsižvelgdamas į Ekonomikos ir pinigų politikos komiteto pranešimą (A9-0154/2024),</w:t>
      </w:r>
    </w:p>
    <w:p w:rsidR="000B604B" w:rsidRPr="00E22DDE" w:rsidRDefault="000B604B" w:rsidP="000B604B">
      <w:pPr>
        <w:pStyle w:val="NormalHanging12a"/>
      </w:pPr>
      <w:r w:rsidRPr="00E22DDE">
        <w:t>1.</w:t>
      </w:r>
      <w:r w:rsidRPr="00E22DDE">
        <w:tab/>
        <w:t>priima per pirmąjį svarstymą toliau pateiktą poziciją;</w:t>
      </w:r>
    </w:p>
    <w:p w:rsidR="000B604B" w:rsidRPr="00E22DDE" w:rsidRDefault="000B604B" w:rsidP="000B604B">
      <w:pPr>
        <w:pStyle w:val="NormalHanging12a"/>
      </w:pPr>
      <w:r w:rsidRPr="00E22DDE">
        <w:t>2.</w:t>
      </w:r>
      <w:r w:rsidRPr="00E22DDE">
        <w:tab/>
        <w:t>ragina Komisiją dar kartą perduoti klausimą svarstyti Parlamentui, jei ji savo pasiūlymą pakeičia nauju tekstu, jį keičia iš esmės arba ketina jį keisti iš esmės;</w:t>
      </w:r>
    </w:p>
    <w:p w:rsidR="00D22A5C" w:rsidRDefault="000B604B" w:rsidP="00D22A5C">
      <w:pPr>
        <w:widowControl/>
        <w:ind w:left="567" w:hanging="567"/>
        <w:sectPr w:rsidR="00D22A5C" w:rsidSect="00ED33B0">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pPr>
      <w:r w:rsidRPr="00E22DDE">
        <w:t>3.</w:t>
      </w:r>
      <w:r w:rsidRPr="00E22DDE">
        <w:tab/>
        <w:t>paveda Pirmininkei perduoti Parlamento poziciją Tarybai, Komisijai ir nacionaliniams parlamentams.</w:t>
      </w:r>
    </w:p>
    <w:p w:rsidR="00C109BB" w:rsidRPr="00E22DDE" w:rsidRDefault="00C109BB" w:rsidP="00D22A5C">
      <w:pPr>
        <w:widowControl/>
        <w:ind w:left="567" w:hanging="567"/>
        <w:rPr>
          <w:b/>
          <w:bCs/>
        </w:rPr>
      </w:pPr>
      <w:r w:rsidRPr="00E22DDE">
        <w:rPr>
          <w:b/>
          <w:bCs/>
        </w:rPr>
        <w:lastRenderedPageBreak/>
        <w:t>P9_TC1-COD(2023)01</w:t>
      </w:r>
      <w:r w:rsidR="00726B91">
        <w:rPr>
          <w:b/>
          <w:bCs/>
        </w:rPr>
        <w:t>1</w:t>
      </w:r>
      <w:r w:rsidRPr="00E22DDE">
        <w:rPr>
          <w:b/>
          <w:bCs/>
        </w:rPr>
        <w:t>5</w:t>
      </w:r>
    </w:p>
    <w:p w:rsidR="000B604B" w:rsidRPr="00E22DDE" w:rsidRDefault="00C109BB" w:rsidP="00C109BB">
      <w:pPr>
        <w:pStyle w:val="Titreobjet"/>
        <w:spacing w:before="0" w:after="240"/>
        <w:jc w:val="left"/>
        <w:rPr>
          <w:lang w:val="lt-LT"/>
        </w:rPr>
      </w:pPr>
      <w:r w:rsidRPr="00E22DDE">
        <w:rPr>
          <w:snapToGrid w:val="0"/>
          <w:lang w:val="lt-LT"/>
        </w:rPr>
        <w:t xml:space="preserve">Europos </w:t>
      </w:r>
      <w:r w:rsidRPr="00E22DDE">
        <w:rPr>
          <w:bCs/>
          <w:lang w:val="lt-LT"/>
        </w:rPr>
        <w:t>Parlamento</w:t>
      </w:r>
      <w:r w:rsidRPr="00E22DDE">
        <w:rPr>
          <w:snapToGrid w:val="0"/>
          <w:lang w:val="lt-LT"/>
        </w:rPr>
        <w:t xml:space="preserve"> pozicija, priimta 2024 m. balandžio 24 d. per pirmąjį svarstymą, siekiant priimti Europos Parlamento ir Tarybos direktyvą (ES) 2024/...,  </w:t>
      </w:r>
      <w:r w:rsidR="000B604B" w:rsidRPr="00E22DDE">
        <w:rPr>
          <w:lang w:val="lt-LT"/>
        </w:rPr>
        <w:t>kuria dėl indėlių apsaugos taikymo srities, indėlių garantijų sistemų lėšų naudojimo, tarpvalstybinio bendradarbiavimo ir skaidrumo iš dalies keičiama Direktyva 2014/49/ES</w:t>
      </w:r>
      <w:r w:rsidR="00160850" w:rsidRPr="00E22DDE">
        <w:rPr>
          <w:rStyle w:val="FootnoteReference"/>
          <w:lang w:val="lt-LT"/>
        </w:rPr>
        <w:footnoteReference w:customMarkFollows="1" w:id="2"/>
        <w:t>*</w:t>
      </w:r>
    </w:p>
    <w:p w:rsidR="000B604B" w:rsidRPr="00E22DDE" w:rsidRDefault="000B604B" w:rsidP="00C109BB">
      <w:pPr>
        <w:pStyle w:val="IntrtEEE"/>
        <w:spacing w:before="0"/>
        <w:rPr>
          <w:lang w:val="lt-LT"/>
        </w:rPr>
      </w:pPr>
      <w:r w:rsidRPr="00E22DDE">
        <w:rPr>
          <w:lang w:val="lt-LT"/>
        </w:rPr>
        <w:t>(Tekstas svarbus EEE)</w:t>
      </w:r>
    </w:p>
    <w:p w:rsidR="000B604B" w:rsidRPr="00E22DDE" w:rsidRDefault="000B604B" w:rsidP="004226A9">
      <w:pPr>
        <w:pStyle w:val="Institutionquiagit"/>
        <w:spacing w:line="360" w:lineRule="auto"/>
        <w:rPr>
          <w:lang w:val="lt-LT"/>
        </w:rPr>
      </w:pPr>
      <w:r w:rsidRPr="00E22DDE">
        <w:rPr>
          <w:lang w:val="lt-LT"/>
        </w:rPr>
        <w:t>EUROPOS PARLAMENTAS IR EUROPOS SĄJUNGOS TARYBA,</w:t>
      </w:r>
    </w:p>
    <w:p w:rsidR="000B604B" w:rsidRPr="00E22DDE" w:rsidRDefault="000B604B" w:rsidP="004226A9">
      <w:pPr>
        <w:spacing w:before="120" w:after="120" w:line="360" w:lineRule="auto"/>
      </w:pPr>
      <w:r w:rsidRPr="00E22DDE">
        <w:t>atsižvelgdami į Sutartį dėl Europos Sąjungos veikimo, ypač į jos 53 straipsnio 1 dalį,</w:t>
      </w:r>
    </w:p>
    <w:p w:rsidR="000B604B" w:rsidRPr="00E22DDE" w:rsidRDefault="000B604B" w:rsidP="004226A9">
      <w:pPr>
        <w:spacing w:before="120" w:after="120" w:line="360" w:lineRule="auto"/>
      </w:pPr>
      <w:r w:rsidRPr="00E22DDE">
        <w:t>atsižvelgdami į Europos Komisijos pasiūlymą,</w:t>
      </w:r>
    </w:p>
    <w:p w:rsidR="000B604B" w:rsidRPr="00E22DDE" w:rsidRDefault="000B604B" w:rsidP="004226A9">
      <w:pPr>
        <w:spacing w:before="120" w:after="120" w:line="360" w:lineRule="auto"/>
      </w:pPr>
      <w:r w:rsidRPr="00E22DDE">
        <w:t>teisėkūros procedūra priimamo akto projektą perdavus nacionaliniams parlamentams,</w:t>
      </w:r>
    </w:p>
    <w:p w:rsidR="000B604B" w:rsidRPr="00E22DDE" w:rsidRDefault="000B604B" w:rsidP="004226A9">
      <w:pPr>
        <w:spacing w:before="120" w:after="120" w:line="360" w:lineRule="auto"/>
      </w:pPr>
      <w:r w:rsidRPr="00E22DDE">
        <w:t>atsižvelgdami į Europos ekonomikos ir socialinių reikalų komiteto nuomonę</w:t>
      </w:r>
      <w:r w:rsidRPr="00E22DDE">
        <w:rPr>
          <w:rStyle w:val="FootnoteReference"/>
        </w:rPr>
        <w:footnoteReference w:id="3"/>
      </w:r>
      <w:r w:rsidRPr="00E22DDE">
        <w:t xml:space="preserve">, </w:t>
      </w:r>
    </w:p>
    <w:p w:rsidR="000B604B" w:rsidRPr="00E22DDE" w:rsidRDefault="000B604B" w:rsidP="004226A9">
      <w:pPr>
        <w:spacing w:before="120" w:after="120" w:line="360" w:lineRule="auto"/>
      </w:pPr>
      <w:r w:rsidRPr="00E22DDE">
        <w:t>atsižvelgdami į Regionų komiteto nuomonę</w:t>
      </w:r>
      <w:r w:rsidRPr="00E22DDE">
        <w:rPr>
          <w:rStyle w:val="FootnoteReference"/>
        </w:rPr>
        <w:footnoteReference w:id="4"/>
      </w:r>
      <w:r w:rsidRPr="00E22DDE">
        <w:t xml:space="preserve">, </w:t>
      </w:r>
    </w:p>
    <w:p w:rsidR="000B604B" w:rsidRPr="00E22DDE" w:rsidRDefault="000B604B" w:rsidP="004226A9">
      <w:pPr>
        <w:spacing w:before="120" w:after="120" w:line="360" w:lineRule="auto"/>
      </w:pPr>
      <w:r w:rsidRPr="00E22DDE">
        <w:t>atsižvelgdami į Europos Centrinio Banko nuomonę</w:t>
      </w:r>
      <w:r w:rsidRPr="00E22DDE">
        <w:rPr>
          <w:rStyle w:val="FootnoteReference"/>
        </w:rPr>
        <w:footnoteReference w:id="5"/>
      </w:r>
      <w:r w:rsidRPr="00E22DDE">
        <w:t>,</w:t>
      </w:r>
    </w:p>
    <w:p w:rsidR="000B604B" w:rsidRPr="00E22DDE" w:rsidRDefault="000B604B" w:rsidP="004226A9">
      <w:pPr>
        <w:spacing w:before="120" w:after="120" w:line="360" w:lineRule="auto"/>
      </w:pPr>
      <w:r w:rsidRPr="00E22DDE">
        <w:t>laikydamiesi įprastos teisėkūros procedūros,</w:t>
      </w:r>
    </w:p>
    <w:p w:rsidR="000B604B" w:rsidRPr="00E22DDE" w:rsidRDefault="000B604B" w:rsidP="004226A9">
      <w:pPr>
        <w:spacing w:before="120" w:after="120" w:line="360" w:lineRule="auto"/>
      </w:pPr>
      <w:r w:rsidRPr="00E22DDE">
        <w:t>kadangi:</w:t>
      </w:r>
    </w:p>
    <w:p w:rsidR="000B604B" w:rsidRPr="00E22DDE" w:rsidRDefault="000B604B" w:rsidP="004226A9">
      <w:pPr>
        <w:pStyle w:val="ManualConsidrant"/>
        <w:spacing w:line="360" w:lineRule="auto"/>
        <w:rPr>
          <w:lang w:val="lt-LT"/>
        </w:rPr>
      </w:pPr>
      <w:r w:rsidRPr="00E22DDE">
        <w:rPr>
          <w:lang w:val="lt-LT"/>
        </w:rPr>
        <w:t>(1)</w:t>
      </w:r>
      <w:r w:rsidRPr="00E22DDE">
        <w:rPr>
          <w:lang w:val="lt-LT"/>
        </w:rPr>
        <w:tab/>
        <w:t>pagal Europos Parlamento ir Tarybos direktyvos 2014/49/ES</w:t>
      </w:r>
      <w:r w:rsidRPr="00E22DDE">
        <w:rPr>
          <w:rStyle w:val="FootnoteReference"/>
          <w:lang w:val="lt-LT"/>
        </w:rPr>
        <w:footnoteReference w:id="6"/>
      </w:r>
      <w:r w:rsidRPr="00E22DDE">
        <w:rPr>
          <w:lang w:val="lt-LT"/>
        </w:rPr>
        <w:t xml:space="preserve"> 19 straipsnio 5 ir 6 dalis Komisija peržiūrėjo tos direktyvos taikymą ir taikymo sritį ir padarė išvadą, kad indėlininkų apsaugos Sąjungoje tikslas sukuriant indėlių garantijų sistemas (IGS) iš esmės pasiektas. Tačiau Komisija taip pat padarė išvadą, kad reikia pašalinti likusias indėlininkų apsaugos spragas ir gerinti IGS veikimą, kartu suderinant taisykles, taikomas IGS intervencijoms, kurios nėra išmokų procedūros;</w:t>
      </w:r>
    </w:p>
    <w:p w:rsidR="000B604B" w:rsidRPr="00E22DDE" w:rsidRDefault="000B604B" w:rsidP="004226A9">
      <w:pPr>
        <w:pStyle w:val="ManualConsidrant"/>
        <w:spacing w:line="360" w:lineRule="auto"/>
        <w:rPr>
          <w:b/>
          <w:i/>
          <w:lang w:val="lt-LT"/>
        </w:rPr>
      </w:pPr>
      <w:bookmarkStart w:id="8" w:name="_Hlk127200842"/>
      <w:r w:rsidRPr="00E22DDE">
        <w:rPr>
          <w:b/>
          <w:i/>
          <w:lang w:val="lt-LT"/>
        </w:rPr>
        <w:t>(1a)</w:t>
      </w:r>
      <w:r w:rsidRPr="00E22DDE">
        <w:rPr>
          <w:b/>
          <w:i/>
          <w:lang w:val="lt-LT"/>
        </w:rPr>
        <w:tab/>
        <w:t xml:space="preserve">šiuo metu bankų sąjunga grindžiama tik dviem iš trijų numatytų ramsčių, t. y. bendru priežiūros mechanizmu (BPM) ir bendru pertvarkymo mechanizmu (BPeM). Todėl ji tebėra neužbaigta, nes nėra trečiojo ramsčio – Europos indėlių draudimo sistemos </w:t>
      </w:r>
      <w:r w:rsidRPr="00E22DDE">
        <w:rPr>
          <w:b/>
          <w:i/>
          <w:lang w:val="lt-LT"/>
        </w:rPr>
        <w:lastRenderedPageBreak/>
        <w:t>(EIDS). Šiuo metu atliekama Sąjungos krizių valdymo ir indėlių draudimo sistemos peržiūra siekiama sudaryti sąlygas baigti kurti bankų sąjungą ir taip pat sukurti EIDS. Bankų sąjungos sukūrimas yra neatsiejama ekonominės ir pinigų sąjungos ir finansinio stabilumo dalis, o jį pasiekti bus galima visų pirma mažinant vadinamojo užburto rato, į kurį pateko bankai ir valstybės, riziką;</w:t>
      </w:r>
    </w:p>
    <w:p w:rsidR="000B604B" w:rsidRPr="00E22DDE" w:rsidRDefault="000B604B" w:rsidP="004226A9">
      <w:pPr>
        <w:pStyle w:val="ManualConsidrant"/>
        <w:spacing w:line="360" w:lineRule="auto"/>
        <w:rPr>
          <w:b/>
          <w:i/>
          <w:lang w:val="lt-LT"/>
        </w:rPr>
      </w:pPr>
      <w:r w:rsidRPr="00E22DDE">
        <w:rPr>
          <w:b/>
          <w:i/>
          <w:lang w:val="lt-LT"/>
        </w:rPr>
        <w:t>(1b)</w:t>
      </w:r>
      <w:r w:rsidRPr="00E22DDE">
        <w:rPr>
          <w:b/>
          <w:i/>
          <w:lang w:val="lt-LT"/>
        </w:rPr>
        <w:tab/>
        <w:t>siekiant užtikrinti sklandų perėjimą prie bankų sąjungos sukūrimo, būtina suderinti funkcijas, kurias IGS gali atlikti. Todėl kai kurios į Direktyvą 2014/49/ES įtrauktos galimybės spręsti savo nuožiūra pagal nacionalinę teisę turėtų būti apribotos, o visos IGS turėtų galėti finansuoti pertvarkymo priemones, prevencines priemones ir kitas indėlininkų išmokėjimui alternatyvias priemones;</w:t>
      </w:r>
    </w:p>
    <w:p w:rsidR="000B604B" w:rsidRPr="00E22DDE" w:rsidRDefault="000B604B" w:rsidP="004226A9">
      <w:pPr>
        <w:pStyle w:val="ManualConsidrant"/>
        <w:spacing w:line="360" w:lineRule="auto"/>
        <w:rPr>
          <w:lang w:val="lt-LT"/>
        </w:rPr>
      </w:pPr>
      <w:r w:rsidRPr="00E22DDE">
        <w:rPr>
          <w:b/>
          <w:i/>
          <w:lang w:val="lt-LT"/>
        </w:rPr>
        <w:t>(1c)</w:t>
      </w:r>
      <w:r w:rsidRPr="00E22DDE">
        <w:rPr>
          <w:b/>
          <w:i/>
          <w:lang w:val="lt-LT"/>
        </w:rPr>
        <w:tab/>
        <w:t>Sąjungos krizių valdymo sistema turėtų visada užtikrinti, kad nuostoliai nebūtų nacionalizuojami, o mokesčių mokėtojų ištekliai nebūtų naudojami sunkumų patiriančioms kredito įstaigoms padėti arba gelbėti;</w:t>
      </w:r>
    </w:p>
    <w:p w:rsidR="000B604B" w:rsidRPr="00E22DDE" w:rsidRDefault="000B604B" w:rsidP="004226A9">
      <w:pPr>
        <w:pStyle w:val="ManualConsidrant"/>
        <w:spacing w:line="360" w:lineRule="auto"/>
        <w:rPr>
          <w:lang w:val="lt-LT"/>
        </w:rPr>
      </w:pPr>
      <w:r w:rsidRPr="00E22DDE">
        <w:rPr>
          <w:lang w:val="lt-LT"/>
        </w:rPr>
        <w:t>(2)</w:t>
      </w:r>
      <w:r w:rsidRPr="00E22DDE">
        <w:rPr>
          <w:lang w:val="lt-LT"/>
        </w:rPr>
        <w:tab/>
        <w:t xml:space="preserve">įsipareigojimų mokėti įnašus į IGS arba teikti informaciją indėlininkams ir IGS nevykdymas galėtų pakenkti indėlininkų apsaugos tikslui. Už pavėluotą įnašų mokėjimą IGS arba, kai aktualu, paskirtos valdžios institucijos gali taikyti pinigines sankcijas. </w:t>
      </w:r>
      <w:bookmarkEnd w:id="8"/>
      <w:r w:rsidRPr="00E22DDE">
        <w:rPr>
          <w:lang w:val="lt-LT"/>
        </w:rPr>
        <w:t xml:space="preserve">Svarbu gerinti IGS, paskirtų ir kompetentingų valdžios institucijų veiklos koordinavimą, kad būtų galima imtis vykdymo užtikrinimo veiksmų kredito įstaigos, kuri nesilaiko savo įsipareigojimų, atžvilgiu. </w:t>
      </w:r>
      <w:bookmarkStart w:id="9" w:name="_Hlk127201032"/>
      <w:r w:rsidRPr="00E22DDE">
        <w:rPr>
          <w:lang w:val="lt-LT"/>
        </w:rPr>
        <w:t>Nors kompetentingų valdžios institucijų priežiūros ir vykdymo užtikrinimo priemonių taikymas kredito įstaigoms reglamentuojamas nacionaliniais įstatymais ir Europos Parlamento ir Tarybos direktyva 2013/36/ES</w:t>
      </w:r>
      <w:r w:rsidRPr="00E22DDE">
        <w:rPr>
          <w:rStyle w:val="FootnoteReference"/>
          <w:lang w:val="lt-LT"/>
        </w:rPr>
        <w:footnoteReference w:id="7"/>
      </w:r>
      <w:r w:rsidRPr="00E22DDE">
        <w:rPr>
          <w:lang w:val="lt-LT"/>
        </w:rPr>
        <w:t>, būtina užtikrinti, kad paskirtos valdžios institucijos laiku informuotų kompetentingas valdžios institucijas apie visus kredito įstaigų įsipareigojimų pagal indėlių apsaugos taisykles pažeidimus;</w:t>
      </w:r>
      <w:bookmarkEnd w:id="9"/>
    </w:p>
    <w:p w:rsidR="000B604B" w:rsidRPr="00E22DDE" w:rsidRDefault="000B604B" w:rsidP="004226A9">
      <w:pPr>
        <w:pStyle w:val="ManualConsidrant"/>
        <w:spacing w:line="360" w:lineRule="auto"/>
        <w:rPr>
          <w:lang w:val="lt-LT"/>
        </w:rPr>
      </w:pPr>
      <w:bookmarkStart w:id="10" w:name="_Hlk127906132"/>
      <w:r w:rsidRPr="00E22DDE">
        <w:rPr>
          <w:lang w:val="lt-LT"/>
        </w:rPr>
        <w:t>(3)</w:t>
      </w:r>
      <w:r w:rsidRPr="00E22DDE">
        <w:rPr>
          <w:lang w:val="lt-LT"/>
        </w:rPr>
        <w:tab/>
        <w:t xml:space="preserve">siekdama remti tolesnę IGS praktikos konvergenciją ir padėti IGS testuoti savo atsparumą, Europos bankininkystės institucija (EBI) turėtų </w:t>
      </w:r>
      <w:r w:rsidRPr="00E22DDE">
        <w:rPr>
          <w:b/>
          <w:bCs/>
          <w:i/>
          <w:iCs/>
          <w:lang w:val="lt-LT"/>
        </w:rPr>
        <w:t>parengti</w:t>
      </w:r>
      <w:r w:rsidRPr="00E22DDE">
        <w:rPr>
          <w:lang w:val="lt-LT"/>
        </w:rPr>
        <w:t xml:space="preserve"> IGS sistemų testavimo nepalankiausiomis sąlygomis</w:t>
      </w:r>
      <w:r w:rsidRPr="00E22DDE">
        <w:rPr>
          <w:b/>
          <w:bCs/>
          <w:i/>
          <w:iCs/>
          <w:lang w:val="lt-LT"/>
        </w:rPr>
        <w:t xml:space="preserve"> atlikimui skirtų reguliavimo standartų projektus</w:t>
      </w:r>
      <w:r w:rsidRPr="00E22DDE">
        <w:rPr>
          <w:lang w:val="lt-LT"/>
        </w:rPr>
        <w:t>;</w:t>
      </w:r>
    </w:p>
    <w:p w:rsidR="000B604B" w:rsidRPr="00E22DDE" w:rsidRDefault="000B604B" w:rsidP="004226A9">
      <w:pPr>
        <w:pStyle w:val="ManualConsidrant"/>
        <w:spacing w:line="360" w:lineRule="auto"/>
        <w:rPr>
          <w:lang w:val="lt-LT"/>
        </w:rPr>
      </w:pPr>
      <w:r w:rsidRPr="00E22DDE">
        <w:rPr>
          <w:lang w:val="lt-LT"/>
        </w:rPr>
        <w:lastRenderedPageBreak/>
        <w:t>(4)</w:t>
      </w:r>
      <w:r w:rsidRPr="00E22DDE">
        <w:rPr>
          <w:lang w:val="lt-LT"/>
        </w:rPr>
        <w:tab/>
        <w:t>pagal Direktyvos 2014/49/ES 5 straipsnio 1 dalies d punktą tam tikrų finansų įstaigų, įskaitant investicines įmones, indėliams IGS draudimas netaikomas. Tačiau lėšos, kurias tos finansų įstaigos gauna iš savo klientų ir kurias jos klientų vardu deponuoja kredito įstaigoje teikdamos paslaugas, turėtų būti apsaugotos laikantis tam tikrų sąlygų;</w:t>
      </w:r>
      <w:bookmarkEnd w:id="10"/>
    </w:p>
    <w:p w:rsidR="000B604B" w:rsidRPr="00E22DDE" w:rsidRDefault="000B604B" w:rsidP="004226A9">
      <w:pPr>
        <w:pStyle w:val="ManualConsidrant"/>
        <w:spacing w:line="360" w:lineRule="auto"/>
        <w:rPr>
          <w:lang w:val="lt-LT"/>
        </w:rPr>
      </w:pPr>
      <w:r w:rsidRPr="00E22DDE">
        <w:rPr>
          <w:lang w:val="lt-LT"/>
        </w:rPr>
        <w:t>(5)</w:t>
      </w:r>
      <w:r w:rsidRPr="00E22DDE">
        <w:rPr>
          <w:lang w:val="lt-LT"/>
        </w:rPr>
        <w:tab/>
        <w:t xml:space="preserve">indėlininkų, kurie šiuo metu apsaugoti užtikrinant lėšų grąžinimą iš IGS, įvairovė grindžiama noru apsaugoti neprofesionalius investuotojus, tačiau laikoma, kad profesionaliems investuotojams tokios apsaugos nereikia. Dėl šios priežasties viešojo sektoriaus institucijoms draudimas nebuvo taikomas. Tačiau dauguma viešojo sektoriaus institucijų (kurios kai kuriose valstybėse narėse apima mokyklas ir ligonines) negali būti laikomos profesionaliais investuotojais. Todėl būtina užtikrinti, kad visų neprofesionalių investuotojų, įskaitant viešojo sektoriaus institucijas, indėliams galėtų būti taikoma IGS teikiama apsauga; </w:t>
      </w:r>
    </w:p>
    <w:p w:rsidR="000B604B" w:rsidRPr="00E22DDE" w:rsidRDefault="000B604B" w:rsidP="004226A9">
      <w:pPr>
        <w:pStyle w:val="ManualConsidrant"/>
        <w:spacing w:line="360" w:lineRule="auto"/>
        <w:rPr>
          <w:lang w:val="lt-LT"/>
        </w:rPr>
      </w:pPr>
      <w:r w:rsidRPr="00E22DDE">
        <w:rPr>
          <w:lang w:val="lt-LT"/>
        </w:rPr>
        <w:t>(6)</w:t>
      </w:r>
      <w:r w:rsidRPr="00E22DDE">
        <w:rPr>
          <w:lang w:val="lt-LT"/>
        </w:rPr>
        <w:tab/>
        <w:t>indėliai, atsirandantys dėl tam tikrų įvykių, įskaitant iš privataus gyvenamosios paskirties nekilnojamojo turto sandorių, arba dėl tam tikrų draudimo išmokų išmokėjimo, gali lemti laikinai didelius indėlius. Dėl šios priežasties Direktyvos 2014/49/ES 6 straipsnio 2 dalimi valstybės narės šiuo metu įpareigojamos užtikrinti, kad dėl tų įvykių atsiradę indėliai būtų apsaugoti didesne nei 100 000 EUR suma bent tris mėnesius, bet ne ilgiau kaip 12 mėnesių, nuo sumos įmokėjimo arba nuo momento, kada tokius indėlius galima teisiškai perduoti. Siekiant suderinti indėlininkų apsaugą Sąjungoje ir sumažinti administracinį sudėtingumą bei teisinį netikrumą, susijusį su tokių indėlių apsaugos taikymo sritimi, būtina nustatyti suderintą jų apsaugą</w:t>
      </w:r>
      <w:r w:rsidRPr="00E22DDE">
        <w:rPr>
          <w:b/>
          <w:bCs/>
          <w:i/>
          <w:iCs/>
          <w:lang w:val="lt-LT"/>
        </w:rPr>
        <w:t xml:space="preserve"> mažiausia bent</w:t>
      </w:r>
      <w:r w:rsidRPr="00E22DDE">
        <w:rPr>
          <w:lang w:val="lt-LT"/>
        </w:rPr>
        <w:t xml:space="preserve"> 500 000 EUR </w:t>
      </w:r>
      <w:r w:rsidRPr="00E22DDE">
        <w:rPr>
          <w:b/>
          <w:bCs/>
          <w:i/>
          <w:iCs/>
          <w:lang w:val="lt-LT"/>
        </w:rPr>
        <w:t xml:space="preserve"> ir didžiausia 2 500 000 EUR</w:t>
      </w:r>
      <w:r w:rsidRPr="00E22DDE">
        <w:rPr>
          <w:lang w:val="lt-LT"/>
        </w:rPr>
        <w:t xml:space="preserve"> suma suderintam šešių mėnesių laikotarpiui, be jau taikomos 100 000 EUR draudimo sumos. </w:t>
      </w:r>
      <w:r w:rsidRPr="00E22DDE">
        <w:rPr>
          <w:b/>
          <w:i/>
          <w:lang w:val="lt-LT"/>
        </w:rPr>
        <w:t>Valstybėms narėms nuostatas dėl apsaugomų sumų perkėlus į nacionalinę teisę, Komisija turėtų atlikti jų peržiūrą, siekdama nustatyti, ar didžiausia suma turėtų būti sumažinta, atsižvelgiant į tai, ar apsaugomos sumos yra proporcingos ir ar užtikrinamos vienodos sąlygos visoje Sąjungoje;</w:t>
      </w:r>
    </w:p>
    <w:p w:rsidR="000B604B" w:rsidRPr="00E22DDE" w:rsidRDefault="000B604B" w:rsidP="004226A9">
      <w:pPr>
        <w:pStyle w:val="ManualConsidrant"/>
        <w:spacing w:line="360" w:lineRule="auto"/>
        <w:rPr>
          <w:lang w:val="lt-LT"/>
        </w:rPr>
      </w:pPr>
      <w:r w:rsidRPr="00E22DDE">
        <w:rPr>
          <w:lang w:val="lt-LT"/>
        </w:rPr>
        <w:t>(7)</w:t>
      </w:r>
      <w:r w:rsidRPr="00E22DDE">
        <w:rPr>
          <w:lang w:val="lt-LT"/>
        </w:rPr>
        <w:tab/>
        <w:t xml:space="preserve">nekilnojamojo turto sandorio metu iki faktinio atsiskaitymo už sandorį lėšos gali būti pervedamos į įvairias sąskaitas. Todėl, siekiant apsaugoti indėlininkus, kurie vienodomis sąlygomis vykdo nekilnojamojo turto sandorius, iš pardavimo gautoms pajamoms ir lėšoms, įneštoms privačiam gyvenamosios paskirties nekilnojamajam turtui įsigyti </w:t>
      </w:r>
      <w:r w:rsidRPr="00E22DDE">
        <w:rPr>
          <w:b/>
          <w:bCs/>
          <w:i/>
          <w:iCs/>
          <w:lang w:val="lt-LT"/>
        </w:rPr>
        <w:t>iš anksto nustatytu</w:t>
      </w:r>
      <w:r w:rsidRPr="00E22DDE">
        <w:rPr>
          <w:lang w:val="lt-LT"/>
        </w:rPr>
        <w:t xml:space="preserve"> trumpuoju laikotarpiu, turėtų būti taikoma laikinai didelių sumų sąskaitoje apsauga;</w:t>
      </w:r>
    </w:p>
    <w:p w:rsidR="000B604B" w:rsidRPr="00E22DDE" w:rsidRDefault="000B604B" w:rsidP="004226A9">
      <w:pPr>
        <w:pStyle w:val="ManualConsidrant"/>
        <w:spacing w:line="360" w:lineRule="auto"/>
        <w:rPr>
          <w:lang w:val="lt-LT"/>
        </w:rPr>
      </w:pPr>
      <w:r w:rsidRPr="00E22DDE">
        <w:rPr>
          <w:lang w:val="lt-LT"/>
        </w:rPr>
        <w:lastRenderedPageBreak/>
        <w:t>(8)</w:t>
      </w:r>
      <w:r w:rsidRPr="00E22DDE">
        <w:rPr>
          <w:lang w:val="lt-LT"/>
        </w:rPr>
        <w:tab/>
        <w:t xml:space="preserve">siekiant užtikrinti, kad iš IGS grąžintina suma būtų išmokėta laiku, ir supaprastinti administracines ir skaičiavimo taisykles, apskaičiuojant grąžintiną sumą turėtų būti panaikinta laisvė atsižvelgti į įsipareigojimus, kurių terminas yra suėjęs; </w:t>
      </w:r>
    </w:p>
    <w:p w:rsidR="000B604B" w:rsidRPr="00E22DDE" w:rsidRDefault="000B604B" w:rsidP="004226A9">
      <w:pPr>
        <w:pStyle w:val="ManualConsidrant"/>
        <w:spacing w:line="360" w:lineRule="auto"/>
        <w:rPr>
          <w:lang w:val="lt-LT"/>
        </w:rPr>
      </w:pPr>
      <w:r w:rsidRPr="00E22DDE">
        <w:rPr>
          <w:lang w:val="lt-LT"/>
        </w:rPr>
        <w:t>(9)</w:t>
      </w:r>
      <w:r w:rsidRPr="00E22DDE">
        <w:rPr>
          <w:lang w:val="lt-LT"/>
        </w:rPr>
        <w:tab/>
        <w:t xml:space="preserve">būtina optimizuoti IGS veiklos pajėgumus ir sumažinti jų administracinę naštą. Dėl tos priežasties turėtų būti nustatyta, kad nustatant indėlininkus, kurie turi teisę į indėlius naudos gavėjo sąskaitose, arba vertinant, ar indėlininkams gali būti taikomos laikinai didelių sumų sąskaitoje apsaugos priemonės, indėlininkai ir sąskaitų turėtojai savo priemonėmis turi įrodyti savo teises; </w:t>
      </w:r>
    </w:p>
    <w:p w:rsidR="000B604B" w:rsidRPr="00E22DDE" w:rsidRDefault="000B604B" w:rsidP="004226A9">
      <w:pPr>
        <w:pStyle w:val="ManualConsidrant"/>
        <w:spacing w:line="360" w:lineRule="auto"/>
        <w:rPr>
          <w:lang w:val="lt-LT"/>
        </w:rPr>
      </w:pPr>
      <w:r w:rsidRPr="00E22DDE">
        <w:rPr>
          <w:lang w:val="lt-LT"/>
        </w:rPr>
        <w:t>(10)</w:t>
      </w:r>
      <w:r w:rsidRPr="00E22DDE">
        <w:rPr>
          <w:lang w:val="lt-LT"/>
        </w:rPr>
        <w:tab/>
        <w:t xml:space="preserve">tam tikriems indėliams, kai IGS turi patikrinti reikalavimą grąžinti, gali būti taikomas ilgesnis grąžinimo laikotarpis. Siekiant suderinti taisykles visoje Sąjungoje, grąžinimo laikotarpis turėtų būti ne ilgesnis kaip 20 darbo dienų nuo atitinkamų dokumentų gavimo; </w:t>
      </w:r>
    </w:p>
    <w:p w:rsidR="000B604B" w:rsidRPr="00E22DDE" w:rsidRDefault="000B604B" w:rsidP="004226A9">
      <w:pPr>
        <w:pStyle w:val="ManualConsidrant"/>
        <w:spacing w:line="360" w:lineRule="auto"/>
        <w:rPr>
          <w:lang w:val="lt-LT"/>
        </w:rPr>
      </w:pPr>
      <w:r w:rsidRPr="00E22DDE">
        <w:rPr>
          <w:lang w:val="lt-LT"/>
        </w:rPr>
        <w:t>(11)</w:t>
      </w:r>
      <w:r w:rsidRPr="00E22DDE">
        <w:rPr>
          <w:lang w:val="lt-LT"/>
        </w:rPr>
        <w:tab/>
        <w:t xml:space="preserve">administracinės išlaidos, susijusios su nedidelių sumų iš neaktyvių sąskaitų grąžinimu, gali būti didesnės už naudą indėlininkui. Todėl būtina nurodyti, kad iki tam tikros ribos, kuri turėtų būti nustatyta nacionaliniu lygmeniu, IGS neturėtų būti įpareigotos imtis aktyvių veiksmų tokiose sąskaitose laikomiems indėliams grąžinti. Tačiau indėlininkai vis tiek turėtų turėti teisę reikalauti grąžinti tokią sumą. Be to, kai tas pats indėlininkas taip pat turi kitų, aktyvių sąskaitų, IGS turėtų įtraukti tą sumą skaičiuodama grąžintiną sumą; </w:t>
      </w:r>
    </w:p>
    <w:p w:rsidR="000B604B" w:rsidRPr="00E22DDE" w:rsidRDefault="000B604B" w:rsidP="004226A9">
      <w:pPr>
        <w:pStyle w:val="ManualConsidrant"/>
        <w:spacing w:line="360" w:lineRule="auto"/>
        <w:rPr>
          <w:lang w:val="lt-LT"/>
        </w:rPr>
      </w:pPr>
      <w:r w:rsidRPr="00E22DDE">
        <w:rPr>
          <w:lang w:val="lt-LT"/>
        </w:rPr>
        <w:t>(12)</w:t>
      </w:r>
      <w:r w:rsidRPr="00E22DDE">
        <w:rPr>
          <w:lang w:val="lt-LT"/>
        </w:rPr>
        <w:tab/>
        <w:t>IGS taiko įvairius indėlių grąžinimo metodus, pradedant grynųjų pinigų išmokėjimu ir baigiant elektroniniais pervedimais. Tačiau, siekiant užtikrinti IGS grąžintų sumų atsekamumą ir laikytis Sąjungos sistemos dėl finansų sistemos naudojimo pinigų plovimui ar terorizmo finansavimui prevencijos tikslų, išmokos indėlininkams kredito pervedimais turėtų būti numatytasis išmokėjimo metodas, kai išmoka viršija 10 000 EUR sumą;</w:t>
      </w:r>
    </w:p>
    <w:p w:rsidR="000B604B" w:rsidRPr="00E22DDE" w:rsidRDefault="000B604B" w:rsidP="004226A9">
      <w:pPr>
        <w:pStyle w:val="ManualConsidrant"/>
        <w:spacing w:line="360" w:lineRule="auto"/>
        <w:rPr>
          <w:lang w:val="lt-LT"/>
        </w:rPr>
      </w:pPr>
      <w:r w:rsidRPr="00E22DDE">
        <w:rPr>
          <w:lang w:val="lt-LT"/>
        </w:rPr>
        <w:t>(13)</w:t>
      </w:r>
      <w:r w:rsidRPr="00E22DDE">
        <w:rPr>
          <w:lang w:val="lt-LT"/>
        </w:rPr>
        <w:tab/>
        <w:t xml:space="preserve">finansų įstaigoms indėlių apsauga netaikoma. Tačiau tam tikros finansų įstaigos, įskaitant elektroninių pinigų įstaigas, mokėjimo įstaigas ir investicines įmones, taip pat į banko sąskaitas deponuoja iš savo klientų gautas lėšas, dažnai laikinai, kad įvykdytų apsaugos pareigas pagal sektorių teisės aktus, įskaitant Europos Parlamento ir Tarybos </w:t>
      </w:r>
      <w:r w:rsidRPr="00E22DDE">
        <w:rPr>
          <w:lang w:val="lt-LT"/>
        </w:rPr>
        <w:lastRenderedPageBreak/>
        <w:t>direktyvą 2009/110/EB</w:t>
      </w:r>
      <w:r w:rsidRPr="00E22DDE">
        <w:rPr>
          <w:rStyle w:val="FootnoteReference"/>
          <w:lang w:val="lt-LT"/>
        </w:rPr>
        <w:footnoteReference w:id="8"/>
      </w:r>
      <w:r w:rsidRPr="00E22DDE">
        <w:rPr>
          <w:lang w:val="lt-LT"/>
        </w:rPr>
        <w:t>, Europos Parlamento ir Tarybos direktyvą (ES) 2015/2366</w:t>
      </w:r>
      <w:r w:rsidRPr="00E22DDE">
        <w:rPr>
          <w:rStyle w:val="FootnoteReference"/>
          <w:lang w:val="lt-LT"/>
        </w:rPr>
        <w:footnoteReference w:id="9"/>
      </w:r>
      <w:r w:rsidRPr="00E22DDE">
        <w:rPr>
          <w:lang w:val="lt-LT"/>
        </w:rPr>
        <w:t xml:space="preserve"> ir Europos Parlamento ir Tarybos direktyvą 2014/65/ES</w:t>
      </w:r>
      <w:r w:rsidRPr="00E22DDE">
        <w:rPr>
          <w:rStyle w:val="FootnoteReference"/>
          <w:lang w:val="lt-LT"/>
        </w:rPr>
        <w:footnoteReference w:id="10"/>
      </w:r>
      <w:r w:rsidRPr="00E22DDE">
        <w:rPr>
          <w:lang w:val="lt-LT"/>
        </w:rPr>
        <w:t xml:space="preserve">. Atsižvelgiant į didėjantį tų finansų įstaigų vaidmenį, IGS turėtų apsaugoti tokius indėlius su sąlyga, kad tie klientai buvo arba gali būti nustatyti; </w:t>
      </w:r>
    </w:p>
    <w:p w:rsidR="000B604B" w:rsidRPr="00E22DDE" w:rsidRDefault="000B604B" w:rsidP="004226A9">
      <w:pPr>
        <w:pStyle w:val="ManualConsidrant"/>
        <w:spacing w:line="360" w:lineRule="auto"/>
        <w:rPr>
          <w:lang w:val="lt-LT"/>
        </w:rPr>
      </w:pPr>
      <w:r w:rsidRPr="00E22DDE">
        <w:rPr>
          <w:lang w:val="lt-LT"/>
        </w:rPr>
        <w:t>(14)</w:t>
      </w:r>
      <w:r w:rsidRPr="00E22DDE">
        <w:rPr>
          <w:lang w:val="lt-LT"/>
        </w:rPr>
        <w:tab/>
        <w:t>finansų įstaigų klientai ne visada žino, kurią kredito įstaigą finansų įstaiga pasirinko jų lėšoms deponuoti. Todėl IGS neturėtų sumuoti tokių indėlių su indėliu, kurį tie patys klientai galėtų turėti kredito įstaigoje, kurioje finansų įstaiga yra deponavusi jų indėlius. Kredito įstaigos gali nežinoti, koks klientas turi teisę į sumą, laikomą kliento sąskaitose, arba neturėti galimybės patikrinti ir registruoti atskirų tų klientų duomenų</w:t>
      </w:r>
      <w:r w:rsidR="00AB4F3D">
        <w:rPr>
          <w:lang w:val="lt-LT"/>
        </w:rPr>
        <w:t>;</w:t>
      </w:r>
      <w:r w:rsidRPr="00E22DDE">
        <w:rPr>
          <w:lang w:val="lt-LT"/>
        </w:rPr>
        <w:t xml:space="preserve"> ▌</w:t>
      </w:r>
    </w:p>
    <w:p w:rsidR="000B604B" w:rsidRPr="00E22DDE" w:rsidRDefault="000B604B" w:rsidP="004226A9">
      <w:pPr>
        <w:pStyle w:val="ManualConsidrant"/>
        <w:spacing w:line="360" w:lineRule="auto"/>
        <w:rPr>
          <w:lang w:val="lt-LT"/>
        </w:rPr>
      </w:pPr>
      <w:r w:rsidRPr="00E22DDE">
        <w:rPr>
          <w:lang w:val="lt-LT"/>
        </w:rPr>
        <w:t>(15)</w:t>
      </w:r>
      <w:r w:rsidRPr="00E22DDE">
        <w:rPr>
          <w:lang w:val="lt-LT"/>
        </w:rPr>
        <w:tab/>
        <w:t>išmokėdamos išmokas indėlininkams, IGS gali susidurti su situacijomis, kurios kelia susirūpinimą dėl pinigų plovimo. Todėl IGS, gavusios pranešimą, kad finansinės žvalgybos padalinys sustabdė banko arba mokėjimo sąskaitos veiklą pagal taikomas kovos su pinigų plovimu taisykles, turėtų sustabdyti išmokas indėlininkui;</w:t>
      </w:r>
    </w:p>
    <w:p w:rsidR="000B604B" w:rsidRPr="00E22DDE" w:rsidRDefault="000B604B" w:rsidP="004226A9">
      <w:pPr>
        <w:pStyle w:val="ManualConsidrant"/>
        <w:spacing w:line="360" w:lineRule="auto"/>
        <w:rPr>
          <w:lang w:val="lt-LT"/>
        </w:rPr>
      </w:pPr>
      <w:r w:rsidRPr="00E22DDE">
        <w:rPr>
          <w:lang w:val="lt-LT"/>
        </w:rPr>
        <w:t>(16)</w:t>
      </w:r>
      <w:r w:rsidRPr="00E22DDE">
        <w:rPr>
          <w:lang w:val="lt-LT"/>
        </w:rPr>
        <w:tab/>
        <w:t xml:space="preserve">Direktyvos 2014/49/ES 9 straipsnyje nustatyta, kad tais atvejais, kai IGS atlieka mokėjimus pagal pertvarkymo procedūras, IGS turėtų turėti reikalavimą iš atitinkamos kredito įstaigos gauti sumą, kuri lygi jos išmokamoms sumoms, ir tas reikalavimas turėtų būti tokio paties prioriteto kaip apdraustieji indėliai. Toje nuostatoje IGS įnašas, skirtas pertvarkymui taikant veikiančio banko gelbėjimo privačiomis lėšomis strategiją, ir IGS įnašas, skirtas perdavimo strategijai finansuoti (kai taikoma verslo pardavimo arba laikinos įstaigos sukūrimo priemonė) neskiriamas, o likęs subjektas likviduojamas. Siekiant užtikrinti aiškumą ir teisinį tikrumą dėl IGS reikalavimo buvimo ir jo sumos skirtinguose scenarijuose, būtina nurodyti, kad tais atvejais, kai IGS įnašu padedama taikyti verslo pardavimo priemonę arba laikinos įstaigos sukūrimo priemonę, arba alternatyvias priemones, kuriomis kredito įstaigos turto, teisių ir įsipareigojimų, įskaitant indėlius, rinkinys perduodamas gavėjui, ta IGS turėtų turėti reikalavimą likusio </w:t>
      </w:r>
      <w:r w:rsidRPr="00E22DDE">
        <w:rPr>
          <w:lang w:val="lt-LT"/>
        </w:rPr>
        <w:lastRenderedPageBreak/>
        <w:t xml:space="preserve">subjekto atžvilgiu, vėliau vykdant jo likvidavimo procedūras pagal nacionalinę teisę. Siekiant užtikrinti, kad likusiame subjekte palikti kredito įstaigos akcininkai ir kreditoriai veiksmingai padengtų tos kredito įstaigos nuostolius ir būtų padidinta lėšų IGS grąžinimo galimybė bankroto atveju, IGS reikalavimui turėtų būti suteiktas toks pat prioritetas kaip ir </w:t>
      </w:r>
      <w:r w:rsidRPr="00E22DDE">
        <w:rPr>
          <w:b/>
          <w:bCs/>
          <w:i/>
          <w:iCs/>
          <w:lang w:val="lt-LT"/>
        </w:rPr>
        <w:t>apdraustiesiems indėliams</w:t>
      </w:r>
      <w:r w:rsidRPr="00E22DDE">
        <w:rPr>
          <w:lang w:val="lt-LT"/>
        </w:rPr>
        <w:t>. Jeigu taikoma veikiančio banko gelbėjimo privačiomis lėšomis priemonė (t. y. kredito įstaiga tęsia savo veiklą), IGS indėlis yra suma, kuria apdraustieji indėliai būtų buvę nurašyti arba konvertuoti tos kredito įstaigos nuostoliams padengti, jei apdraustieji indėliai būtų įtraukti į gelbėjimo privačiomis lėšomis taikymo sritį. Todėl IGS įnašas neturėtų reikšti reikalavimo pertvarkomos įstaigos atžvilgiu, nes taip būtų panaikintas IGS įnašo tikslas;</w:t>
      </w:r>
    </w:p>
    <w:p w:rsidR="000B604B" w:rsidRPr="00E22DDE" w:rsidRDefault="000B604B" w:rsidP="004226A9">
      <w:pPr>
        <w:pStyle w:val="ManualConsidrant"/>
        <w:spacing w:line="360" w:lineRule="auto"/>
        <w:rPr>
          <w:lang w:val="lt-LT"/>
        </w:rPr>
      </w:pPr>
      <w:r w:rsidRPr="00E22DDE">
        <w:rPr>
          <w:lang w:val="lt-LT"/>
        </w:rPr>
        <w:t>(17)</w:t>
      </w:r>
      <w:r w:rsidRPr="00E22DDE">
        <w:rPr>
          <w:lang w:val="lt-LT"/>
        </w:rPr>
        <w:tab/>
        <w:t>siekiant užtikrinti IGS praktikos konvergenciją ir teisinį tikrumą indėlininkams dėl savo indėlių susigrąžinimo, taip pat siekiant išvengti veiklos kliūčių IGS, svarbu nustatyti pakankamai ilgą laikotarpį, per kurį indėlininkai galėtų reikalauti grąžinti jų indėlius tais atvejais, kai vykdant išmokėjimą IGS negrąžino indėlininkams indėlių per Direktyvos 2014/49/ES 8 straipsnyje nustatytus terminus;</w:t>
      </w:r>
    </w:p>
    <w:p w:rsidR="000B604B" w:rsidRPr="00E22DDE" w:rsidRDefault="000B604B" w:rsidP="004226A9">
      <w:pPr>
        <w:pStyle w:val="ManualConsidrant"/>
        <w:spacing w:line="360" w:lineRule="auto"/>
        <w:rPr>
          <w:lang w:val="lt-LT"/>
        </w:rPr>
      </w:pPr>
      <w:r w:rsidRPr="00E22DDE">
        <w:rPr>
          <w:lang w:val="lt-LT"/>
        </w:rPr>
        <w:t>(18)</w:t>
      </w:r>
      <w:r w:rsidRPr="00E22DDE">
        <w:rPr>
          <w:lang w:val="lt-LT"/>
        </w:rPr>
        <w:tab/>
        <w:t xml:space="preserve">pagal Direktyvos 2014/49/ES 10 straipsnio 2 dalį valstybės narės užtikrina, kad ne vėliau kaip 2024 m. liepos 3 d. IGS turimi finansiniai ištekliai pasiektų bent 0,8 % jos narių apdraustųjų indėlių sumos tikslinį lygį. Siekiant objektyviai įvertinti, ar IGS atitinka tą reikalavimą, turėtų būti nustatytas aiškus bazinis laikotarpis apdraustųjų indėlių sumai ir IGS turimiems finansiniams ištekliams nustatyti. </w:t>
      </w:r>
      <w:r w:rsidRPr="00E22DDE">
        <w:rPr>
          <w:b/>
          <w:i/>
          <w:lang w:val="lt-LT"/>
        </w:rPr>
        <w:t>Atsižvelgiant į IGS naudojimo srities išplėtimą, 0,8 % tikslinio lygio adekvatumas turėtų būti atidžiai stebimas ir vertinamas;</w:t>
      </w:r>
    </w:p>
    <w:p w:rsidR="000B604B" w:rsidRPr="00E22DDE" w:rsidRDefault="000B604B" w:rsidP="004226A9">
      <w:pPr>
        <w:pStyle w:val="ManualConsidrant"/>
        <w:spacing w:line="360" w:lineRule="auto"/>
        <w:rPr>
          <w:lang w:val="lt-LT"/>
        </w:rPr>
      </w:pPr>
      <w:r w:rsidRPr="00E22DDE">
        <w:rPr>
          <w:lang w:val="lt-LT"/>
        </w:rPr>
        <w:t>(19)</w:t>
      </w:r>
      <w:r w:rsidRPr="00E22DDE">
        <w:rPr>
          <w:lang w:val="lt-LT"/>
        </w:rPr>
        <w:tab/>
        <w:t xml:space="preserve">siekiant užtikrinti IGS atsparumą, lėšas jos turėtų gauti kaip stabilius ir neatšaukiamus įnašus. Tam tikri IGS finansavimo šaltiniai, įskaitant paskolas ir tikėtinus susigrąžinimus, yra pernelyg neapibrėžti, kad juos būtų galima įtraukti kaip įnašus siekiant IGS tikslinio lygio. Siekiant suderinti IGS tikslinio lygio pasiekimo sąlygas ir užtikrinti, kad IGS turimi finansiniai ištekliai būtų finansuojami sektoriaus įnašais, lėšas, kurias galima įtraukti siekiant tikslinio lygio, reikėtų atskirti nuo lėšų, kurios laikomos papildomais finansavimo šaltiniais. </w:t>
      </w:r>
      <w:bookmarkStart w:id="11" w:name="_Hlk122018946"/>
      <w:bookmarkStart w:id="12" w:name="_Hlk122018357"/>
      <w:r w:rsidRPr="00E22DDE">
        <w:rPr>
          <w:lang w:val="lt-LT"/>
        </w:rPr>
        <w:t xml:space="preserve">IGS lėšų panaudojimas, įskaitant numatomus paskolų grąžinimus, gali būti planuojamas ir įskaičiuojamas į reguliarius IGS narių įnašus, todėl turimi finansiniai ištekliai neturėtų sumažėti žemiau tikslinio lygio. Taigi būtina nurodyti, kad pirmą kartą pasiekus tikslinį lygį, </w:t>
      </w:r>
      <w:r w:rsidRPr="00E22DDE">
        <w:rPr>
          <w:b/>
          <w:bCs/>
          <w:i/>
          <w:iCs/>
          <w:lang w:val="lt-LT"/>
        </w:rPr>
        <w:t>ketverių</w:t>
      </w:r>
      <w:r w:rsidRPr="00E22DDE">
        <w:rPr>
          <w:lang w:val="lt-LT"/>
        </w:rPr>
        <w:t xml:space="preserve"> metų papildymo laikotarpis turėtų būti taikomas tik dėl IGS intervencijos (išmokėjimo arba </w:t>
      </w:r>
      <w:r w:rsidRPr="00E22DDE">
        <w:rPr>
          <w:lang w:val="lt-LT"/>
        </w:rPr>
        <w:lastRenderedPageBreak/>
        <w:t xml:space="preserve">prevencinių priemonių atveju, taip pat pertvarkymo arba alternatyvių priemonių atveju) atsiradusio IGS turimų finansinių išteklių trūkumo. </w:t>
      </w:r>
      <w:r w:rsidRPr="00E22DDE">
        <w:rPr>
          <w:b/>
          <w:bCs/>
          <w:i/>
          <w:iCs/>
          <w:lang w:val="lt-LT"/>
        </w:rPr>
        <w:t>Jeigu po tokios IGS intervencijos turimi finansiniai ištekliai sumažėja mažiau nei trečdaliu, papildymo laikotarpis turėtų būti dveji metai.</w:t>
      </w:r>
      <w:r w:rsidRPr="00E22DDE">
        <w:rPr>
          <w:lang w:val="lt-LT"/>
        </w:rPr>
        <w:t xml:space="preserve"> </w:t>
      </w:r>
      <w:bookmarkEnd w:id="11"/>
      <w:bookmarkEnd w:id="12"/>
      <w:r w:rsidRPr="00E22DDE">
        <w:rPr>
          <w:lang w:val="lt-LT"/>
        </w:rPr>
        <w:t>Siekdama užtikrinti nuoseklų taikymą, EBI turėtų parengti techninių reguliavimo standartų, kuriuose būtų nurodyta IGS tikslinio lygio apskaičiavimo metodika, projektą;</w:t>
      </w:r>
    </w:p>
    <w:p w:rsidR="000B604B" w:rsidRPr="00E22DDE" w:rsidRDefault="000B604B" w:rsidP="004226A9">
      <w:pPr>
        <w:pStyle w:val="ManualConsidrant"/>
        <w:spacing w:line="360" w:lineRule="auto"/>
        <w:rPr>
          <w:lang w:val="lt-LT"/>
        </w:rPr>
      </w:pPr>
      <w:r w:rsidRPr="00E22DDE">
        <w:rPr>
          <w:lang w:val="lt-LT"/>
        </w:rPr>
        <w:t>(20)</w:t>
      </w:r>
      <w:r w:rsidRPr="00E22DDE">
        <w:rPr>
          <w:lang w:val="lt-LT"/>
        </w:rPr>
        <w:tab/>
        <w:t xml:space="preserve">IGS turimus finansinius išteklius turėtų būti galima nedelsiant panaudoti, kai reikia greitai taikyti išmokėjimo ar kitas intervencines priemones. Atsižvelgiant į įvairią praktiką visoje Sąjungoje, tikslinga nustatyti IGS lėšų investavimo strategijai taikomus reikalavimus, kad būtų sušvelnintas bet koks neigiamas poveikis IGS gebėjimui vykdyti savo įgaliojimus. Kai IGS neturi kompetencijos nustatyti investavimo strategiją, už investavimo strategijos nustatymą atsakinga valstybės narės institucija arba įstaiga ar subjektas, nustatydamas tą investavimo strategiją taip pat turėtų laikytis diversifikavimo ir investicijų į mažos rizikos </w:t>
      </w:r>
      <w:r w:rsidRPr="00E22DDE">
        <w:rPr>
          <w:b/>
          <w:bCs/>
          <w:i/>
          <w:iCs/>
          <w:lang w:val="lt-LT"/>
        </w:rPr>
        <w:t>ir likvidų</w:t>
      </w:r>
      <w:r w:rsidRPr="00E22DDE">
        <w:rPr>
          <w:lang w:val="lt-LT"/>
        </w:rPr>
        <w:t xml:space="preserve"> turtą principų. Siekiant išsaugoti visišką IGS veiklos nepriklausomumą ir lankstumą prieigos prie jos lėšų atžvilgiu, kai IGS lėšos deponuojamos ižde, tos lėšos turėtų būti padedamos į atskirtą sąskaitą; </w:t>
      </w:r>
    </w:p>
    <w:p w:rsidR="000B604B" w:rsidRPr="00E22DDE" w:rsidRDefault="000B604B" w:rsidP="004226A9">
      <w:pPr>
        <w:pStyle w:val="ManualConsidrant"/>
        <w:spacing w:line="360" w:lineRule="auto"/>
        <w:rPr>
          <w:lang w:val="lt-LT"/>
        </w:rPr>
      </w:pPr>
      <w:r w:rsidRPr="00E22DDE">
        <w:rPr>
          <w:lang w:val="lt-LT"/>
        </w:rPr>
        <w:t>(21)</w:t>
      </w:r>
      <w:r w:rsidRPr="00E22DDE">
        <w:rPr>
          <w:lang w:val="lt-LT"/>
        </w:rPr>
        <w:tab/>
        <w:t>galimybe padidinti turimus IGS finansinius išteklius naudojant privalomus įnašus, kuriuos įstaigos narės moka į esamas valstybės narės nustatytas privalomų įnašų sistemas, kad padengtų išlaidas, susijusias su sistemine rizika, niekada nebuvo pasinaudota, todėl ji turėtų būti panaikinta;</w:t>
      </w:r>
    </w:p>
    <w:p w:rsidR="000B604B" w:rsidRPr="00E22DDE" w:rsidRDefault="000B604B" w:rsidP="004226A9">
      <w:pPr>
        <w:pStyle w:val="ManualConsidrant"/>
        <w:spacing w:line="360" w:lineRule="auto"/>
        <w:rPr>
          <w:lang w:val="lt-LT"/>
        </w:rPr>
      </w:pPr>
      <w:r w:rsidRPr="00E22DDE">
        <w:rPr>
          <w:lang w:val="lt-LT"/>
        </w:rPr>
        <w:t>(22)</w:t>
      </w:r>
      <w:r w:rsidRPr="00E22DDE">
        <w:rPr>
          <w:lang w:val="lt-LT"/>
        </w:rPr>
        <w:tab/>
        <w:t xml:space="preserve">būtina stiprinti indėlininkų apsaugą, kartu išvengiant poreikio skubiai parduoti IGS turtą ir ribojant galimą neigiamą prociklišką poveikį bankų sektoriui, kurį kelia specialių įnašų surinkimas. Todėl IGS turėtų būti leidžiama naudoti alternatyvias finansavimo priemones, kuriomis joms būtų sudarytos sąlygos bet kuriuo metu gauti trumpalaikį finansavimą iš kitų šaltinių nei įnašai, be kita ko, prieš panaudojant turimus finansinius išteklius ir lėšas, surinktas iš specialių įnašų. Kadangi IGS finansavimo išlaidos ir atsakomybė visų pirma turėtų tekti kredito įstaigoms, alternatyvios finansavimo iš viešųjų lėšų priemonės </w:t>
      </w:r>
      <w:r w:rsidRPr="00E22DDE">
        <w:rPr>
          <w:b/>
          <w:bCs/>
          <w:i/>
          <w:iCs/>
          <w:lang w:val="lt-LT"/>
        </w:rPr>
        <w:t>neturėtų būti leidžiamos</w:t>
      </w:r>
      <w:r w:rsidRPr="00E22DDE">
        <w:rPr>
          <w:lang w:val="lt-LT"/>
        </w:rPr>
        <w:t>;</w:t>
      </w:r>
    </w:p>
    <w:p w:rsidR="000B604B" w:rsidRPr="00E22DDE" w:rsidRDefault="000B604B" w:rsidP="004226A9">
      <w:pPr>
        <w:pStyle w:val="ManualConsidrant"/>
        <w:spacing w:line="360" w:lineRule="auto"/>
        <w:rPr>
          <w:lang w:val="lt-LT"/>
        </w:rPr>
      </w:pPr>
      <w:r w:rsidRPr="00E22DDE">
        <w:rPr>
          <w:lang w:val="lt-LT"/>
        </w:rPr>
        <w:t>(23)</w:t>
      </w:r>
      <w:r w:rsidRPr="00E22DDE">
        <w:rPr>
          <w:lang w:val="lt-LT"/>
        </w:rPr>
        <w:tab/>
        <w:t xml:space="preserve">siekdama užtikrinti pakankamai diversifikuotą IGS lėšų investavimą ir vienodą praktiką, EBI turėtų paskelbti rekomendacijas, kad suteiktų IGS su tuo susijusias gaires; </w:t>
      </w:r>
    </w:p>
    <w:p w:rsidR="000B604B" w:rsidRPr="00E22DDE" w:rsidRDefault="000B604B" w:rsidP="004226A9">
      <w:pPr>
        <w:pStyle w:val="ManualConsidrant"/>
        <w:spacing w:line="360" w:lineRule="auto"/>
        <w:rPr>
          <w:lang w:val="lt-LT"/>
        </w:rPr>
      </w:pPr>
      <w:r w:rsidRPr="00E22DDE">
        <w:rPr>
          <w:lang w:val="lt-LT"/>
        </w:rPr>
        <w:t>(24)</w:t>
      </w:r>
      <w:r w:rsidRPr="00E22DDE">
        <w:rPr>
          <w:lang w:val="lt-LT"/>
        </w:rPr>
        <w:tab/>
        <w:t xml:space="preserve">nors pagrindinis IGS vaidmuo yra apdraustųjų indėlių grąžinimas indėlininkams, kitos intervencinės priemonės nei išmokėjimas gali būti IGS ekonomiškai efektyvesnės ir </w:t>
      </w:r>
      <w:r w:rsidRPr="00E22DDE">
        <w:rPr>
          <w:lang w:val="lt-LT"/>
        </w:rPr>
        <w:lastRenderedPageBreak/>
        <w:t>jomis gali būti užtikrinama nepertraukiama prieiga prie indėlių, sudarant palankesnes sąlygas taikyti pervedimo strategijas. Gali būti reikalaujama, kad IGS prisidėtų prie kredito įstaigų pertvarkymo. Be to, kai kuriose valstybėse narėse IGS gali finansuoti prevencines priemones, skirtas ilgalaikiam kredito įstaigų gyvybingumui atkurti, arba alternatyvias priemones bankroto atveju. Nors tokiomis prevencinėmis ir alternatyviomis priemonėmis galima gerokai pagerinti indėlių apsaugą, tokioms priemonėms būtina taikyti tinkamas apsaugos priemones, įskaitant suderintą mažiausių išlaidų vertinimą, kad būtų užtikrinamos vienodos sąlygos ir tokių priemonių veiksmingumas bei ekonominis efektyvumas. Tokios apsaugos priemonės turėtų būti taikomos tik intervencinėms priemonėms, finansuojamoms pagal šią direktyvą reglamentuojamais IGS turimais finansiniais ištekliais;</w:t>
      </w:r>
    </w:p>
    <w:p w:rsidR="000B604B" w:rsidRPr="00E22DDE" w:rsidRDefault="000B604B" w:rsidP="004226A9">
      <w:pPr>
        <w:pStyle w:val="ManualConsidrant"/>
        <w:spacing w:line="360" w:lineRule="auto"/>
        <w:rPr>
          <w:lang w:val="lt-LT"/>
        </w:rPr>
      </w:pPr>
      <w:r w:rsidRPr="00E22DDE">
        <w:rPr>
          <w:b/>
          <w:i/>
          <w:lang w:val="lt-LT"/>
        </w:rPr>
        <w:t>(24a)</w:t>
      </w:r>
      <w:r w:rsidRPr="00E22DDE">
        <w:rPr>
          <w:b/>
          <w:i/>
          <w:lang w:val="lt-LT"/>
        </w:rPr>
        <w:tab/>
        <w:t>labai svarbu, kad bet koks IGS dalyvavimas bet kuriame scenarijuje būtų orientuotas į ekonominį efektyvumą ir skaidrumą. Šis požiūris yra labai svarbus siekiant išvengti vienodų sąlygų iškraipymo ir užtikrinti, kad nebūtų suteikiamas nesąžiningas pranašumas konkretiems rinkos dalyviams. Skaidrumas ir ekonominis efektyvumas yra pagrindiniai principai, kuriais grindžiamas IGS sąžiningumas ir teisingas veikimas;</w:t>
      </w:r>
    </w:p>
    <w:p w:rsidR="000B604B" w:rsidRPr="00E22DDE" w:rsidRDefault="000B604B" w:rsidP="004226A9">
      <w:pPr>
        <w:pStyle w:val="ManualConsidrant"/>
        <w:spacing w:line="360" w:lineRule="auto"/>
        <w:rPr>
          <w:lang w:val="lt-LT"/>
        </w:rPr>
      </w:pPr>
      <w:r w:rsidRPr="00E22DDE">
        <w:rPr>
          <w:lang w:val="lt-LT"/>
        </w:rPr>
        <w:t>(25)</w:t>
      </w:r>
      <w:r w:rsidRPr="00E22DDE">
        <w:rPr>
          <w:lang w:val="lt-LT"/>
        </w:rPr>
        <w:tab/>
        <w:t xml:space="preserve">priemonės, kuriomis siekiama užkirsti kelią kredito įstaigos žlugimui taikant pakankamai ankstyvą intervenciją, gali būti veiksmingos užtikrinant krizių valdymo priemonių, skirtų indėlininkų pasitikėjimui ir finansiniam stabilumui išlaikyti, tęstinumą. Tos priemonės gali būti įvairių formų: tai kapitalo rėmimo priemonės, įgyvendinamos naudojant nuosavų lėšų priemones (įskaitant bendro 1 lygio nuosavo kapitalo priemones) arba kitos kapitalo priemonės, garantijos arba paskolos. IGS šias priemones taikė nevienodai. Siekiant užtikrinti krizių valdymo priemonių tęstinumą ir prevencinių priemonių taikymą laikantis pertvarkymo sistemos ir valstybės pagalbos taisyklių, būtina nustatyti jų taikymo laiką ir sąlygas. Prevencinės priemonės nėra tinkamos patirtiems nuostoliams padengti, kai kredito įstaiga jau žlunga arba gali žlugti, ir turėtų būti naudojamos ankstyvame etape, siekiant užkirsti kelią banko finansinės padėties pablogėjimui. Todėl paskirtos valdžios institucijos turėtų patikrinti, ar įvykdytos tokios IGS intervencijos sąlygos. </w:t>
      </w:r>
      <w:bookmarkStart w:id="13" w:name="_Hlk132533781"/>
      <w:r w:rsidRPr="00E22DDE">
        <w:rPr>
          <w:lang w:val="lt-LT"/>
        </w:rPr>
        <w:t xml:space="preserve">Galiausiai tos IGS turimų finansinių išteklių naudojimo sąlygos neturėtų daryti poveikio kompetentingos valdžios institucijos </w:t>
      </w:r>
      <w:r w:rsidRPr="00E22DDE">
        <w:rPr>
          <w:lang w:val="lt-LT"/>
        </w:rPr>
        <w:lastRenderedPageBreak/>
        <w:t>atliekamam vertinimui, kuriuo siekiama nustatyti, ar IUS atitinka Europos Parlamento ir Tarybos reglamento (ES) Nr. 575/2013</w:t>
      </w:r>
      <w:r w:rsidRPr="00E22DDE">
        <w:rPr>
          <w:rStyle w:val="FootnoteReference"/>
          <w:lang w:val="lt-LT"/>
        </w:rPr>
        <w:footnoteReference w:id="11"/>
      </w:r>
      <w:r w:rsidRPr="00E22DDE">
        <w:rPr>
          <w:lang w:val="lt-LT"/>
        </w:rPr>
        <w:t xml:space="preserve"> 113 straipsnio 7 dalyje nustatytus kriterijus; </w:t>
      </w:r>
      <w:bookmarkEnd w:id="13"/>
    </w:p>
    <w:p w:rsidR="000B604B" w:rsidRPr="00E22DDE" w:rsidRDefault="000B604B" w:rsidP="004226A9">
      <w:pPr>
        <w:pStyle w:val="ManualConsidrant"/>
        <w:spacing w:line="360" w:lineRule="auto"/>
        <w:rPr>
          <w:lang w:val="lt-LT"/>
        </w:rPr>
      </w:pPr>
      <w:r w:rsidRPr="00E22DDE">
        <w:rPr>
          <w:lang w:val="lt-LT"/>
        </w:rPr>
        <w:t>(26)</w:t>
      </w:r>
      <w:r w:rsidRPr="00E22DDE">
        <w:rPr>
          <w:lang w:val="lt-LT"/>
        </w:rPr>
        <w:tab/>
        <w:t xml:space="preserve">siekiant užtikrinti, kad prevencinėmis priemonėmis būtų pasiektas jų tikslas, turėtų būti reikalaujama, kad kredito įstaigos </w:t>
      </w:r>
      <w:r w:rsidRPr="00E22DDE">
        <w:rPr>
          <w:b/>
          <w:bCs/>
          <w:i/>
          <w:iCs/>
          <w:lang w:val="lt-LT"/>
        </w:rPr>
        <w:t>pateiktų kompetentingai valdžios institucijai</w:t>
      </w:r>
      <w:r w:rsidRPr="00E22DDE">
        <w:rPr>
          <w:lang w:val="lt-LT"/>
        </w:rPr>
        <w:t xml:space="preserve"> raštą, kuriame būtų nurodytos priemonės, kurių jos įsipareigoja imtis. ▌Tokiame rašte turėtų būti nurodyti visi elementai, kuriais siekiama užkirsti kelią lėšų praradimui ir sustiprinti kredito įstaigos kapitalo ir likvidumo poziciją, kad kredito įstaiga galėtų ateityje laikytis visų atitinkamų prudencinių ir kitų reguliavimo reikalavimų. Todėl tokiame rašte turėtų būti numatytos kapitalo didinimo priemonės, įskaitant taisykles dėl teisių išleidimo, savanoriško subordinuotosios skolos priemonių konvertavimo, įsipareigojimų valdymo priemonių, kapitalą generuojančio turto pardavimo, portfelio pakeitimo vertybiniais popieriais ir pajamų sulaikymo, įskaitant draudimus mokėti dividendus ir draudimus įsigyti įmonių akcijų. </w:t>
      </w:r>
      <w:r w:rsidRPr="00E22DDE">
        <w:rPr>
          <w:b/>
          <w:i/>
          <w:lang w:val="lt-LT"/>
        </w:rPr>
        <w:t xml:space="preserve">Be to, tame rašte turėtų būti aiškiai nurodytas kredito įstaigos pradinio kapitalo trūkumas, įgyvendinamos kapitalo didinimo priemonės ir lėšų nutekėjimui kelią užkertančios apsaugos priemonės. </w:t>
      </w:r>
      <w:r w:rsidRPr="00E22DDE">
        <w:rPr>
          <w:lang w:val="lt-LT"/>
        </w:rPr>
        <w:t xml:space="preserve">Dėl tos pačios priežasties, įgyvendindamos rašte numatytas priemones, kredito įstaigos taip pat turėtų stiprinti savo likvidumo pozicijas ir vengti agresyvios komercinės praktikos, taip pat </w:t>
      </w:r>
      <w:r w:rsidRPr="00E22DDE">
        <w:rPr>
          <w:b/>
          <w:bCs/>
          <w:i/>
          <w:iCs/>
          <w:lang w:val="lt-LT"/>
        </w:rPr>
        <w:t>neskirstyti dividendų, kintamojo atlygio,</w:t>
      </w:r>
      <w:r w:rsidRPr="00E22DDE">
        <w:rPr>
          <w:lang w:val="lt-LT"/>
        </w:rPr>
        <w:t xml:space="preserve"> neišpirkti nuosavų akcijų arba nevykdyti pasirinkimo pirkti sandorių dėl mišrių kapitalo priemonių. Tokiame rašte taip pat turėtų būti pateikta visų gautų paramos priemonių pasitraukimo strategija. </w:t>
      </w:r>
      <w:r w:rsidRPr="00E22DDE">
        <w:rPr>
          <w:b/>
          <w:i/>
          <w:lang w:val="lt-LT"/>
        </w:rPr>
        <w:t>Kredito įstaiga per pagrįstą laikotarpį turėtų pateikti kompetentingai valdžios institucijai verslo reorganizavimo planą ilgalaikiam gyvybingumui užtikrinti. Kredito įstaigai suteiktos prevencinės priemonės turėtų būti sustabdytos, jei kompetentinga valdžios institucija nėra įsitikinusi, kad verslo reorganizavimo planas yra patikimas ir įgyvendinamas siekiant užtikrinti ilgalaikį gyvybingumą. Jeigu kredito įstaiga yra 1 straipsnio 2 dalies c punkte nurodytos IUS narė, IUS, pasikonsultavusi su kompetentinga valdžios institucija, turėtų patvirtinti verslo reorganizavimo planą. Jeigu kompetentinga institucija nepatenkinta verslo reorganizavimo planu, ji turėtų įgyvendinti atitinkamas priemones, kad būtų užtikrintas ilgalaikis gyvybingumas.</w:t>
      </w:r>
      <w:r w:rsidRPr="00E22DDE">
        <w:rPr>
          <w:lang w:val="lt-LT"/>
        </w:rPr>
        <w:t xml:space="preserve"> Kompetentingos institucijos </w:t>
      </w:r>
      <w:r w:rsidRPr="00E22DDE">
        <w:rPr>
          <w:b/>
          <w:bCs/>
          <w:i/>
          <w:iCs/>
          <w:lang w:val="lt-LT"/>
        </w:rPr>
        <w:t>ir pertvarkymo institucijos</w:t>
      </w:r>
      <w:r w:rsidRPr="00E22DDE">
        <w:rPr>
          <w:lang w:val="lt-LT"/>
        </w:rPr>
        <w:t xml:space="preserve"> gali geriausiai įvertinti </w:t>
      </w:r>
      <w:r w:rsidRPr="00E22DDE">
        <w:rPr>
          <w:b/>
          <w:bCs/>
          <w:i/>
          <w:iCs/>
          <w:lang w:val="lt-LT"/>
        </w:rPr>
        <w:t>verslo reorganizavimo plane</w:t>
      </w:r>
      <w:r w:rsidRPr="00E22DDE">
        <w:rPr>
          <w:lang w:val="lt-LT"/>
        </w:rPr>
        <w:t xml:space="preserve"> numatytų priemonių aktualumą ir patikimumą. Siekiant </w:t>
      </w:r>
      <w:r w:rsidRPr="00E22DDE">
        <w:rPr>
          <w:lang w:val="lt-LT"/>
        </w:rPr>
        <w:lastRenderedPageBreak/>
        <w:t xml:space="preserve">užtikrinti, kad IGS, į kurią kreipiamasi dėl kredito įstaigos prevencinės priemonės finansavimo, paskirtos valdžios institucijos galėtų įvertinti, ar įvykdytos visos prevencinių priemonių sąlygos, kompetentingos valdžios institucijos turėtų bendradarbiauti su paskirtomis valdžios institucijomis. Siekiant užtikrinti nuoseklų požiūrį į prevencinių priemonių taikymą visoje Sąjungoje, EBI turėtų paskelbti gaires, kad padėtų kredito įstaigoms parengti tokį </w:t>
      </w:r>
      <w:r w:rsidRPr="00E22DDE">
        <w:rPr>
          <w:b/>
          <w:bCs/>
          <w:i/>
          <w:iCs/>
          <w:lang w:val="lt-LT"/>
        </w:rPr>
        <w:t>verslo reorganizavimo planą</w:t>
      </w:r>
      <w:r w:rsidRPr="00E22DDE">
        <w:rPr>
          <w:lang w:val="lt-LT"/>
        </w:rPr>
        <w:t>;</w:t>
      </w:r>
    </w:p>
    <w:p w:rsidR="000B604B" w:rsidRPr="00E22DDE" w:rsidRDefault="000B604B" w:rsidP="004226A9">
      <w:pPr>
        <w:pStyle w:val="ManualConsidrant"/>
        <w:spacing w:line="360" w:lineRule="auto"/>
        <w:rPr>
          <w:lang w:val="lt-LT"/>
        </w:rPr>
      </w:pPr>
      <w:r w:rsidRPr="00E22DDE">
        <w:rPr>
          <w:b/>
          <w:i/>
          <w:lang w:val="lt-LT"/>
        </w:rPr>
        <w:t>(26a)</w:t>
      </w:r>
      <w:r w:rsidRPr="00E22DDE">
        <w:rPr>
          <w:b/>
          <w:i/>
          <w:lang w:val="lt-LT"/>
        </w:rPr>
        <w:tab/>
        <w:t>siekiant sumažinti neatsakingo elgesio riziką, kredito įstaiga, gaunanti IGS paramą prevencinių priemonių forma, jos akcininkai, kreditoriai arba verslo grupė, kuriai ji priklauso, turėtų prisidėti prie restruktūrizavimo savo ištekliais ir skirti tinkamą atlygį už IGS suteiktą prevencinę priemonę;</w:t>
      </w:r>
    </w:p>
    <w:p w:rsidR="000B604B" w:rsidRPr="00E22DDE" w:rsidRDefault="000B604B" w:rsidP="004226A9">
      <w:pPr>
        <w:pStyle w:val="ManualConsidrant"/>
        <w:spacing w:line="360" w:lineRule="auto"/>
        <w:rPr>
          <w:lang w:val="lt-LT"/>
        </w:rPr>
      </w:pPr>
      <w:r w:rsidRPr="00E22DDE">
        <w:rPr>
          <w:lang w:val="lt-LT"/>
        </w:rPr>
        <w:t>(27)</w:t>
      </w:r>
      <w:r w:rsidRPr="00E22DDE">
        <w:rPr>
          <w:lang w:val="lt-LT"/>
        </w:rPr>
        <w:tab/>
        <w:t>siekiant užtikrinti, kad kredito įstaigos, gaunančios paramą iš IGS prevencinių priemonių forma, vykdytų savo įsipareigojimus, kompetentingos valdžios institucijos turėtų reikalauti, kad įsipareigojimų nevykdančios kredito įstaigos pateiktų koregavimo planą</w:t>
      </w:r>
      <w:r w:rsidRPr="00E22DDE">
        <w:rPr>
          <w:b/>
          <w:bCs/>
          <w:i/>
          <w:iCs/>
          <w:lang w:val="lt-LT"/>
        </w:rPr>
        <w:t>, grąžintų pagal prevencines priemones sumokėtą sumą arba laikytųsi pasitraukimo strategijos</w:t>
      </w:r>
      <w:r w:rsidRPr="00E22DDE">
        <w:rPr>
          <w:lang w:val="lt-LT"/>
        </w:rPr>
        <w:t>. Kai kompetentinga valdžios institucija mano, kad koregavimo plane numatytomis priemonėmis negalima pasiekti kredito įstaigos ilgalaikio gyvybingumo, IGS kredito įstaigai neturėtų teikti jokios papildomos prevencinės paramos</w:t>
      </w:r>
      <w:r w:rsidRPr="00E22DDE">
        <w:rPr>
          <w:b/>
          <w:bCs/>
          <w:i/>
          <w:iCs/>
          <w:lang w:val="lt-LT"/>
        </w:rPr>
        <w:t>, o atitinkamos valdžios institucijos pagal Direktyvos 2014/59/ES 32 straipsnį turėtų atlikti vertinimą, ar įstaiga žlunganti arba galinti žlugti.</w:t>
      </w:r>
      <w:r w:rsidRPr="00E22DDE">
        <w:rPr>
          <w:b/>
          <w:i/>
          <w:lang w:val="lt-LT"/>
        </w:rPr>
        <w:t xml:space="preserve"> </w:t>
      </w:r>
      <w:r w:rsidRPr="00E22DDE">
        <w:rPr>
          <w:b/>
          <w:bCs/>
          <w:i/>
          <w:iCs/>
          <w:lang w:val="lt-LT"/>
        </w:rPr>
        <w:t>Tos pačios pasekmės turėtų būti taikomos tais atvejais, kai kredito įstaiga nesilaiko koregavimo plano</w:t>
      </w:r>
      <w:r w:rsidRPr="00E22DDE">
        <w:rPr>
          <w:lang w:val="lt-LT"/>
        </w:rPr>
        <w:t>. Siekiant užtikrinti nuoseklų požiūrį į prevencinių priemonių taikymą visoje Sąjungoje, EBI turėtų paskelbti gaires, kad padėtų kredito įstaigoms parengti tokį koregavimo planą;</w:t>
      </w:r>
    </w:p>
    <w:p w:rsidR="000B604B" w:rsidRPr="00E22DDE" w:rsidRDefault="000B604B" w:rsidP="004226A9">
      <w:pPr>
        <w:pStyle w:val="ManualConsidrant"/>
        <w:spacing w:line="360" w:lineRule="auto"/>
        <w:rPr>
          <w:rStyle w:val="eop"/>
          <w:szCs w:val="20"/>
          <w:lang w:val="lt-LT" w:eastAsia="en-GB"/>
        </w:rPr>
      </w:pPr>
      <w:r w:rsidRPr="00E22DDE">
        <w:rPr>
          <w:rStyle w:val="eop"/>
          <w:lang w:val="lt-LT"/>
        </w:rPr>
        <w:t>(28)</w:t>
      </w:r>
      <w:r w:rsidRPr="00E22DDE">
        <w:rPr>
          <w:rStyle w:val="eop"/>
          <w:lang w:val="lt-LT"/>
        </w:rPr>
        <w:tab/>
      </w:r>
      <w:r w:rsidRPr="00E22DDE">
        <w:rPr>
          <w:rStyle w:val="normaltextrun"/>
          <w:shd w:val="clear" w:color="auto" w:fill="FFFFFF"/>
          <w:lang w:val="lt-LT"/>
        </w:rPr>
        <w:t>siekiant išvengti neigiamo poveikio konkurencijai ir vidaus rinkai, būtina nustatyti, kad bankroto atveju taikant alternatyvias priemones</w:t>
      </w:r>
      <w:r w:rsidRPr="00E22DDE">
        <w:rPr>
          <w:lang w:val="lt-LT"/>
        </w:rPr>
        <w:t xml:space="preserve"> </w:t>
      </w:r>
      <w:bookmarkStart w:id="14" w:name="_Hlk132534258"/>
      <w:r w:rsidRPr="00E22DDE">
        <w:rPr>
          <w:rStyle w:val="ui-provider"/>
          <w:lang w:val="lt-LT"/>
        </w:rPr>
        <w:t xml:space="preserve">atitinkamos įstaigos, atstovaujančios kredito įstaigai nacionalinėse bankroto bylose (likvidatorius, perėmėjas, administratorius ar kt.), </w:t>
      </w:r>
      <w:bookmarkEnd w:id="14"/>
      <w:r w:rsidRPr="00E22DDE">
        <w:rPr>
          <w:rStyle w:val="ui-provider"/>
          <w:lang w:val="lt-LT"/>
        </w:rPr>
        <w:t xml:space="preserve">turėtų imtis priemonių, kad kredito įstaigos verslas arba jo dalis būtų parduodama vykdant atvirą, skaidrų ir nediskriminacinį procesą, kartu siekiant kuo labiau padidinti pardavimo kainą. </w:t>
      </w:r>
      <w:r w:rsidRPr="00E22DDE">
        <w:rPr>
          <w:lang w:val="lt-LT"/>
        </w:rPr>
        <w:t>Kredito įstaiga arba bet kuris jos vardu veikiantis tarpininkas turėtų taikyti taisykles, kurios yra tinkamos turto, teisių ir įsipareigojimų, kurie turi būti perduoti galimiems pirkėjams, pardavimui.</w:t>
      </w:r>
      <w:r w:rsidRPr="00E22DDE">
        <w:rPr>
          <w:rStyle w:val="normaltextrun"/>
          <w:shd w:val="clear" w:color="auto" w:fill="FFFFFF"/>
          <w:lang w:val="lt-LT"/>
        </w:rPr>
        <w:t xml:space="preserve"> Bet kuriuo atveju, valstybės išteklių naudojimui, kai taikytina, ir toliau turėtų būti taikomos atitinkamos Sutartyje nustatytos valstybės pagalbos taisyklės;</w:t>
      </w:r>
    </w:p>
    <w:p w:rsidR="000B604B" w:rsidRPr="00E22DDE" w:rsidRDefault="000B604B" w:rsidP="004226A9">
      <w:pPr>
        <w:pStyle w:val="ManualConsidrant"/>
        <w:spacing w:line="360" w:lineRule="auto"/>
        <w:rPr>
          <w:lang w:val="lt-LT"/>
        </w:rPr>
      </w:pPr>
      <w:r w:rsidRPr="00E22DDE">
        <w:rPr>
          <w:lang w:val="lt-LT"/>
        </w:rPr>
        <w:lastRenderedPageBreak/>
        <w:t>(29)</w:t>
      </w:r>
      <w:r w:rsidRPr="00E22DDE">
        <w:rPr>
          <w:lang w:val="lt-LT"/>
        </w:rPr>
        <w:tab/>
        <w:t xml:space="preserve">kadangi pagrindinis IGS tikslas yra apsaugoti apdraustuosius indėlius, IGS turėtų būti leidžiama finansuoti kitas intervencines priemones nei išmokėjimą tik tais atvejais, kai tokios intervencinės priemonės yra pigesnės nei išmokėjimas. Patirtis, įgyta taikant tą taisyklę (mažiausių išlaidų vertinimą), atskleidė keletą trūkumų – dabartinėje sistemoje nėra išsamiai nurodyta nei kaip nustatyti šių intervencinių priemonių išlaidas, nei kaip nustatyti išmokėjimo išlaidas. Siekiant užtikrinti nuoseklų mažiausių išlaidų vertinimo taikymą visoje Sąjungoje, būtina patikslinti tų išlaidų apskaičiavimą. Taip pat būtina vengti taikyti pernelyg griežtas sąlygas, dėl kurių IGS lėšų naudojimas kitoms intervencinėms priemonėms nei išmokėjimas būtų faktiškai neįmanomas. Atlikdamos mažiausių išlaidų vertinimą, IGS pirmiausia turėtų patikrinti, ar pasirinktos priemonės finansavimo išlaidos yra mažesnės už apdraustųjų indėlių išmokėjimo išlaidas. Mažiausių išlaidų vertinimo metodikoje turėtų būti atsižvelgiama į pinigų laiko vertę; </w:t>
      </w:r>
    </w:p>
    <w:p w:rsidR="000B604B" w:rsidRPr="00E22DDE" w:rsidRDefault="000B604B" w:rsidP="004226A9">
      <w:pPr>
        <w:pStyle w:val="ManualConsidrant"/>
        <w:spacing w:line="360" w:lineRule="auto"/>
        <w:rPr>
          <w:lang w:val="lt-LT"/>
        </w:rPr>
      </w:pPr>
      <w:r w:rsidRPr="00E22DDE">
        <w:rPr>
          <w:lang w:val="lt-LT"/>
        </w:rPr>
        <w:t>(30)</w:t>
      </w:r>
      <w:r w:rsidRPr="00E22DDE">
        <w:rPr>
          <w:lang w:val="lt-LT"/>
        </w:rPr>
        <w:tab/>
        <w:t>likvidavimas gali būti ilgas procesas, kurio veiksmingumas priklauso nuo nacionalinių teismų veiksmingumo, bankroto tvarkos, atskirų bankų ypatybių ir žlugimo aplinkybių. IGS intervencinių priemonių, kurios yra alternatyvių priemonių dalis, atveju mažiausių išlaidų vertinimas turėtų būti atliekamas remiantis kredito įstaigos turto ir įsipareigojimų vertinimu, nustatytu Direktyvos 2014/59/ES 36 straipsnio 1 dalyje, ir tos direktyvos 36 straipsnio 8 dalyje nustatytu vertinimu. Tačiau tikslus susigrąžintinų likvidavimo sumų vertinimas gali būti sudėtingas atliekant mažiausių išlaidų vertinimą prevencinių priemonių taikymo atveju ir toks vertinimas turėtų būti atliekamas gerokai iki bet kokio numatomo likvidavimo. Todėl taikant prevencines priemones atliekamo mažiausių išlaidų vertinimo priešingos padėties scenarijus turėtų būti atitinkamai pakoreguotas, o numatomos susigrąžinti sumos turėtų būti bet kuriuo atveju apribotos pagrįsta suma, grindžiama ankstesnių išmokų susigrąžinimais;</w:t>
      </w:r>
    </w:p>
    <w:p w:rsidR="000B604B" w:rsidRPr="00E22DDE" w:rsidRDefault="000B604B" w:rsidP="004226A9">
      <w:pPr>
        <w:pStyle w:val="ManualConsidrant"/>
        <w:spacing w:line="360" w:lineRule="auto"/>
        <w:rPr>
          <w:lang w:val="lt-LT"/>
        </w:rPr>
      </w:pPr>
      <w:r w:rsidRPr="00E22DDE">
        <w:rPr>
          <w:lang w:val="lt-LT"/>
        </w:rPr>
        <w:t>(31)</w:t>
      </w:r>
      <w:r w:rsidRPr="00E22DDE">
        <w:rPr>
          <w:lang w:val="lt-LT"/>
        </w:rPr>
        <w:tab/>
        <w:t xml:space="preserve">paskirtos valdžios institucijos turėtų įvertinti IGS su priemone susijusias išlaidas, be kita ko, po paskolos grąžinimo, kapitalo injekcijos arba garantijos panaudojimo, atėmus tikėtinas pajamas, veiklos išlaidas ir galimus nuostolius, palygindamos jas su priešingos padėties scenarijumi, pagrįstu hipotetiniais galutiniais nuostoliais bankroto procedūros, kurioje turėtų būti atsižvelgta į iš IGS susigrąžintas sumas vykdant banko likvidavimo procedūrą, pabaigoje. </w:t>
      </w:r>
      <w:r w:rsidRPr="00E22DDE">
        <w:rPr>
          <w:b/>
          <w:i/>
          <w:lang w:val="lt-LT"/>
        </w:rPr>
        <w:t xml:space="preserve">Be to, priešingos padėties scenarijuje turėtų būti atsižvelgiama į galimas IGS išlaidas, susijusias su ekonominiu ir finansiniu nestabilumu, įskaitant poreikį naudoti papildomas lėšas pagal IGS įgaliojimus, siekiant apsaugoti indėlininkus ir finansinį stabilumą ir užkirsti kelią plintančiam neigiamam poveikiui. </w:t>
      </w:r>
      <w:r w:rsidRPr="00E22DDE">
        <w:rPr>
          <w:lang w:val="lt-LT"/>
        </w:rPr>
        <w:lastRenderedPageBreak/>
        <w:t xml:space="preserve">Kad būtų galima susidaryti teisingą ir išsamesnį vaizdą apie faktines išmokų indėlininkams išmokėjimo išlaidas, į nuostolių, patirtų išmokant apdraustuosius indėlius, apskaičiavimą turėtų būti įtrauktos išlaidos, netiesiogiai susijusios su išmokomis indėlininkams. Tokios išlaidos turėtų apimti ▌išlaidas, kurias IGS galėtų patirti dėl alternatyvaus finansavimo panaudojimo. Siekdama užtikrinti nuoseklų mažiausių išlaidų vertinimo taikymą, EBI turėtų parengti techninių reguliavimo standartų dėl skirtingų IGS intervencinių priemonių išlaidų apskaičiavimo metodikos projektus.  Siekiant užtikrinti mažiausių išlaidų vertinimo metodikos suderinamumą su IGS teisės aktais nustatytais arba sutartiniais įgaliojimais, ▌EBI </w:t>
      </w:r>
      <w:r w:rsidRPr="00E22DDE">
        <w:rPr>
          <w:b/>
          <w:bCs/>
          <w:i/>
          <w:iCs/>
          <w:lang w:val="lt-LT"/>
        </w:rPr>
        <w:t>turėtų parengti</w:t>
      </w:r>
      <w:r w:rsidRPr="00E22DDE">
        <w:rPr>
          <w:lang w:val="lt-LT"/>
        </w:rPr>
        <w:t xml:space="preserve"> techninių reguliavimo standartų projektus ▌;</w:t>
      </w:r>
    </w:p>
    <w:p w:rsidR="000B604B" w:rsidRPr="00E22DDE" w:rsidRDefault="000B604B" w:rsidP="004226A9">
      <w:pPr>
        <w:pStyle w:val="ManualConsidrant"/>
        <w:spacing w:line="360" w:lineRule="auto"/>
        <w:rPr>
          <w:lang w:val="lt-LT"/>
        </w:rPr>
      </w:pPr>
      <w:r w:rsidRPr="00E22DDE">
        <w:rPr>
          <w:lang w:val="lt-LT"/>
        </w:rPr>
        <w:t>(32)</w:t>
      </w:r>
      <w:r w:rsidRPr="00E22DDE">
        <w:rPr>
          <w:lang w:val="lt-LT"/>
        </w:rPr>
        <w:tab/>
        <w:t>siekiant sustiprinti suderintą indėlininkų apsaugą ir nustatyti atitinkamą atsakomybę visoje Sąjungoje, buveinės valstybės narės IGS turėtų užtikrinti, kad išmokos būtų išmokamos indėlininkams, esantiems valstybėse narėse, kuriose kredito įstaigos, kurios yra IGS narės, priima indėlius ir kitas grąžintinas lėšas, siūlydamos indėlių paslaugas tarpvalstybiniu mastu, bet priimančiojoje valstybėje narėje neįsisteigdamos. Siekiant palengvinti išmokėjimo operacijas ir informacijos teikimą indėlininkams, priimančiosios valstybės narės IGS turėtų būti leidžiama veikti kaip kredito įstaigų, kurios naudojasi laisve teikti paslaugas, indėlininkų kontaktiniam punktui;</w:t>
      </w:r>
    </w:p>
    <w:p w:rsidR="000B604B" w:rsidRPr="00E22DDE" w:rsidRDefault="000B604B" w:rsidP="004226A9">
      <w:pPr>
        <w:pStyle w:val="ManualConsidrant"/>
        <w:spacing w:line="360" w:lineRule="auto"/>
        <w:rPr>
          <w:lang w:val="lt-LT"/>
        </w:rPr>
      </w:pPr>
      <w:r w:rsidRPr="00E22DDE">
        <w:rPr>
          <w:lang w:val="lt-LT"/>
        </w:rPr>
        <w:t>(33)</w:t>
      </w:r>
      <w:r w:rsidRPr="00E22DDE">
        <w:rPr>
          <w:lang w:val="lt-LT"/>
        </w:rPr>
        <w:tab/>
        <w:t xml:space="preserve">IGS bendradarbiavimas visoje Sąjungoje yra labai svarbus siekiant užtikrinti greitą ir ekonomiškai efektyvų indėlininkų lėšų grąžinimą tais atvejais, kai kredito įstaigos teikia bankininkystės paslaugas per filialus kitose valstybėse narėse. Atsižvelgiant į technologinę pažangą, kuria skatinama naudoti tarpvalstybinius pervedimus ir nuotolinį identifikavimą, buveinės valstybės narės IGS turėtų būti leidžiama grąžinti sumas tiesiogiai kitoje valstybėje narėje esančių filialų indėlininkams, jei administracinė našta ir išlaidos būtų mažesnės nei tuo atveju, jei grąžinimą atliktų priimančiosios valstybės narės IGS. Šis lankstumas turėtų papildyti dabartinį bendradarbiavimo mechanizmą, pagal kurį reikalaujama, kad priimančiosios valstybės narės IGS buveinės valstybės narės IGS vardu grąžintų lėšas filialų indėlininkams. Siekiant išsaugoti indėlininkų pasitikėjimą priimančiosiomis ir buveinės valstybėmis narėmis, EBI turėtų paskelbti gaires, kad padėtų IGS bendradarbiauti, </w:t>
      </w:r>
      <w:r w:rsidRPr="00E22DDE">
        <w:rPr>
          <w:i/>
          <w:iCs/>
          <w:lang w:val="lt-LT"/>
        </w:rPr>
        <w:t>inter alia</w:t>
      </w:r>
      <w:r w:rsidRPr="00E22DDE">
        <w:rPr>
          <w:lang w:val="lt-LT"/>
        </w:rPr>
        <w:t>, pasiūlydama sąlygų, kuriomis buveinės valstybės narės IGS galėtų nuspręsti išmokėti išmokas priimančiosios valstybės narės filialų indėlininkams, sąrašą;</w:t>
      </w:r>
    </w:p>
    <w:p w:rsidR="000B604B" w:rsidRPr="00E22DDE" w:rsidRDefault="000B604B" w:rsidP="004226A9">
      <w:pPr>
        <w:pStyle w:val="ManualConsidrant"/>
        <w:spacing w:line="360" w:lineRule="auto"/>
        <w:rPr>
          <w:lang w:val="lt-LT"/>
        </w:rPr>
      </w:pPr>
      <w:r w:rsidRPr="00E22DDE">
        <w:rPr>
          <w:lang w:val="lt-LT"/>
        </w:rPr>
        <w:lastRenderedPageBreak/>
        <w:t>(34)</w:t>
      </w:r>
      <w:r w:rsidRPr="00E22DDE">
        <w:rPr>
          <w:lang w:val="lt-LT"/>
        </w:rPr>
        <w:tab/>
        <w:t xml:space="preserve">kredito įstaigos gali nuspręsti priklausyti kitai IGS, nes perkelia savo būstinę į kitą valstybę narę, pertvarko savo patronuojamąją įmonę į filialą arba, atvirkščiai, savo filialą pertvarko į patronuojamąją įmonę. Direktyvos 2014/49/ES 14 straipsnio 3 dalyje reikalaujama, kad tos kredito įstaigos įnašai, sumokėti per 12 mėnesių iki perkėlimo, būtų pervedami kitai IGS proporcingai perkeltų apdraustųjų indėlių sumai. Siekiant užtikrinti, kad pervedant įnašus gaunančiajai IGS nebūtų daromas poveikis dėl skirtingų nacionalinių taisyklių, susijusių su sąskaitų faktūrų išrašymu ar faktine įnašų mokėjimo data, pradinė IGS turėtų apskaičiuoti pervestiną sumą remdamasi </w:t>
      </w:r>
      <w:r w:rsidRPr="00E22DDE">
        <w:rPr>
          <w:b/>
          <w:bCs/>
          <w:i/>
          <w:iCs/>
          <w:lang w:val="lt-LT"/>
        </w:rPr>
        <w:t>potencialiais įsipareigojimais, kurių gaunančiajai IGS atsiras dėl to sandorio</w:t>
      </w:r>
      <w:r w:rsidRPr="00E22DDE">
        <w:rPr>
          <w:lang w:val="lt-LT"/>
        </w:rPr>
        <w:t xml:space="preserve">. </w:t>
      </w:r>
      <w:r w:rsidRPr="00E22DDE">
        <w:rPr>
          <w:b/>
          <w:bCs/>
          <w:i/>
          <w:iCs/>
          <w:lang w:val="lt-LT"/>
        </w:rPr>
        <w:t>EBI turėtų parengti techninių reguliavimo standartų projektus, kuriuose nustatytų perkeltinos sumos apskaičiavimo metodiką, kad būtų užtikrintas neutralus perkėlimo poveikis tiek gaunančiosios IGS, tiek pradinės IGS finansinei padėčiai, palyginti su rizika, kurią jos dengia;</w:t>
      </w:r>
      <w:r w:rsidRPr="00E22DDE">
        <w:rPr>
          <w:lang w:val="lt-LT"/>
        </w:rPr>
        <w:t xml:space="preserve"> </w:t>
      </w:r>
    </w:p>
    <w:p w:rsidR="000B604B" w:rsidRPr="00E22DDE" w:rsidRDefault="000B604B" w:rsidP="004226A9">
      <w:pPr>
        <w:pStyle w:val="ManualConsidrant"/>
        <w:spacing w:line="360" w:lineRule="auto"/>
        <w:rPr>
          <w:lang w:val="lt-LT"/>
        </w:rPr>
      </w:pPr>
      <w:r w:rsidRPr="00E22DDE">
        <w:rPr>
          <w:lang w:val="lt-LT"/>
        </w:rPr>
        <w:t>(35)</w:t>
      </w:r>
      <w:r w:rsidRPr="00E22DDE">
        <w:rPr>
          <w:lang w:val="lt-LT"/>
        </w:rPr>
        <w:tab/>
        <w:t xml:space="preserve">būtina užtikrinti vienodą indėlininkų apsaugą visoje Sąjungoje, kuri negali būti visapusiškai užtikrinta indėlininkų apsaugos trečiosiose šalyse lygiavertiškumo vertinimo tvarka. Dėl šios priežasties kredito įstaigos, kurios pagrindinė buveinė yra trečiojoje šalyje, filialai Sąjungoje turėtų prisijungti prie valstybės narės, kurioje jie vykdo indėlių priėmimo veiklą, IGS. Tuo reikalavimu taip pat būtų užtikrinamas suderinamumas su direktyvomis 2013/36/ES ir 2014/59/ES, kuriomis siekiama nustatyti patikimesnes prudencines ir pertvarkymo sistemas trečiųjų šalių grupėms, teikiančioms banko paslaugas Sąjungoje. Be to, reikėtų vengti, kad IGS būtų daromas poveikis dėl trečiosioms šalims būdingos ekonominės ir finansinės rizikos. Todėl indėliai Sąjungos kredito įstaigų trečiosiose šalyse įsteigtuose filialuose neturėtų būti apsaugoti; </w:t>
      </w:r>
    </w:p>
    <w:p w:rsidR="000B604B" w:rsidRPr="00E22DDE" w:rsidRDefault="000B604B" w:rsidP="004226A9">
      <w:pPr>
        <w:pStyle w:val="ManualConsidrant"/>
        <w:spacing w:line="360" w:lineRule="auto"/>
        <w:rPr>
          <w:lang w:val="lt-LT"/>
        </w:rPr>
      </w:pPr>
      <w:r w:rsidRPr="00E22DDE">
        <w:rPr>
          <w:lang w:val="lt-LT"/>
        </w:rPr>
        <w:t>(36)</w:t>
      </w:r>
      <w:r w:rsidRPr="00E22DDE">
        <w:rPr>
          <w:lang w:val="lt-LT"/>
        </w:rPr>
        <w:tab/>
        <w:t xml:space="preserve">dėl standartizuoto ir reguliaraus informacijos atskleidimo didėja indėlininkų informuotumas apie indėlių apsaugą. Kad informacijos atskleidimo reikalavimai derėtų su technologiniais pokyčiais, tais reikalavimais turėtų būti atsižvelgiama į naujus skaitmeninius ryšių kanalus, kuriais kredito įstaigos bendrauja su indėlininkais. Indėlininkai turėtų gauti aiškią ir vienodą informaciją, kurioje, kartu apribojant susijusią kredito įstaigų arba IGS administracinę naštą, paaiškinama jų indėlių apsauga. EBI turėtų būti įgaliota parengti techninių įgyvendinimo standartų, kuriuose būtų nurodytas, viena vertus, indėlininkams kasmet perduodamo informacijos dokumento forma ir turinys ir, kita vertus, šabloninė informacija, kurią IGS arba kredito įstaigos turi pateikti </w:t>
      </w:r>
      <w:r w:rsidRPr="00E22DDE">
        <w:rPr>
          <w:lang w:val="lt-LT"/>
        </w:rPr>
        <w:lastRenderedPageBreak/>
        <w:t xml:space="preserve">indėlininkams tam tikrais atvejais, įskaitant kredito įstaigų susijungimą, sprendimą, kad indėliai negrąžinami, arba klientų indėlių išmokėjimą, projektą; </w:t>
      </w:r>
    </w:p>
    <w:p w:rsidR="000B604B" w:rsidRPr="00E22DDE" w:rsidRDefault="000B604B" w:rsidP="004226A9">
      <w:pPr>
        <w:pStyle w:val="ManualConsidrant"/>
        <w:spacing w:line="360" w:lineRule="auto"/>
        <w:rPr>
          <w:lang w:val="lt-LT"/>
        </w:rPr>
      </w:pPr>
      <w:r w:rsidRPr="00E22DDE">
        <w:rPr>
          <w:lang w:val="lt-LT"/>
        </w:rPr>
        <w:t>(37)</w:t>
      </w:r>
      <w:r w:rsidRPr="00E22DDE">
        <w:rPr>
          <w:lang w:val="lt-LT"/>
        </w:rPr>
        <w:tab/>
        <w:t>kredito įstaigos sujungimas, patronuojamosios įmonės reorganizavimas į filialą arba, atvirkščiai, filialo reorganizavimas į patronuojamąją įmonę gali turėti įtakos pagrindinėms indėlininkų apsaugos savybėms. Siekiant išvengti neigiamo poveikio indėlininkams, kurie turėtų indėlių abiejuose susijungiančiuose bankuose ir kurių reikalavimai dėl indėlių draudimo būtų sumažinti dėl pokyčių, susijusių su priklausymu IGS, visi indėlininkai turėtų būti informuojami apie tokius pokyčius ir turėtų turėti teisę atsiimti savo lėšas tokia suma, kurios dydis būtų lygus prarastam indėlių draudimui, netaikant baudos;</w:t>
      </w:r>
    </w:p>
    <w:p w:rsidR="000B604B" w:rsidRPr="00E22DDE" w:rsidRDefault="000B604B" w:rsidP="004226A9">
      <w:pPr>
        <w:pStyle w:val="ManualConsidrant"/>
        <w:spacing w:line="360" w:lineRule="auto"/>
        <w:rPr>
          <w:lang w:val="lt-LT"/>
        </w:rPr>
      </w:pPr>
      <w:r w:rsidRPr="00E22DDE">
        <w:rPr>
          <w:lang w:val="lt-LT"/>
        </w:rPr>
        <w:t>(38)</w:t>
      </w:r>
      <w:r w:rsidRPr="00E22DDE">
        <w:rPr>
          <w:lang w:val="lt-LT"/>
        </w:rPr>
        <w:tab/>
        <w:t>siekiant išsaugoti finansinį stabilumą, užkirsti kelią plintančiam neigiamam poveikiui ir sudaryti sąlygas indėlininkams pasinaudoti savo teisėmis reikalauti indėlių, kai taikytina, paskirtos valdžios institucijos, IGS ir atitinkamos kredito įstaigos turėtų informuoti indėlininkus apie tai, kad indėliai tampa negrąžinamais;</w:t>
      </w:r>
    </w:p>
    <w:p w:rsidR="000B604B" w:rsidRPr="00E22DDE" w:rsidRDefault="000B604B" w:rsidP="004226A9">
      <w:pPr>
        <w:pStyle w:val="ManualConsidrant"/>
        <w:spacing w:line="360" w:lineRule="auto"/>
        <w:rPr>
          <w:lang w:val="lt-LT"/>
        </w:rPr>
      </w:pPr>
      <w:r w:rsidRPr="00E22DDE">
        <w:rPr>
          <w:lang w:val="lt-LT"/>
        </w:rPr>
        <w:t>(39)</w:t>
      </w:r>
      <w:r w:rsidRPr="00E22DDE">
        <w:rPr>
          <w:lang w:val="lt-LT"/>
        </w:rPr>
        <w:tab/>
        <w:t xml:space="preserve">siekiant padidinti skaidrumą indėlininkų atžvilgiu ir skatinti IGS finansinį patikimumą ir pasitikėjimą jomis joms vykdant savo įgaliojimus, dabartiniai ataskaitų teikimo reikalavimai turėtų būti patobulinti. Remiantis dabartiniais reikalavimais, pagal kuriuos IGS gali prašyti savo narių (institucijų) pateikti visą būtiną informaciją, kurios reikia, kad jos galėtų pasirengti išmokėjimui, IGS taip pat turėtų turėti galimybę prašyti informacijos, būtinos pasirengti išmokėjimui tarpvalstybinio bendradarbiavimo sąlygomis. IGS paprašytos narės (įstaigos) turėtų privalėti pateikti bendrą informaciją apie bet kokią reikšmingą tarpvalstybinę veiklą, vykdomą kitose valstybėse narėse. Be to, siekdamos EBI suteikti tinkamą informaciją apie IGS turimų finansinių išteklių raidą ir tų priemonių naudojimą, valstybės narės turėtų užtikrinti, kad IGS kasmet informuotų EBI apie apdraustųjų indėlių ir turimų finansinių išteklių sumą ir praneštų EBI apie aplinkybes, dėl kurių IGS lėšos buvo panaudotos arba išmokant išmokas, arba taikant kitas priemones. Galiausiai, siekiant atsižvelgti į padidintą IGS vaidmenį valdant bankų krizes, taip siekiant palengvinti IGS lėšų naudojimą vykdant pertvarkymą, IGS turėtų turėti teisę </w:t>
      </w:r>
      <w:r w:rsidRPr="00E22DDE">
        <w:rPr>
          <w:b/>
          <w:bCs/>
          <w:i/>
          <w:iCs/>
          <w:lang w:val="lt-LT"/>
        </w:rPr>
        <w:t>kasmet</w:t>
      </w:r>
      <w:r w:rsidRPr="00E22DDE">
        <w:rPr>
          <w:lang w:val="lt-LT"/>
        </w:rPr>
        <w:t xml:space="preserve"> gauti kredito įstaigų pertvarkymo planų santrauką, kad būtų padidintas jų bendras pasirengimas suteikti lėšų; </w:t>
      </w:r>
    </w:p>
    <w:p w:rsidR="000B604B" w:rsidRPr="00E22DDE" w:rsidRDefault="000B604B" w:rsidP="004226A9">
      <w:pPr>
        <w:pStyle w:val="ManualConsidrant"/>
        <w:spacing w:line="360" w:lineRule="auto"/>
        <w:rPr>
          <w:lang w:val="lt-LT"/>
        </w:rPr>
      </w:pPr>
      <w:r w:rsidRPr="00E22DDE">
        <w:rPr>
          <w:lang w:val="lt-LT"/>
        </w:rPr>
        <w:t>(40)</w:t>
      </w:r>
      <w:r w:rsidRPr="00E22DDE">
        <w:rPr>
          <w:lang w:val="lt-LT"/>
        </w:rPr>
        <w:tab/>
        <w:t xml:space="preserve">finansinių paslaugų techniniais standartais turėtų būti palengvinamas nuoseklus jų suderinimas ir tinkama indėlininkų apsauga visoje Sąjungoje. Su politikos pasirinkimu nesusijusių techninių reguliavimo ir įgyvendinimo standartų projektus, kuriuos priimtų </w:t>
      </w:r>
      <w:r w:rsidRPr="00E22DDE">
        <w:rPr>
          <w:lang w:val="lt-LT"/>
        </w:rPr>
        <w:lastRenderedPageBreak/>
        <w:t xml:space="preserve">Komisija, būtų veiksminga ir tinkama pavesti rengti EBA, kuri yra itin specializuotą kompetenciją turinti įstaiga; </w:t>
      </w:r>
    </w:p>
    <w:p w:rsidR="000B604B" w:rsidRPr="00E22DDE" w:rsidRDefault="000B604B" w:rsidP="004226A9">
      <w:pPr>
        <w:pStyle w:val="ManualConsidrant"/>
        <w:spacing w:line="360" w:lineRule="auto"/>
        <w:rPr>
          <w:lang w:val="lt-LT"/>
        </w:rPr>
      </w:pPr>
      <w:r w:rsidRPr="00E22DDE">
        <w:rPr>
          <w:lang w:val="lt-LT"/>
        </w:rPr>
        <w:t>(41)</w:t>
      </w:r>
      <w:r w:rsidRPr="00E22DDE">
        <w:rPr>
          <w:lang w:val="lt-LT"/>
        </w:rPr>
        <w:tab/>
        <w:t>šioje direktyvoje numatytais atvejais Komisija turėtų priimti EBI parengtus reguliavimo techninių standartų projektus priimdama deleguotuosius aktus pagal SESV 290 straipsnį, laikantis Europos Parlamento ir Tarybos reglamento (ES) Nr. 1093/2010</w:t>
      </w:r>
      <w:r w:rsidRPr="00E22DDE">
        <w:rPr>
          <w:rStyle w:val="FootnoteReference"/>
          <w:lang w:val="lt-LT"/>
        </w:rPr>
        <w:footnoteReference w:id="12"/>
      </w:r>
      <w:r w:rsidRPr="00E22DDE">
        <w:rPr>
          <w:lang w:val="lt-LT"/>
        </w:rPr>
        <w:t xml:space="preserve"> 10–14 straipsniais, kuriais nustatytų: a) techninius duomenis, susijusius su finansų įstaigų klientų nustatymu siekiant išmokėti klientų indėlius, kiekvienam klientui grąžintinų sumų sumokėjimo sąskaitos turėtojui arba tiesiogiai klientui kriterijus ir taisykles, kurias taikant išvengiama pasikartojančių reikalavimų išmokėti išmokas tam pačiam gavėjui; b) mažiausių išlaidų vertinimo metodiką ir c) turimų finansinių išteklių, įtrauktinų skaičiuojant tikslinį lygį, apskaičiavimo metodiką; </w:t>
      </w:r>
    </w:p>
    <w:p w:rsidR="000B604B" w:rsidRPr="00E22DDE" w:rsidRDefault="000B604B" w:rsidP="004226A9">
      <w:pPr>
        <w:pStyle w:val="ManualConsidrant"/>
        <w:spacing w:line="360" w:lineRule="auto"/>
        <w:rPr>
          <w:lang w:val="lt-LT"/>
        </w:rPr>
      </w:pPr>
      <w:r w:rsidRPr="00E22DDE">
        <w:rPr>
          <w:lang w:val="lt-LT"/>
        </w:rPr>
        <w:t>(42)</w:t>
      </w:r>
      <w:r w:rsidRPr="00E22DDE">
        <w:rPr>
          <w:lang w:val="lt-LT"/>
        </w:rPr>
        <w:tab/>
        <w:t>Komisijai šioje direktyvoje nurodytais atvejais turėtų būti suteikti įgaliojimai priimti EBI parengtus techninius įgyvendinimo standartų projektus ir tuo tikslu priimti įgyvendinimo aktus pagal SESV 291 straipsnį, laikantis Reglamento (ES) Nr. 1093/2010 15 straipsnio, kuriais nustatytų: a) indėlininkams perduodamo informacijos dokumento formą ir turinį ir informacijos, kurią IGS arba kredito įstaigos turi pateikti indėlininkams, šabloną; b) procedūras, kurių turi laikytis kredito įstaigos, teikdamos informaciją savo IGS, taip pat procedūras, kurių turi laikytis IGS ir paskirtos valdžios institucijos, teikdamos informaciją EBI, bei tos informacijos teikimo šablonus;</w:t>
      </w:r>
    </w:p>
    <w:p w:rsidR="000B604B" w:rsidRPr="00E22DDE" w:rsidRDefault="000B604B" w:rsidP="004226A9">
      <w:pPr>
        <w:pStyle w:val="ManualConsidrant"/>
        <w:spacing w:line="360" w:lineRule="auto"/>
        <w:rPr>
          <w:lang w:val="lt-LT"/>
        </w:rPr>
      </w:pPr>
      <w:r w:rsidRPr="00E22DDE">
        <w:rPr>
          <w:lang w:val="lt-LT"/>
        </w:rPr>
        <w:t>(43)</w:t>
      </w:r>
      <w:r w:rsidRPr="00E22DDE">
        <w:rPr>
          <w:lang w:val="lt-LT"/>
        </w:rPr>
        <w:tab/>
        <w:t>todėl reikėtų atitinkamai iš dalies pakeisti Direktyvą 2014/49/ES;</w:t>
      </w:r>
    </w:p>
    <w:p w:rsidR="000B604B" w:rsidRPr="00E22DDE" w:rsidRDefault="000B604B" w:rsidP="004226A9">
      <w:pPr>
        <w:pStyle w:val="ManualConsidrant"/>
        <w:spacing w:line="360" w:lineRule="auto"/>
        <w:rPr>
          <w:lang w:val="lt-LT"/>
        </w:rPr>
      </w:pPr>
      <w:r w:rsidRPr="00E22DDE">
        <w:rPr>
          <w:lang w:val="lt-LT"/>
        </w:rPr>
        <w:t>(44)</w:t>
      </w:r>
      <w:r w:rsidRPr="00E22DDE">
        <w:rPr>
          <w:lang w:val="lt-LT"/>
        </w:rPr>
        <w:tab/>
        <w:t xml:space="preserve">kad kredito įstaigų, kurių pagrindinės buveinės yra ne Sąjungoje, filialai, kurie nėra Sąjungoje įsteigtos IGS nariai, galėtų prisijungti prie Sąjungos IGS, tiems filialams turėtų būti suteikta pakankamai laiko imtis būtinų veiksmų, kad jie galėtų laikytis to reikalavimo; </w:t>
      </w:r>
    </w:p>
    <w:p w:rsidR="000B604B" w:rsidRPr="00E22DDE" w:rsidRDefault="000B604B" w:rsidP="004226A9">
      <w:pPr>
        <w:pStyle w:val="ManualConsidrant"/>
        <w:spacing w:line="360" w:lineRule="auto"/>
        <w:rPr>
          <w:lang w:val="lt-LT"/>
        </w:rPr>
      </w:pPr>
      <w:r w:rsidRPr="00E22DDE">
        <w:rPr>
          <w:lang w:val="lt-LT"/>
        </w:rPr>
        <w:t>(45)</w:t>
      </w:r>
      <w:r w:rsidRPr="00E22DDE">
        <w:rPr>
          <w:lang w:val="lt-LT"/>
        </w:rPr>
        <w:tab/>
        <w:t xml:space="preserve">pagal Direktyvą 2014/49/ES valstybėms narėms leidžiama IUS pripažinti IGS, jei ji atitinka Reglamento (ES) Nr. 575/2013 113 straipsnio 7 dalyje nustatytus kriterijus ir Direktyvos 2014/49/ES reikalavimus. Siekiant atsižvelgti į konkretų tų IUS verslo modelį, visų pirma į jų </w:t>
      </w:r>
      <w:r w:rsidRPr="00E22DDE">
        <w:rPr>
          <w:b/>
          <w:i/>
          <w:lang w:val="lt-LT"/>
        </w:rPr>
        <w:t>funkcijų</w:t>
      </w:r>
      <w:r w:rsidRPr="00E22DDE">
        <w:rPr>
          <w:lang w:val="lt-LT"/>
        </w:rPr>
        <w:t xml:space="preserve">, </w:t>
      </w:r>
      <w:r w:rsidRPr="00E22DDE">
        <w:rPr>
          <w:b/>
          <w:i/>
          <w:lang w:val="lt-LT"/>
        </w:rPr>
        <w:t>kurios</w:t>
      </w:r>
      <w:r w:rsidRPr="00E22DDE">
        <w:rPr>
          <w:lang w:val="lt-LT"/>
        </w:rPr>
        <w:t xml:space="preserve"> yra jų įgaliojimų pagrindas </w:t>
      </w:r>
      <w:r w:rsidRPr="00E22DDE">
        <w:rPr>
          <w:b/>
          <w:i/>
          <w:lang w:val="lt-LT"/>
        </w:rPr>
        <w:t>ir kurias jos atlieka kartu su funkcijomis, nurodytomis šioje direktyvoje</w:t>
      </w:r>
      <w:r w:rsidRPr="00E22DDE">
        <w:rPr>
          <w:lang w:val="lt-LT"/>
        </w:rPr>
        <w:t xml:space="preserve">, svarbumą, tikslinga numatyti </w:t>
      </w:r>
      <w:r w:rsidRPr="00E22DDE">
        <w:rPr>
          <w:lang w:val="lt-LT"/>
        </w:rPr>
        <w:lastRenderedPageBreak/>
        <w:t xml:space="preserve">galimybę valstybėms narėms leisti IUS </w:t>
      </w:r>
      <w:r w:rsidRPr="00E22DDE">
        <w:rPr>
          <w:b/>
          <w:i/>
          <w:lang w:val="lt-LT"/>
        </w:rPr>
        <w:t>toliau vykdyti tokias funkcijas. Be to, siekiant suteikti joms pakankamai laiko</w:t>
      </w:r>
      <w:r w:rsidRPr="00E22DDE">
        <w:rPr>
          <w:lang w:val="lt-LT"/>
        </w:rPr>
        <w:t xml:space="preserve"> prisitaikyti prie naujų </w:t>
      </w:r>
      <w:r w:rsidRPr="00E22DDE">
        <w:rPr>
          <w:b/>
          <w:i/>
          <w:lang w:val="lt-LT"/>
        </w:rPr>
        <w:t>nuostatų</w:t>
      </w:r>
      <w:r w:rsidRPr="00E22DDE">
        <w:rPr>
          <w:lang w:val="lt-LT"/>
        </w:rPr>
        <w:t xml:space="preserve">, visų pirma prevencinių priemonių taikymo apsaugos priemonių, </w:t>
      </w:r>
      <w:r w:rsidRPr="00E22DDE">
        <w:rPr>
          <w:b/>
          <w:i/>
          <w:lang w:val="lt-LT"/>
        </w:rPr>
        <w:t>IUS turėtų būti suteiktas trejų</w:t>
      </w:r>
      <w:r w:rsidRPr="00E22DDE">
        <w:rPr>
          <w:lang w:val="lt-LT"/>
        </w:rPr>
        <w:t xml:space="preserve"> metų </w:t>
      </w:r>
      <w:r w:rsidRPr="00E22DDE">
        <w:rPr>
          <w:b/>
          <w:i/>
          <w:lang w:val="lt-LT"/>
        </w:rPr>
        <w:t>pereinamasis</w:t>
      </w:r>
      <w:r w:rsidRPr="00E22DDE">
        <w:rPr>
          <w:lang w:val="lt-LT"/>
        </w:rPr>
        <w:t xml:space="preserve"> laikotarpis. </w:t>
      </w:r>
      <w:r w:rsidRPr="00E22DDE">
        <w:rPr>
          <w:b/>
          <w:i/>
          <w:lang w:val="lt-LT"/>
        </w:rPr>
        <w:t>Siekiant užtikrinti vienodas sąlygas ir išlaikyti aukštą indėlininkų apsaugos lygį, funkcijos ir užduotys, atliekamos kartu su tomis, kurios numatytos šioje direktyvoje, turėtų būti finansuojamos ne tik tiksliniu lygmeniu, bet ir papildomomis lėšomis. IUS turėtų</w:t>
      </w:r>
      <w:r w:rsidRPr="00E22DDE">
        <w:rPr>
          <w:lang w:val="lt-LT"/>
        </w:rPr>
        <w:t xml:space="preserve"> sukurti atskirą fondą IUS numatytiems tikslams</w:t>
      </w:r>
      <w:r w:rsidRPr="00E22DDE">
        <w:rPr>
          <w:b/>
          <w:i/>
          <w:lang w:val="lt-LT"/>
        </w:rPr>
        <w:t>, kurie nėra šioje direktyvoje numatytos funkcijos</w:t>
      </w:r>
      <w:r w:rsidRPr="00E22DDE">
        <w:rPr>
          <w:lang w:val="lt-LT"/>
        </w:rPr>
        <w:t xml:space="preserve">, kaip susitarė Europos Centrinis Bankas, nacionalinė kompetentinga institucija ir atitinkamos IUS; </w:t>
      </w:r>
    </w:p>
    <w:p w:rsidR="000B604B" w:rsidRPr="00E22DDE" w:rsidRDefault="000B604B" w:rsidP="004226A9">
      <w:pPr>
        <w:pStyle w:val="ManualConsidrant"/>
        <w:spacing w:line="360" w:lineRule="auto"/>
        <w:rPr>
          <w:lang w:val="lt-LT"/>
        </w:rPr>
      </w:pPr>
      <w:r w:rsidRPr="00E22DDE">
        <w:rPr>
          <w:lang w:val="lt-LT"/>
        </w:rPr>
        <w:t>(46)</w:t>
      </w:r>
      <w:r w:rsidRPr="00E22DDE">
        <w:rPr>
          <w:lang w:val="lt-LT"/>
        </w:rPr>
        <w:tab/>
        <w:t xml:space="preserve">kad IGS ir paskirtos valdžios institucijos galėtų suformuoti būtinus veiklos pajėgumus, kad galėtų taikyti naujas prevencinių priemonių naudojimo taisykles, tikslinga numatyti tų naujų taisyklių taikymo atidėjimą; </w:t>
      </w:r>
    </w:p>
    <w:p w:rsidR="000B604B" w:rsidRPr="00E22DDE" w:rsidRDefault="000B604B" w:rsidP="004226A9">
      <w:pPr>
        <w:pStyle w:val="ManualConsidrant"/>
        <w:spacing w:line="360" w:lineRule="auto"/>
        <w:rPr>
          <w:lang w:val="lt-LT"/>
        </w:rPr>
      </w:pPr>
      <w:r w:rsidRPr="00E22DDE">
        <w:rPr>
          <w:lang w:val="lt-LT"/>
        </w:rPr>
        <w:t>(47)</w:t>
      </w:r>
      <w:r w:rsidRPr="00E22DDE">
        <w:rPr>
          <w:lang w:val="lt-LT"/>
        </w:rPr>
        <w:tab/>
        <w:t>kadangi šios direktyvos tikslų, t. y. užtikrinti vienodą indėlininkų apsaugą Sąjungoje, valstybės narės negali deramai pasiekti dėl rizikos, kurią bendrosios rinkos vientisumui gali kelti skirtingi nacionaliniai metodai, o iš dalies pakeičiant Sąjungos lygmeniu jau nustatytas taisykles jų būtų geriau siekti Sąjungos lygmeniu, laikydamasi Europos Sąjungos sutarties 5 straipsnyje nustatyto subsidiarumo principo Sąjunga gali patvirtinti priemones. Pagal tame straipsnyje nustatytą proporcingumo principą šia direktyva neviršijama tai, kas būtina nurodytiems tikslams pasiekti,</w:t>
      </w:r>
    </w:p>
    <w:p w:rsidR="000B604B" w:rsidRPr="00E22DDE" w:rsidRDefault="000B604B" w:rsidP="004226A9">
      <w:pPr>
        <w:pStyle w:val="Formuledadoption"/>
        <w:spacing w:line="360" w:lineRule="auto"/>
        <w:rPr>
          <w:lang w:val="lt-LT"/>
        </w:rPr>
      </w:pPr>
      <w:r w:rsidRPr="00E22DDE">
        <w:rPr>
          <w:lang w:val="lt-LT"/>
        </w:rPr>
        <w:t>PRIĖMĖ ŠIĄ DIREKTYVĄ:</w:t>
      </w:r>
    </w:p>
    <w:p w:rsidR="000B604B" w:rsidRPr="00E22DDE" w:rsidRDefault="000B604B" w:rsidP="004226A9">
      <w:pPr>
        <w:pStyle w:val="Titrearticle"/>
        <w:spacing w:line="360" w:lineRule="auto"/>
        <w:rPr>
          <w:lang w:val="lt-LT"/>
        </w:rPr>
      </w:pPr>
      <w:r w:rsidRPr="00E22DDE">
        <w:rPr>
          <w:lang w:val="lt-LT"/>
        </w:rPr>
        <w:t>1 straipsnis</w:t>
      </w:r>
    </w:p>
    <w:p w:rsidR="000B604B" w:rsidRPr="00E22DDE" w:rsidRDefault="000B604B" w:rsidP="004226A9">
      <w:pPr>
        <w:shd w:val="clear" w:color="auto" w:fill="FFFFFF"/>
        <w:spacing w:before="60" w:line="360" w:lineRule="auto"/>
        <w:jc w:val="center"/>
        <w:rPr>
          <w:b/>
          <w:bCs/>
          <w:color w:val="000000"/>
          <w:szCs w:val="24"/>
        </w:rPr>
      </w:pPr>
      <w:r w:rsidRPr="00E22DDE">
        <w:rPr>
          <w:b/>
          <w:color w:val="000000"/>
        </w:rPr>
        <w:t xml:space="preserve">Direktyvos 2014/49/ES daliniai pakeitimai </w:t>
      </w:r>
    </w:p>
    <w:p w:rsidR="000B604B" w:rsidRPr="00E22DDE" w:rsidRDefault="000B604B" w:rsidP="004226A9">
      <w:pPr>
        <w:spacing w:line="360" w:lineRule="auto"/>
      </w:pPr>
      <w:r w:rsidRPr="00E22DDE">
        <w:t>Direktyva 2014/49/ES iš dalies keičiama taip:</w:t>
      </w:r>
    </w:p>
    <w:p w:rsidR="000B604B" w:rsidRPr="00E22DDE" w:rsidRDefault="000B604B" w:rsidP="004226A9">
      <w:pPr>
        <w:pStyle w:val="Point0"/>
        <w:spacing w:line="360" w:lineRule="auto"/>
        <w:rPr>
          <w:lang w:val="lt-LT"/>
        </w:rPr>
      </w:pPr>
      <w:r w:rsidRPr="00E22DDE">
        <w:rPr>
          <w:lang w:val="lt-LT"/>
        </w:rPr>
        <w:t>1)</w:t>
      </w:r>
      <w:r w:rsidRPr="00E22DDE">
        <w:rPr>
          <w:lang w:val="lt-LT"/>
        </w:rPr>
        <w:tab/>
        <w:t>1 straipsnis iš dalies keičiamas taip:</w:t>
      </w:r>
    </w:p>
    <w:p w:rsidR="000B604B" w:rsidRPr="00E22DDE" w:rsidRDefault="000B604B" w:rsidP="004226A9">
      <w:pPr>
        <w:pStyle w:val="Point1"/>
        <w:spacing w:line="360" w:lineRule="auto"/>
        <w:rPr>
          <w:lang w:val="lt-LT"/>
        </w:rPr>
      </w:pPr>
      <w:r w:rsidRPr="00E22DDE">
        <w:rPr>
          <w:lang w:val="lt-LT"/>
        </w:rPr>
        <w:t>a)</w:t>
      </w:r>
      <w:r w:rsidRPr="00E22DDE">
        <w:rPr>
          <w:lang w:val="lt-LT"/>
        </w:rPr>
        <w:tab/>
        <w:t>1 dalis pakeičiama taip:</w:t>
      </w:r>
    </w:p>
    <w:p w:rsidR="000B604B" w:rsidRPr="00E22DDE" w:rsidRDefault="000B604B" w:rsidP="004226A9">
      <w:pPr>
        <w:pStyle w:val="Text2"/>
        <w:spacing w:line="360" w:lineRule="auto"/>
        <w:rPr>
          <w:lang w:val="lt-LT"/>
        </w:rPr>
      </w:pPr>
      <w:r w:rsidRPr="00E22DDE">
        <w:rPr>
          <w:lang w:val="lt-LT"/>
        </w:rPr>
        <w:t>„1. Šia direktyva nustatomos su indėlių garantijų sistemų (IGS) sukūrimu ir veikimu, indėlių draudimu ir grąžinimu bei IGS lėšų naudojimu priemonėms, kuriomis siekiama užtikrinti indėlininkų galimybę naudotis savo indėliais, susijusios taisyklės ir procedūros.“;</w:t>
      </w:r>
    </w:p>
    <w:p w:rsidR="000B604B" w:rsidRPr="00E22DDE" w:rsidRDefault="000B604B" w:rsidP="004226A9">
      <w:pPr>
        <w:pStyle w:val="Point1"/>
        <w:spacing w:line="360" w:lineRule="auto"/>
        <w:rPr>
          <w:lang w:val="lt-LT"/>
        </w:rPr>
      </w:pPr>
      <w:r w:rsidRPr="00E22DDE">
        <w:rPr>
          <w:lang w:val="lt-LT"/>
        </w:rPr>
        <w:t>b)</w:t>
      </w:r>
      <w:r w:rsidRPr="00E22DDE">
        <w:rPr>
          <w:lang w:val="lt-LT"/>
        </w:rPr>
        <w:tab/>
        <w:t xml:space="preserve">2 dalies d punktas pakeičiamas taip: </w:t>
      </w:r>
    </w:p>
    <w:p w:rsidR="000B604B" w:rsidRPr="00E22DDE" w:rsidRDefault="000B604B" w:rsidP="004226A9">
      <w:pPr>
        <w:pStyle w:val="Text2"/>
        <w:spacing w:line="360" w:lineRule="auto"/>
        <w:rPr>
          <w:lang w:val="lt-LT"/>
        </w:rPr>
      </w:pPr>
      <w:r w:rsidRPr="00E22DDE">
        <w:rPr>
          <w:lang w:val="lt-LT"/>
        </w:rPr>
        <w:lastRenderedPageBreak/>
        <w:t>kredito įstaigoms ir kredito įstaigų, kurių pagrindinė buveinė yra ne Sąjungoje, filialams, dalyvaujantiems šios dalies a, b arba c punktuose nurodytose sistemose.“;</w:t>
      </w:r>
    </w:p>
    <w:p w:rsidR="000B604B" w:rsidRPr="00E22DDE" w:rsidRDefault="000B604B" w:rsidP="004226A9">
      <w:pPr>
        <w:pStyle w:val="Point0"/>
        <w:spacing w:line="360" w:lineRule="auto"/>
        <w:rPr>
          <w:lang w:val="lt-LT"/>
        </w:rPr>
      </w:pPr>
      <w:r w:rsidRPr="00E22DDE">
        <w:rPr>
          <w:lang w:val="lt-LT"/>
        </w:rPr>
        <w:t>2)</w:t>
      </w:r>
      <w:r w:rsidRPr="00E22DDE">
        <w:rPr>
          <w:lang w:val="lt-LT"/>
        </w:rPr>
        <w:tab/>
        <w:t>2 straipsnio 1 dalis iš dalies keičiama taip:</w:t>
      </w:r>
    </w:p>
    <w:p w:rsidR="000B604B" w:rsidRPr="00E22DDE" w:rsidRDefault="000B604B" w:rsidP="004226A9">
      <w:pPr>
        <w:pStyle w:val="Point1"/>
        <w:spacing w:line="360" w:lineRule="auto"/>
        <w:rPr>
          <w:lang w:val="lt-LT"/>
        </w:rPr>
      </w:pPr>
      <w:r w:rsidRPr="00E22DDE">
        <w:rPr>
          <w:lang w:val="lt-LT"/>
        </w:rPr>
        <w:t>a)</w:t>
      </w:r>
      <w:r w:rsidRPr="00E22DDE">
        <w:rPr>
          <w:lang w:val="lt-LT"/>
        </w:rPr>
        <w:tab/>
        <w:t>3 punkto įvadinė formuluotė pakeičiama taip:</w:t>
      </w:r>
    </w:p>
    <w:p w:rsidR="000B604B" w:rsidRPr="00E22DDE" w:rsidRDefault="000B604B" w:rsidP="004226A9">
      <w:pPr>
        <w:pStyle w:val="Text2"/>
        <w:spacing w:line="360" w:lineRule="auto"/>
        <w:rPr>
          <w:lang w:val="lt-LT"/>
        </w:rPr>
      </w:pPr>
      <w:r w:rsidRPr="00E22DDE">
        <w:rPr>
          <w:lang w:val="lt-LT"/>
        </w:rPr>
        <w:t>„3) indėlis – kredito likutis, atsiradęs dėl sąskaitoje paliktų lėšų arba dėl laikinų situacijų, susidariusių dėl įprastų bankinių sandorių, kredito įstaigų paprastai atliekamų vykdant savo veiklą, kurį kredito įstaiga turi grąžinti pagal taikomas teisines nuostatas ir sutartines sąlygas, įskaitant terminuotuosius indėlius ir taupomuosius indėlius, tačiau neįskaitant kredito likučio, kai:“;</w:t>
      </w:r>
    </w:p>
    <w:p w:rsidR="000B604B" w:rsidRPr="00E22DDE" w:rsidRDefault="000B604B" w:rsidP="004226A9">
      <w:pPr>
        <w:pStyle w:val="Point1"/>
        <w:spacing w:line="360" w:lineRule="auto"/>
        <w:rPr>
          <w:lang w:val="lt-LT"/>
        </w:rPr>
      </w:pPr>
      <w:r w:rsidRPr="00E22DDE">
        <w:rPr>
          <w:lang w:val="lt-LT"/>
        </w:rPr>
        <w:t>b)</w:t>
      </w:r>
      <w:r w:rsidRPr="00E22DDE">
        <w:rPr>
          <w:lang w:val="lt-LT"/>
        </w:rPr>
        <w:tab/>
        <w:t>13 punkto įvadinė formuluotė pakeičiama taip:</w:t>
      </w:r>
    </w:p>
    <w:p w:rsidR="000B604B" w:rsidRPr="00E22DDE" w:rsidRDefault="000B604B" w:rsidP="004226A9">
      <w:pPr>
        <w:pStyle w:val="Text2"/>
        <w:spacing w:line="360" w:lineRule="auto"/>
        <w:rPr>
          <w:lang w:val="lt-LT"/>
        </w:rPr>
      </w:pPr>
      <w:r w:rsidRPr="00E22DDE">
        <w:rPr>
          <w:lang w:val="lt-LT"/>
        </w:rPr>
        <w:t>„13) mokėjimo įsipareigojimas – neatšaukiamas, užstatu visiškai užtikrintas kredito įstaigos įsipareigojimas sumokėti IGS piniginę sumą, kai ta IGS pareikalauja, su sąlyga, kad:“;</w:t>
      </w:r>
    </w:p>
    <w:p w:rsidR="000B604B" w:rsidRPr="00E22DDE" w:rsidRDefault="000B604B" w:rsidP="004226A9">
      <w:pPr>
        <w:pStyle w:val="Point1"/>
        <w:spacing w:line="360" w:lineRule="auto"/>
        <w:rPr>
          <w:lang w:val="lt-LT"/>
        </w:rPr>
      </w:pPr>
      <w:r w:rsidRPr="00E22DDE">
        <w:rPr>
          <w:lang w:val="lt-LT"/>
        </w:rPr>
        <w:t>c)</w:t>
      </w:r>
      <w:r w:rsidRPr="00E22DDE">
        <w:rPr>
          <w:lang w:val="lt-LT"/>
        </w:rPr>
        <w:tab/>
        <w:t xml:space="preserve">įterpiami šie 19–23 punktai: </w:t>
      </w:r>
    </w:p>
    <w:p w:rsidR="000B604B" w:rsidRPr="00E22DDE" w:rsidRDefault="000B604B" w:rsidP="004226A9">
      <w:pPr>
        <w:pStyle w:val="Text2"/>
        <w:spacing w:line="360" w:lineRule="auto"/>
        <w:rPr>
          <w:lang w:val="lt-LT"/>
        </w:rPr>
      </w:pPr>
      <w:r w:rsidRPr="00E22DDE">
        <w:rPr>
          <w:lang w:val="lt-LT"/>
        </w:rPr>
        <w:t>„19) pertvarkymo institucija – Direktyvos 2014/59/ES 2 straipsnio 18 punkte apibrėžta pertvarkymo institucija;</w:t>
      </w:r>
    </w:p>
    <w:p w:rsidR="000B604B" w:rsidRPr="00E22DDE" w:rsidRDefault="000B604B" w:rsidP="004226A9">
      <w:pPr>
        <w:pStyle w:val="Text2"/>
        <w:spacing w:line="360" w:lineRule="auto"/>
        <w:rPr>
          <w:lang w:val="lt-LT"/>
        </w:rPr>
      </w:pPr>
      <w:r w:rsidRPr="00E22DDE">
        <w:rPr>
          <w:lang w:val="lt-LT"/>
        </w:rPr>
        <w:t>20) klientų indėliai – lėšos, kurias sąskaitos turėtojai, kurie yra finansų įstaigos, apibrėžtos Reglamento (ES) Nr. 575/2013 4 straipsnio 1 dalies 26 punkte, vykdydami veiklą deponuoja kredito įstaigoje į savo klientų sąskaitą;</w:t>
      </w:r>
    </w:p>
    <w:p w:rsidR="000B604B" w:rsidRPr="00E22DDE" w:rsidRDefault="000B604B" w:rsidP="004226A9">
      <w:pPr>
        <w:pStyle w:val="Text2"/>
        <w:spacing w:line="360" w:lineRule="auto"/>
        <w:rPr>
          <w:lang w:val="lt-LT"/>
        </w:rPr>
      </w:pPr>
      <w:r w:rsidRPr="00E22DDE">
        <w:rPr>
          <w:lang w:val="lt-LT"/>
        </w:rPr>
        <w:t>21) Sąjungos valstybės pagalbos sistema – sistema, nustatyta SESV 107, 108 bei 109 straipsniais ir reguliavimo teisės aktais, taip pat visais Sąjungos teisės aktais, įskaitant gaires, komunikatus ir pranešimus, priimtais pagal SESV 108 straipsnio 4 dalį arba 109 straipsnį;</w:t>
      </w:r>
    </w:p>
    <w:p w:rsidR="000B604B" w:rsidRPr="00E22DDE" w:rsidRDefault="000B604B" w:rsidP="004226A9">
      <w:pPr>
        <w:pStyle w:val="Text2"/>
        <w:spacing w:line="360" w:lineRule="auto"/>
        <w:rPr>
          <w:lang w:val="lt-LT"/>
        </w:rPr>
      </w:pPr>
      <w:r w:rsidRPr="00E22DDE">
        <w:rPr>
          <w:lang w:val="lt-LT"/>
        </w:rPr>
        <w:t>22) pinigų plovimas – [įrašyti nuorodą – pasiūlymas dėl Kovos su pinigų plovimu reglamento, COM(2021) 420 final]* 2 straipsnio 1 punkte apibrėžtas pinigų plovimas;</w:t>
      </w:r>
    </w:p>
    <w:p w:rsidR="000B604B" w:rsidRPr="00E22DDE" w:rsidRDefault="000B604B" w:rsidP="004226A9">
      <w:pPr>
        <w:pStyle w:val="Text2"/>
        <w:spacing w:line="360" w:lineRule="auto"/>
        <w:rPr>
          <w:lang w:val="lt-LT"/>
        </w:rPr>
      </w:pPr>
      <w:r w:rsidRPr="00E22DDE">
        <w:rPr>
          <w:lang w:val="lt-LT"/>
        </w:rPr>
        <w:t>23) terorizmo finansavimas – [įrašyti nuorodą – pasiūlymas dėl Kovos su pinigų plovimu reglamento, COM(2021) 420 final**] 2 straipsnio 2 punkte apibrėžtas terorizmo finansavimas. “;</w:t>
      </w:r>
    </w:p>
    <w:p w:rsidR="000B604B" w:rsidRPr="00E22DDE" w:rsidRDefault="000B604B" w:rsidP="004226A9">
      <w:pPr>
        <w:pStyle w:val="Point1"/>
        <w:spacing w:line="360" w:lineRule="auto"/>
        <w:rPr>
          <w:lang w:val="lt-LT"/>
        </w:rPr>
      </w:pPr>
      <w:r w:rsidRPr="00E22DDE">
        <w:rPr>
          <w:lang w:val="lt-LT"/>
        </w:rPr>
        <w:lastRenderedPageBreak/>
        <w:t>d)</w:t>
      </w:r>
      <w:r w:rsidRPr="00E22DDE">
        <w:rPr>
          <w:lang w:val="lt-LT"/>
        </w:rPr>
        <w:tab/>
        <w:t xml:space="preserve">3 dalis pakeičiama taip: </w:t>
      </w:r>
    </w:p>
    <w:p w:rsidR="000B604B" w:rsidRPr="00E22DDE" w:rsidRDefault="000B604B" w:rsidP="004226A9">
      <w:pPr>
        <w:pStyle w:val="Text2"/>
        <w:spacing w:line="360" w:lineRule="auto"/>
        <w:rPr>
          <w:lang w:val="lt-LT"/>
        </w:rPr>
      </w:pPr>
      <w:r w:rsidRPr="00E22DDE">
        <w:rPr>
          <w:lang w:val="lt-LT"/>
        </w:rPr>
        <w:t>„3. Airijos statybos draugijų akcijos, išskyrus 5 straipsnio 1 dalies b punkte nurodytas kapitalo savybių turinčias akcijas, laikomos indėliais.</w:t>
      </w:r>
    </w:p>
    <w:p w:rsidR="000B604B" w:rsidRPr="00E22DDE" w:rsidRDefault="000B604B" w:rsidP="00C109BB">
      <w:pPr>
        <w:spacing w:line="360" w:lineRule="auto"/>
        <w:ind w:left="1418"/>
      </w:pPr>
      <w:r w:rsidRPr="00E22DDE">
        <w:t>____________</w:t>
      </w:r>
      <w:r w:rsidR="00C109BB" w:rsidRPr="00E22DDE">
        <w:t>_______________</w:t>
      </w:r>
    </w:p>
    <w:p w:rsidR="000B604B" w:rsidRPr="00E22DDE" w:rsidRDefault="000B604B" w:rsidP="00C109BB">
      <w:pPr>
        <w:pStyle w:val="Text2"/>
        <w:spacing w:line="360" w:lineRule="auto"/>
        <w:ind w:left="1985" w:hanging="568"/>
        <w:rPr>
          <w:lang w:val="lt-LT"/>
        </w:rPr>
      </w:pPr>
      <w:r w:rsidRPr="00E22DDE">
        <w:rPr>
          <w:lang w:val="lt-LT"/>
        </w:rPr>
        <w:t>*</w:t>
      </w:r>
      <w:r w:rsidRPr="00E22DDE">
        <w:rPr>
          <w:lang w:val="lt-LT"/>
        </w:rPr>
        <w:tab/>
        <w:t>[Įrašyti visą nuorodą – pasiūlymas dėl Kovos su pinigų plovimu reglamento, COM(2021) 420 final].</w:t>
      </w:r>
    </w:p>
    <w:p w:rsidR="000B604B" w:rsidRPr="00E22DDE" w:rsidRDefault="000B604B" w:rsidP="00C109BB">
      <w:pPr>
        <w:pStyle w:val="Text2"/>
        <w:spacing w:line="360" w:lineRule="auto"/>
        <w:ind w:left="1985" w:hanging="568"/>
        <w:rPr>
          <w:lang w:val="lt-LT"/>
        </w:rPr>
      </w:pPr>
      <w:r w:rsidRPr="00E22DDE">
        <w:rPr>
          <w:lang w:val="lt-LT"/>
        </w:rPr>
        <w:t>**</w:t>
      </w:r>
      <w:r w:rsidRPr="00E22DDE">
        <w:rPr>
          <w:lang w:val="lt-LT"/>
        </w:rPr>
        <w:tab/>
        <w:t>[Įrašyti visą nuorodą – pasiūlymas dėl Kovos su pinigų plovimu reglamento, COM(2021) 420 final].“;</w:t>
      </w:r>
    </w:p>
    <w:p w:rsidR="000B604B" w:rsidRPr="00E22DDE" w:rsidRDefault="000B604B" w:rsidP="004226A9">
      <w:pPr>
        <w:pStyle w:val="Point0"/>
        <w:spacing w:line="360" w:lineRule="auto"/>
        <w:rPr>
          <w:lang w:val="lt-LT"/>
        </w:rPr>
      </w:pPr>
      <w:r w:rsidRPr="00E22DDE">
        <w:rPr>
          <w:lang w:val="lt-LT"/>
        </w:rPr>
        <w:t>3)</w:t>
      </w:r>
      <w:r w:rsidRPr="00E22DDE">
        <w:rPr>
          <w:lang w:val="lt-LT"/>
        </w:rPr>
        <w:tab/>
        <w:t xml:space="preserve">4 straipsnis iš dalies keičiamas taip: </w:t>
      </w:r>
    </w:p>
    <w:p w:rsidR="000B604B" w:rsidRPr="00E22DDE" w:rsidRDefault="000B604B" w:rsidP="004226A9">
      <w:pPr>
        <w:pStyle w:val="Point1"/>
        <w:spacing w:line="360" w:lineRule="auto"/>
        <w:rPr>
          <w:b/>
          <w:i/>
          <w:lang w:val="lt-LT"/>
        </w:rPr>
      </w:pPr>
      <w:r w:rsidRPr="00E22DDE">
        <w:rPr>
          <w:b/>
          <w:i/>
          <w:lang w:val="lt-LT"/>
        </w:rPr>
        <w:t xml:space="preserve">-a) </w:t>
      </w:r>
      <w:r w:rsidRPr="00E22DDE">
        <w:rPr>
          <w:b/>
          <w:i/>
          <w:lang w:val="lt-LT"/>
        </w:rPr>
        <w:tab/>
        <w:t>2 dalis pakeičiama taip:</w:t>
      </w:r>
    </w:p>
    <w:p w:rsidR="000B604B" w:rsidRPr="00E22DDE" w:rsidRDefault="000B604B" w:rsidP="004226A9">
      <w:pPr>
        <w:pStyle w:val="Point1"/>
        <w:spacing w:line="360" w:lineRule="auto"/>
        <w:ind w:firstLine="1"/>
        <w:rPr>
          <w:b/>
          <w:i/>
          <w:lang w:val="lt-LT"/>
        </w:rPr>
      </w:pPr>
      <w:r w:rsidRPr="00E22DDE">
        <w:rPr>
          <w:b/>
          <w:i/>
          <w:lang w:val="lt-LT"/>
        </w:rPr>
        <w:t>„2. Šios direktyvos 1 straipsnio 2 dalies b punkte nurodyta sutartinė sistema gali būti oficialiai pripažįstama kaip IGS, jei ji atitinka šią direktyvą.</w:t>
      </w:r>
    </w:p>
    <w:p w:rsidR="000B604B" w:rsidRPr="00E22DDE" w:rsidRDefault="000B604B" w:rsidP="004226A9">
      <w:pPr>
        <w:pStyle w:val="Point1"/>
        <w:spacing w:line="360" w:lineRule="auto"/>
        <w:ind w:firstLine="1"/>
        <w:rPr>
          <w:b/>
          <w:i/>
          <w:lang w:val="lt-LT"/>
        </w:rPr>
      </w:pPr>
      <w:r w:rsidRPr="00E22DDE">
        <w:rPr>
          <w:b/>
          <w:i/>
          <w:lang w:val="lt-LT"/>
        </w:rPr>
        <w:t>IUS gali būti oficialiai pripažįstama kaip IGS, jei ji atitinka Reglamento (ES) Nr. 575/2013 113 straipsnio 7 dalyje nustatytus kriterijus ir šią direktyvą.</w:t>
      </w:r>
    </w:p>
    <w:p w:rsidR="000B604B" w:rsidRPr="00E22DDE" w:rsidRDefault="000B604B" w:rsidP="004226A9">
      <w:pPr>
        <w:pStyle w:val="Point1"/>
        <w:spacing w:line="360" w:lineRule="auto"/>
        <w:ind w:firstLine="1"/>
        <w:rPr>
          <w:b/>
          <w:i/>
          <w:lang w:val="lt-LT"/>
        </w:rPr>
      </w:pPr>
      <w:r w:rsidRPr="00E22DDE">
        <w:rPr>
          <w:b/>
          <w:i/>
          <w:lang w:val="lt-LT"/>
        </w:rPr>
        <w:t>Valstybės narės užtikrina, kad ne vėliau kaip... [36 mėnesiai nuo šios iš dalies keičiančios direktyvos įsigaliojimo dienos], IUS, pripažinta kaip IGS pagal šią dalį, atskirtų savo turimus finansinius išteklius, kuriems taikomas tikslinis lygis pagal šios direktyvos 10 straipsnio 2 dalį, nuo papildomų finansinių priemonių, kuriomis siekiama įgyvendinti savo įgaliojimus, kurie nėra reglamentuojami pagal šią direktyvą.“;</w:t>
      </w:r>
    </w:p>
    <w:p w:rsidR="000B604B" w:rsidRPr="00E22DDE" w:rsidRDefault="000B604B" w:rsidP="004226A9">
      <w:pPr>
        <w:pStyle w:val="Point1"/>
        <w:spacing w:line="360" w:lineRule="auto"/>
        <w:rPr>
          <w:lang w:val="lt-LT"/>
        </w:rPr>
      </w:pPr>
      <w:r w:rsidRPr="00E22DDE">
        <w:rPr>
          <w:lang w:val="lt-LT"/>
        </w:rPr>
        <w:t>a)</w:t>
      </w:r>
      <w:r w:rsidRPr="00E22DDE">
        <w:rPr>
          <w:lang w:val="lt-LT"/>
        </w:rPr>
        <w:tab/>
        <w:t>4 dalis pakeičiama taip:</w:t>
      </w:r>
    </w:p>
    <w:p w:rsidR="000B604B" w:rsidRPr="00E22DDE" w:rsidRDefault="000B604B" w:rsidP="004226A9">
      <w:pPr>
        <w:pStyle w:val="Text2"/>
        <w:spacing w:line="360" w:lineRule="auto"/>
        <w:rPr>
          <w:lang w:val="lt-LT"/>
        </w:rPr>
      </w:pPr>
      <w:r w:rsidRPr="00E22DDE">
        <w:rPr>
          <w:lang w:val="lt-LT"/>
        </w:rPr>
        <w:t xml:space="preserve">„4. Valstybės narės užtikrina, kad tais atvejais, kai kredito įstaiga nevykdo savo, kaip IGS narės, įsipareigojimų, ta IGS nedelsdama apie tai praneša tos kredito įstaigos </w:t>
      </w:r>
      <w:r w:rsidRPr="00E22DDE">
        <w:rPr>
          <w:b/>
          <w:i/>
          <w:color w:val="000000"/>
          <w:lang w:val="lt-LT"/>
        </w:rPr>
        <w:t>paskirtai valdžios institucijai ir</w:t>
      </w:r>
      <w:r w:rsidRPr="00E22DDE">
        <w:rPr>
          <w:lang w:val="lt-LT"/>
        </w:rPr>
        <w:t xml:space="preserve"> kompetentingai valdžios institucijai. </w:t>
      </w:r>
    </w:p>
    <w:p w:rsidR="000B604B" w:rsidRPr="00E22DDE" w:rsidRDefault="000B604B" w:rsidP="004226A9">
      <w:pPr>
        <w:pStyle w:val="Text2"/>
        <w:spacing w:line="360" w:lineRule="auto"/>
        <w:rPr>
          <w:lang w:val="lt-LT"/>
        </w:rPr>
      </w:pPr>
      <w:r w:rsidRPr="00E22DDE">
        <w:rPr>
          <w:lang w:val="lt-LT"/>
        </w:rPr>
        <w:t xml:space="preserve">Valstybės narės užtikrina, kad kompetentinga institucija, bendradarbiaudama su </w:t>
      </w:r>
      <w:r w:rsidRPr="00E22DDE">
        <w:rPr>
          <w:b/>
          <w:i/>
          <w:color w:val="000000"/>
          <w:lang w:val="lt-LT"/>
        </w:rPr>
        <w:t>paskirta valdžios institucija</w:t>
      </w:r>
      <w:r w:rsidRPr="00E22DDE">
        <w:rPr>
          <w:lang w:val="lt-LT"/>
        </w:rPr>
        <w:t xml:space="preserve">, sparčiai imtųsi visų </w:t>
      </w:r>
      <w:r w:rsidRPr="00E22DDE">
        <w:rPr>
          <w:b/>
          <w:i/>
          <w:color w:val="000000"/>
          <w:lang w:val="lt-LT"/>
        </w:rPr>
        <w:t>tinkamų</w:t>
      </w:r>
      <w:r w:rsidRPr="00E22DDE">
        <w:rPr>
          <w:lang w:val="lt-LT"/>
        </w:rPr>
        <w:t xml:space="preserve"> priemonių, </w:t>
      </w:r>
      <w:r w:rsidRPr="00E22DDE">
        <w:rPr>
          <w:b/>
          <w:i/>
          <w:color w:val="000000"/>
          <w:lang w:val="lt-LT"/>
        </w:rPr>
        <w:t>įskaitant, jei reikia, nuobaudų skyrimą,</w:t>
      </w:r>
      <w:r w:rsidRPr="00E22DDE">
        <w:rPr>
          <w:lang w:val="lt-LT"/>
        </w:rPr>
        <w:t xml:space="preserve"> siekdama užtikrinti, kad atitinkama kredito įstaiga vykdytų savo</w:t>
      </w:r>
      <w:r w:rsidRPr="00E22DDE">
        <w:rPr>
          <w:b/>
          <w:i/>
          <w:color w:val="000000"/>
          <w:lang w:val="lt-LT"/>
        </w:rPr>
        <w:t>, kaip IGS narės,</w:t>
      </w:r>
      <w:r w:rsidRPr="00E22DDE">
        <w:rPr>
          <w:lang w:val="lt-LT"/>
        </w:rPr>
        <w:t xml:space="preserve"> pareigas.</w:t>
      </w:r>
      <w:r w:rsidRPr="00E22DDE">
        <w:rPr>
          <w:rFonts w:ascii="Arial" w:hAnsi="Arial"/>
          <w:lang w:val="lt-LT"/>
        </w:rPr>
        <w:t xml:space="preserve"> ▌</w:t>
      </w:r>
    </w:p>
    <w:p w:rsidR="000B604B" w:rsidRPr="00E22DDE" w:rsidRDefault="000B604B" w:rsidP="004226A9">
      <w:pPr>
        <w:pStyle w:val="Text2"/>
        <w:spacing w:line="360" w:lineRule="auto"/>
        <w:rPr>
          <w:lang w:val="lt-LT"/>
        </w:rPr>
      </w:pPr>
      <w:r w:rsidRPr="00E22DDE">
        <w:rPr>
          <w:b/>
          <w:i/>
          <w:color w:val="000000"/>
          <w:lang w:val="lt-LT"/>
        </w:rPr>
        <w:lastRenderedPageBreak/>
        <w:t xml:space="preserve">Valstybės narės nustato taisykles dėl nuobaudų, taikomų kredito įstaigoms, kai jos nevykdo joms, kaip IGS narėms, tenkančių pareigų. </w:t>
      </w:r>
      <w:r w:rsidRPr="00E22DDE">
        <w:rPr>
          <w:b/>
          <w:i/>
          <w:lang w:val="lt-LT"/>
        </w:rPr>
        <w:t>Nuobaudos turi būti veiksmingos, proporcingos ir atgrasančios.</w:t>
      </w:r>
      <w:r w:rsidRPr="00E22DDE">
        <w:rPr>
          <w:lang w:val="lt-LT"/>
        </w:rPr>
        <w:t>“;</w:t>
      </w:r>
    </w:p>
    <w:p w:rsidR="000B604B" w:rsidRPr="00E22DDE" w:rsidRDefault="000B604B" w:rsidP="004226A9">
      <w:pPr>
        <w:pStyle w:val="Point1"/>
        <w:spacing w:line="360" w:lineRule="auto"/>
        <w:rPr>
          <w:lang w:val="lt-LT"/>
        </w:rPr>
      </w:pPr>
      <w:r w:rsidRPr="00E22DDE">
        <w:rPr>
          <w:lang w:val="lt-LT"/>
        </w:rPr>
        <w:t>b)</w:t>
      </w:r>
      <w:r w:rsidRPr="00E22DDE">
        <w:rPr>
          <w:lang w:val="lt-LT"/>
        </w:rPr>
        <w:tab/>
        <w:t>įterpiama 4a dalis:</w:t>
      </w:r>
    </w:p>
    <w:p w:rsidR="000B604B" w:rsidRPr="00E22DDE" w:rsidRDefault="000B604B" w:rsidP="004226A9">
      <w:pPr>
        <w:pStyle w:val="Text2"/>
        <w:spacing w:line="360" w:lineRule="auto"/>
        <w:rPr>
          <w:lang w:val="lt-LT"/>
        </w:rPr>
      </w:pPr>
      <w:r w:rsidRPr="00E22DDE">
        <w:rPr>
          <w:lang w:val="lt-LT"/>
        </w:rPr>
        <w:t>„4a. Valstybės narės užtikrina, kad tais atvejais, kai kredito įstaiga nesumoka 10 straipsnyje ir 11 straipsnio 4 dalyje nurodytų įnašų per IGS nustatytą laikotarpį, ta IGS vėlavimo laikotarpiu mokėtinai sumai taikytų teisės aktais nustatytą palūkanų normą.“;</w:t>
      </w:r>
    </w:p>
    <w:p w:rsidR="000B604B" w:rsidRPr="00E22DDE" w:rsidRDefault="000B604B" w:rsidP="004226A9">
      <w:pPr>
        <w:pStyle w:val="Point1"/>
        <w:spacing w:line="360" w:lineRule="auto"/>
        <w:rPr>
          <w:lang w:val="lt-LT"/>
        </w:rPr>
      </w:pPr>
      <w:r w:rsidRPr="00E22DDE">
        <w:rPr>
          <w:lang w:val="lt-LT"/>
        </w:rPr>
        <w:t>c)</w:t>
      </w:r>
      <w:r w:rsidRPr="00E22DDE">
        <w:rPr>
          <w:lang w:val="lt-LT"/>
        </w:rPr>
        <w:tab/>
        <w:t>5 ir 6 dalys pakeičiamos taip:</w:t>
      </w:r>
    </w:p>
    <w:p w:rsidR="000B604B" w:rsidRPr="00E22DDE" w:rsidRDefault="000B604B" w:rsidP="004226A9">
      <w:pPr>
        <w:pStyle w:val="Text2"/>
        <w:spacing w:line="360" w:lineRule="auto"/>
        <w:rPr>
          <w:lang w:val="lt-LT"/>
        </w:rPr>
      </w:pPr>
      <w:r w:rsidRPr="00E22DDE">
        <w:rPr>
          <w:lang w:val="lt-LT"/>
        </w:rPr>
        <w:t>„5. Valstybės narės užtikrina, kad IGS informuotų paskirtą valdžios instituciją, kai pritaikius 4 ir 4a dalyse nurodytas priemones kredito įstaiga toliau nevykdo savo įsipareigojimų. Valstybės narės užtikrina, kad paskirta valdžios institucija įvertintų, ar įstaiga vis dar atitinka sąlygas, kad galėtų toliau būti IGS nare, ir informuotų kompetentingą valdžios instituciją apie to vertinimo rezultatus.</w:t>
      </w:r>
    </w:p>
    <w:p w:rsidR="000B604B" w:rsidRPr="00E22DDE" w:rsidRDefault="000B604B" w:rsidP="004226A9">
      <w:pPr>
        <w:pStyle w:val="Text2"/>
        <w:spacing w:line="360" w:lineRule="auto"/>
        <w:rPr>
          <w:lang w:val="lt-LT"/>
        </w:rPr>
      </w:pPr>
      <w:r w:rsidRPr="00E22DDE">
        <w:rPr>
          <w:lang w:val="lt-LT"/>
        </w:rPr>
        <w:t xml:space="preserve">6. Valstybės narės užtikrina, kad kompetentingai valdžios institucijai nusprendus panaikinti veiklos leidimą pagal Direktyvos 2013/36/ES 18 straipsnį, kredito įstaiga nustotų būti IGS nare. Valstybės narės užtikrina, kad tą dieną, kai kredito įstaiga nustoja būti IGS nare, joje laikomi indėliai ir toliau būtų apdrausti tos IGS </w:t>
      </w:r>
      <w:r w:rsidRPr="00E22DDE">
        <w:rPr>
          <w:b/>
          <w:i/>
          <w:color w:val="000000"/>
          <w:lang w:val="lt-LT"/>
        </w:rPr>
        <w:t>ne ilgiau kaip šešis mėnesius</w:t>
      </w:r>
      <w:r w:rsidRPr="00E22DDE">
        <w:rPr>
          <w:lang w:val="lt-LT"/>
        </w:rPr>
        <w:t>.“;</w:t>
      </w:r>
    </w:p>
    <w:p w:rsidR="000B604B" w:rsidRPr="00E22DDE" w:rsidRDefault="000B604B" w:rsidP="004226A9">
      <w:pPr>
        <w:tabs>
          <w:tab w:val="left" w:pos="1418"/>
          <w:tab w:val="left" w:pos="1843"/>
        </w:tabs>
        <w:autoSpaceDE w:val="0"/>
        <w:autoSpaceDN w:val="0"/>
        <w:adjustRightInd w:val="0"/>
        <w:spacing w:after="120" w:line="360" w:lineRule="auto"/>
        <w:ind w:left="130" w:firstLine="720"/>
        <w:jc w:val="both"/>
        <w:rPr>
          <w:b/>
          <w:i/>
          <w:color w:val="000000"/>
        </w:rPr>
      </w:pPr>
      <w:r w:rsidRPr="00E22DDE">
        <w:rPr>
          <w:b/>
          <w:i/>
          <w:color w:val="000000"/>
        </w:rPr>
        <w:t>ca)</w:t>
      </w:r>
      <w:r w:rsidRPr="00E22DDE">
        <w:rPr>
          <w:b/>
          <w:i/>
          <w:color w:val="000000"/>
        </w:rPr>
        <w:tab/>
        <w:t>7 dalis papildoma šia pastraipa:</w:t>
      </w:r>
    </w:p>
    <w:p w:rsidR="000B604B" w:rsidRPr="00E22DDE" w:rsidRDefault="000B604B" w:rsidP="004226A9">
      <w:pPr>
        <w:pStyle w:val="Text2"/>
        <w:spacing w:line="360" w:lineRule="auto"/>
        <w:rPr>
          <w:lang w:val="lt-LT"/>
        </w:rPr>
      </w:pPr>
      <w:r w:rsidRPr="00E22DDE">
        <w:rPr>
          <w:b/>
          <w:i/>
          <w:color w:val="000000"/>
          <w:lang w:val="lt-LT"/>
        </w:rPr>
        <w:t>„Paskirtosios valdžios institucijos turi būtinus vykdymo užtikrinimo įgaliojimus, įskaitant įgaliojimus skirti nuobaudas ar kitas administracinio poveikio priemones, kad IGS ištaisytų šios direktyvos pažeidimus.“;</w:t>
      </w:r>
    </w:p>
    <w:p w:rsidR="000B604B" w:rsidRPr="00E22DDE" w:rsidRDefault="000B604B" w:rsidP="004226A9">
      <w:pPr>
        <w:pStyle w:val="Point1"/>
        <w:spacing w:line="360" w:lineRule="auto"/>
        <w:rPr>
          <w:lang w:val="lt-LT"/>
        </w:rPr>
      </w:pPr>
      <w:r w:rsidRPr="00E22DDE">
        <w:rPr>
          <w:lang w:val="lt-LT"/>
        </w:rPr>
        <w:t>d)</w:t>
      </w:r>
      <w:r w:rsidRPr="00E22DDE">
        <w:rPr>
          <w:lang w:val="lt-LT"/>
        </w:rPr>
        <w:tab/>
        <w:t>8 dalis išbraukiama;</w:t>
      </w:r>
    </w:p>
    <w:p w:rsidR="000B604B" w:rsidRPr="00E22DDE" w:rsidRDefault="000B604B" w:rsidP="004226A9">
      <w:pPr>
        <w:pStyle w:val="Point1"/>
        <w:spacing w:line="360" w:lineRule="auto"/>
        <w:rPr>
          <w:lang w:val="lt-LT"/>
        </w:rPr>
      </w:pPr>
      <w:r w:rsidRPr="00E22DDE">
        <w:rPr>
          <w:lang w:val="lt-LT"/>
        </w:rPr>
        <w:t>e)</w:t>
      </w:r>
      <w:r w:rsidRPr="00E22DDE">
        <w:rPr>
          <w:lang w:val="lt-LT"/>
        </w:rPr>
        <w:tab/>
        <w:t>įterpiama 13 dalis:</w:t>
      </w:r>
    </w:p>
    <w:p w:rsidR="000B604B" w:rsidRPr="00E22DDE" w:rsidRDefault="000B604B" w:rsidP="004226A9">
      <w:pPr>
        <w:pStyle w:val="Text2"/>
        <w:spacing w:line="360" w:lineRule="auto"/>
        <w:rPr>
          <w:lang w:val="lt-LT"/>
        </w:rPr>
      </w:pPr>
      <w:r w:rsidRPr="00E22DDE">
        <w:rPr>
          <w:lang w:val="lt-LT"/>
        </w:rPr>
        <w:t xml:space="preserve">„13. ▌EBI parengia </w:t>
      </w:r>
      <w:r w:rsidRPr="00E22DDE">
        <w:rPr>
          <w:b/>
          <w:i/>
          <w:lang w:val="lt-LT"/>
        </w:rPr>
        <w:t>techninių reguliavimo standartų projektus</w:t>
      </w:r>
      <w:r w:rsidRPr="00E22DDE">
        <w:rPr>
          <w:lang w:val="lt-LT"/>
        </w:rPr>
        <w:t xml:space="preserve"> dėl 10 dalyje nurodyto testavimo nepalankiausiomis sąlygomis apimties, turinio ir procedūrų.</w:t>
      </w:r>
    </w:p>
    <w:p w:rsidR="000B604B" w:rsidRPr="00E22DDE" w:rsidRDefault="000B604B" w:rsidP="004226A9">
      <w:pPr>
        <w:pStyle w:val="Text1"/>
        <w:tabs>
          <w:tab w:val="left" w:pos="1843"/>
        </w:tabs>
        <w:spacing w:line="360" w:lineRule="auto"/>
        <w:ind w:left="1418"/>
        <w:rPr>
          <w:b/>
          <w:i/>
          <w:color w:val="000000"/>
          <w:lang w:val="lt-LT"/>
        </w:rPr>
      </w:pPr>
      <w:r w:rsidRPr="00E22DDE">
        <w:rPr>
          <w:b/>
          <w:i/>
          <w:color w:val="000000"/>
          <w:lang w:val="lt-LT"/>
        </w:rPr>
        <w:t>EBI tuos techninių reguliavimo standartų projektus Komisijai pateikia ne vėliau kaip ... [24 mėnesiai nuo šios iš dalies keičiančios direktyvos įsigaliojimo dienos].</w:t>
      </w:r>
    </w:p>
    <w:p w:rsidR="000B604B" w:rsidRPr="00E22DDE" w:rsidRDefault="000B604B" w:rsidP="004226A9">
      <w:pPr>
        <w:pStyle w:val="Text2"/>
        <w:spacing w:line="360" w:lineRule="auto"/>
        <w:rPr>
          <w:lang w:val="lt-LT"/>
        </w:rPr>
      </w:pPr>
      <w:r w:rsidRPr="00E22DDE">
        <w:rPr>
          <w:b/>
          <w:i/>
          <w:color w:val="000000"/>
          <w:lang w:val="lt-LT"/>
        </w:rPr>
        <w:lastRenderedPageBreak/>
        <w:t>Komisijai deleguojami įgaliojimai papildyti šią direktyvą priimant šios dalies pirmoje pastraipoje nurodytus techninius reguliavimo standartus pagal Reglamento (ES) Nr. 1093/2010 10–14 straipsnius.</w:t>
      </w:r>
      <w:r w:rsidRPr="00E22DDE">
        <w:rPr>
          <w:color w:val="000000"/>
          <w:lang w:val="lt-LT"/>
        </w:rPr>
        <w:t>“;</w:t>
      </w:r>
    </w:p>
    <w:p w:rsidR="000B604B" w:rsidRPr="00E22DDE" w:rsidRDefault="000B604B" w:rsidP="004226A9">
      <w:pPr>
        <w:pStyle w:val="Point0"/>
        <w:spacing w:line="360" w:lineRule="auto"/>
        <w:rPr>
          <w:lang w:val="lt-LT"/>
        </w:rPr>
      </w:pPr>
      <w:r w:rsidRPr="00E22DDE">
        <w:rPr>
          <w:lang w:val="lt-LT"/>
        </w:rPr>
        <w:t>4)</w:t>
      </w:r>
      <w:r w:rsidRPr="00E22DDE">
        <w:rPr>
          <w:lang w:val="lt-LT"/>
        </w:rPr>
        <w:tab/>
        <w:t xml:space="preserve">5 straipsnis iš dalies keičiamas taip: </w:t>
      </w:r>
    </w:p>
    <w:p w:rsidR="000B604B" w:rsidRPr="00E22DDE" w:rsidRDefault="000B604B" w:rsidP="004226A9">
      <w:pPr>
        <w:pStyle w:val="Point1"/>
        <w:spacing w:line="360" w:lineRule="auto"/>
        <w:rPr>
          <w:lang w:val="lt-LT"/>
        </w:rPr>
      </w:pPr>
      <w:r w:rsidRPr="00E22DDE">
        <w:rPr>
          <w:lang w:val="lt-LT"/>
        </w:rPr>
        <w:t>a)</w:t>
      </w:r>
      <w:r w:rsidRPr="00E22DDE">
        <w:rPr>
          <w:lang w:val="lt-LT"/>
        </w:rPr>
        <w:tab/>
        <w:t>1 dalis iš dalies keičiama taip:</w:t>
      </w:r>
    </w:p>
    <w:p w:rsidR="000B604B" w:rsidRPr="00E22DDE" w:rsidRDefault="000B604B" w:rsidP="004226A9">
      <w:pPr>
        <w:pStyle w:val="Point2"/>
        <w:spacing w:line="360" w:lineRule="auto"/>
        <w:rPr>
          <w:lang w:val="lt-LT"/>
        </w:rPr>
      </w:pPr>
      <w:r w:rsidRPr="00E22DDE">
        <w:rPr>
          <w:lang w:val="lt-LT"/>
        </w:rPr>
        <w:t>i)</w:t>
      </w:r>
      <w:r w:rsidRPr="00E22DDE">
        <w:rPr>
          <w:lang w:val="lt-LT"/>
        </w:rPr>
        <w:tab/>
        <w:t>įvadinė formuluotė pakeičiama taip:</w:t>
      </w:r>
    </w:p>
    <w:p w:rsidR="000B604B" w:rsidRPr="00E22DDE" w:rsidRDefault="000B604B" w:rsidP="004226A9">
      <w:pPr>
        <w:pStyle w:val="Text3"/>
        <w:spacing w:line="360" w:lineRule="auto"/>
        <w:rPr>
          <w:lang w:val="lt-LT"/>
        </w:rPr>
      </w:pPr>
      <w:r w:rsidRPr="00E22DDE">
        <w:rPr>
          <w:lang w:val="lt-LT"/>
        </w:rPr>
        <w:t>„1. IGS vykdomas indėlių grąžinimas neapima:“;</w:t>
      </w:r>
    </w:p>
    <w:p w:rsidR="000B604B" w:rsidRPr="00E22DDE" w:rsidRDefault="000B604B" w:rsidP="004226A9">
      <w:pPr>
        <w:pStyle w:val="Point2"/>
        <w:spacing w:line="360" w:lineRule="auto"/>
        <w:rPr>
          <w:lang w:val="lt-LT"/>
        </w:rPr>
      </w:pPr>
      <w:r w:rsidRPr="00E22DDE">
        <w:rPr>
          <w:lang w:val="lt-LT"/>
        </w:rPr>
        <w:t>ii)</w:t>
      </w:r>
      <w:r w:rsidRPr="00E22DDE">
        <w:rPr>
          <w:lang w:val="lt-LT"/>
        </w:rPr>
        <w:tab/>
        <w:t>c punktas pakeičiamas taip:</w:t>
      </w:r>
    </w:p>
    <w:p w:rsidR="000B604B" w:rsidRPr="00E22DDE" w:rsidRDefault="000B604B" w:rsidP="004226A9">
      <w:pPr>
        <w:pStyle w:val="Text3"/>
        <w:spacing w:line="360" w:lineRule="auto"/>
        <w:rPr>
          <w:lang w:val="lt-LT"/>
        </w:rPr>
      </w:pPr>
      <w:r w:rsidRPr="00E22DDE">
        <w:rPr>
          <w:lang w:val="lt-LT"/>
        </w:rPr>
        <w:t>„c) indėlių, atsirandančių dėl sandorių, dėl kurių priimtas nuosprendis baudžiamojoje byloje dėl pinigų plovimo ir terorizmo finansavimo;“;</w:t>
      </w:r>
    </w:p>
    <w:p w:rsidR="000B604B" w:rsidRPr="00E22DDE" w:rsidRDefault="000B604B" w:rsidP="004226A9">
      <w:pPr>
        <w:pStyle w:val="Point2"/>
        <w:spacing w:line="360" w:lineRule="auto"/>
        <w:rPr>
          <w:lang w:val="lt-LT"/>
        </w:rPr>
      </w:pPr>
      <w:r w:rsidRPr="00E22DDE">
        <w:rPr>
          <w:lang w:val="lt-LT"/>
        </w:rPr>
        <w:t>▌</w:t>
      </w:r>
    </w:p>
    <w:p w:rsidR="000B604B" w:rsidRPr="00E22DDE" w:rsidRDefault="000B604B" w:rsidP="004226A9">
      <w:pPr>
        <w:pStyle w:val="Point2"/>
        <w:spacing w:line="360" w:lineRule="auto"/>
        <w:rPr>
          <w:lang w:val="lt-LT"/>
        </w:rPr>
      </w:pPr>
      <w:r w:rsidRPr="00E22DDE">
        <w:rPr>
          <w:lang w:val="lt-LT"/>
        </w:rPr>
        <w:t>iv)</w:t>
      </w:r>
      <w:r w:rsidRPr="00E22DDE">
        <w:rPr>
          <w:lang w:val="lt-LT"/>
        </w:rPr>
        <w:tab/>
        <w:t>f punktas pakeičiamas taip:</w:t>
      </w:r>
    </w:p>
    <w:p w:rsidR="000B604B" w:rsidRPr="00E22DDE" w:rsidRDefault="000B604B" w:rsidP="004226A9">
      <w:pPr>
        <w:pStyle w:val="Text3"/>
        <w:spacing w:line="360" w:lineRule="auto"/>
        <w:rPr>
          <w:lang w:val="lt-LT"/>
        </w:rPr>
      </w:pPr>
      <w:r w:rsidRPr="00E22DDE">
        <w:rPr>
          <w:lang w:val="lt-LT"/>
        </w:rPr>
        <w:t>„f) indėlių, kurių turėtojas niekada nebuvo nustatytas pagal Reglamento (ES) … [įrašyti trumpą nuorodą – pasiūlymas dėl Kovos su pinigų plovimu reglamento, COM(2021) 420 final] 16 straipsnį, kai tie indėliai tapo negrąžinami, išskyrus atvejus, kai turėtojas prašo išmokėti lėšas ir įrodo, kad tapatybės nustatyti nepavyko ne dėl jo veiksmų;“;</w:t>
      </w:r>
    </w:p>
    <w:p w:rsidR="000B604B" w:rsidRPr="00E22DDE" w:rsidRDefault="000B604B" w:rsidP="004226A9">
      <w:pPr>
        <w:pStyle w:val="Point2"/>
        <w:spacing w:line="360" w:lineRule="auto"/>
        <w:rPr>
          <w:lang w:val="lt-LT"/>
        </w:rPr>
      </w:pPr>
      <w:r w:rsidRPr="00E22DDE">
        <w:rPr>
          <w:lang w:val="lt-LT"/>
        </w:rPr>
        <w:t>v)</w:t>
      </w:r>
      <w:r w:rsidRPr="00E22DDE">
        <w:rPr>
          <w:lang w:val="lt-LT"/>
        </w:rPr>
        <w:tab/>
        <w:t xml:space="preserve">j punktas išbraukiamas; </w:t>
      </w:r>
    </w:p>
    <w:p w:rsidR="000B604B" w:rsidRPr="00E22DDE" w:rsidRDefault="000B604B" w:rsidP="004226A9">
      <w:pPr>
        <w:tabs>
          <w:tab w:val="left" w:pos="1701"/>
          <w:tab w:val="left" w:pos="1985"/>
        </w:tabs>
        <w:autoSpaceDE w:val="0"/>
        <w:autoSpaceDN w:val="0"/>
        <w:adjustRightInd w:val="0"/>
        <w:spacing w:after="120" w:line="360" w:lineRule="auto"/>
        <w:ind w:left="1418"/>
        <w:jc w:val="both"/>
        <w:rPr>
          <w:b/>
          <w:i/>
          <w:color w:val="000000"/>
        </w:rPr>
      </w:pPr>
      <w:r w:rsidRPr="00E22DDE">
        <w:rPr>
          <w:b/>
          <w:i/>
          <w:color w:val="000000"/>
        </w:rPr>
        <w:t xml:space="preserve">va) </w:t>
      </w:r>
      <w:r w:rsidRPr="00E22DDE">
        <w:rPr>
          <w:b/>
          <w:i/>
          <w:color w:val="000000"/>
        </w:rPr>
        <w:tab/>
        <w:t>pridedamas šis punktas:</w:t>
      </w:r>
    </w:p>
    <w:p w:rsidR="000B604B" w:rsidRPr="00E22DDE" w:rsidRDefault="000B604B" w:rsidP="004226A9">
      <w:pPr>
        <w:pStyle w:val="Point2"/>
        <w:spacing w:line="360" w:lineRule="auto"/>
        <w:ind w:firstLine="1"/>
        <w:rPr>
          <w:lang w:val="lt-LT"/>
        </w:rPr>
      </w:pPr>
      <w:r w:rsidRPr="00E22DDE">
        <w:rPr>
          <w:b/>
          <w:i/>
          <w:color w:val="000000"/>
          <w:lang w:val="lt-LT"/>
        </w:rPr>
        <w:t>„ka) fizinių arba juridinių asmenų, kuriems taikomos Sąjungos priimtos tikslinės finansinės sankcijos, indėlių.“;</w:t>
      </w:r>
    </w:p>
    <w:p w:rsidR="000B604B" w:rsidRPr="00E22DDE" w:rsidRDefault="000B604B" w:rsidP="004226A9">
      <w:pPr>
        <w:pStyle w:val="Point1"/>
        <w:spacing w:line="360" w:lineRule="auto"/>
        <w:rPr>
          <w:lang w:val="lt-LT"/>
        </w:rPr>
      </w:pPr>
      <w:r w:rsidRPr="00E22DDE">
        <w:rPr>
          <w:lang w:val="lt-LT"/>
        </w:rPr>
        <w:t>b)</w:t>
      </w:r>
      <w:r w:rsidRPr="00E22DDE">
        <w:rPr>
          <w:lang w:val="lt-LT"/>
        </w:rPr>
        <w:tab/>
        <w:t>2 dalis pakeičiama taip:</w:t>
      </w:r>
    </w:p>
    <w:p w:rsidR="000B604B" w:rsidRPr="00E22DDE" w:rsidRDefault="000B604B" w:rsidP="004226A9">
      <w:pPr>
        <w:pStyle w:val="Text2"/>
        <w:spacing w:line="360" w:lineRule="auto"/>
        <w:rPr>
          <w:lang w:val="lt-LT"/>
        </w:rPr>
      </w:pPr>
      <w:r w:rsidRPr="00E22DDE">
        <w:rPr>
          <w:lang w:val="lt-LT"/>
        </w:rPr>
        <w:t>„2. Nukrypstant nuo 1 dalies i punkto, valstybės narės gali nuspręsti, kad neviršijant 6 straipsnio 1 dalyje nustatytos draudimo sumos būtų įtraukti mažųjų ir vidutinių įmonių asmeninės pensijos sistemose ir profesinės pensijos sistemose laikomi indėliai.“;</w:t>
      </w:r>
    </w:p>
    <w:p w:rsidR="000B604B" w:rsidRPr="00E22DDE" w:rsidRDefault="000B604B" w:rsidP="004226A9">
      <w:pPr>
        <w:pStyle w:val="Point0"/>
        <w:spacing w:line="360" w:lineRule="auto"/>
        <w:rPr>
          <w:lang w:val="lt-LT"/>
        </w:rPr>
      </w:pPr>
      <w:r w:rsidRPr="00E22DDE">
        <w:rPr>
          <w:lang w:val="lt-LT"/>
        </w:rPr>
        <w:t>5)</w:t>
      </w:r>
      <w:r w:rsidRPr="00E22DDE">
        <w:rPr>
          <w:lang w:val="lt-LT"/>
        </w:rPr>
        <w:tab/>
        <w:t>6 straipsnis iš dalies keičiamas taip:</w:t>
      </w:r>
    </w:p>
    <w:p w:rsidR="000B604B" w:rsidRPr="00E22DDE" w:rsidRDefault="000B604B" w:rsidP="004226A9">
      <w:pPr>
        <w:pStyle w:val="Point1"/>
        <w:spacing w:line="360" w:lineRule="auto"/>
        <w:rPr>
          <w:lang w:val="lt-LT"/>
        </w:rPr>
      </w:pPr>
      <w:r w:rsidRPr="00E22DDE">
        <w:rPr>
          <w:lang w:val="lt-LT"/>
        </w:rPr>
        <w:t>a)</w:t>
      </w:r>
      <w:r w:rsidRPr="00E22DDE">
        <w:rPr>
          <w:lang w:val="lt-LT"/>
        </w:rPr>
        <w:tab/>
        <w:t>2 dalis iš dalies keičiama taip:</w:t>
      </w:r>
    </w:p>
    <w:p w:rsidR="000B604B" w:rsidRPr="00E22DDE" w:rsidRDefault="000B604B" w:rsidP="004226A9">
      <w:pPr>
        <w:pStyle w:val="Point2"/>
        <w:spacing w:line="360" w:lineRule="auto"/>
        <w:rPr>
          <w:lang w:val="lt-LT"/>
        </w:rPr>
      </w:pPr>
      <w:r w:rsidRPr="00E22DDE">
        <w:rPr>
          <w:lang w:val="lt-LT"/>
        </w:rPr>
        <w:t>i)</w:t>
      </w:r>
      <w:r w:rsidRPr="00E22DDE">
        <w:rPr>
          <w:lang w:val="lt-LT"/>
        </w:rPr>
        <w:tab/>
        <w:t>įvadinė formuluotė pakeičiamas taip:</w:t>
      </w:r>
    </w:p>
    <w:p w:rsidR="000B604B" w:rsidRPr="00E22DDE" w:rsidRDefault="000B604B" w:rsidP="004226A9">
      <w:pPr>
        <w:pStyle w:val="Text3"/>
        <w:spacing w:line="360" w:lineRule="auto"/>
        <w:rPr>
          <w:lang w:val="lt-LT"/>
        </w:rPr>
      </w:pPr>
      <w:r w:rsidRPr="00E22DDE">
        <w:rPr>
          <w:lang w:val="lt-LT"/>
        </w:rPr>
        <w:lastRenderedPageBreak/>
        <w:t xml:space="preserve">„Be 1 dalyje nurodyto reikalavimo, valstybės narės užtikrina, kad toliau nurodomi indėliai būtų apsaugoti ne mažesne nei 500 000 EUR </w:t>
      </w:r>
      <w:r w:rsidRPr="00E22DDE">
        <w:rPr>
          <w:b/>
          <w:i/>
          <w:lang w:val="lt-LT"/>
        </w:rPr>
        <w:t>ir ne didesne kaip 2 500 000 EUR</w:t>
      </w:r>
      <w:r w:rsidRPr="00E22DDE">
        <w:rPr>
          <w:lang w:val="lt-LT"/>
        </w:rPr>
        <w:t xml:space="preserve"> suma šešis mėnesius nuo sumos įmokėjimo arba nuo momento, kada tokius indėlius galima teisiškai perduoti:“;</w:t>
      </w:r>
    </w:p>
    <w:p w:rsidR="000B604B" w:rsidRPr="00E22DDE" w:rsidRDefault="000B604B" w:rsidP="004226A9">
      <w:pPr>
        <w:pStyle w:val="Point2"/>
        <w:spacing w:line="360" w:lineRule="auto"/>
        <w:rPr>
          <w:lang w:val="lt-LT"/>
        </w:rPr>
      </w:pPr>
      <w:r w:rsidRPr="00E22DDE">
        <w:rPr>
          <w:b/>
          <w:i/>
          <w:lang w:val="lt-LT"/>
        </w:rPr>
        <w:t xml:space="preserve"> </w:t>
      </w:r>
      <w:r w:rsidRPr="00E22DDE">
        <w:rPr>
          <w:lang w:val="lt-LT"/>
        </w:rPr>
        <w:t>ii)</w:t>
      </w:r>
      <w:r w:rsidRPr="00E22DDE">
        <w:rPr>
          <w:lang w:val="lt-LT"/>
        </w:rPr>
        <w:tab/>
        <w:t>a punktas pakeičiamas taip:</w:t>
      </w:r>
    </w:p>
    <w:p w:rsidR="000B604B" w:rsidRPr="00E22DDE" w:rsidRDefault="000B604B" w:rsidP="004226A9">
      <w:pPr>
        <w:pStyle w:val="Text3"/>
        <w:spacing w:line="360" w:lineRule="auto"/>
        <w:rPr>
          <w:lang w:val="lt-LT"/>
        </w:rPr>
      </w:pPr>
      <w:r w:rsidRPr="00E22DDE">
        <w:rPr>
          <w:lang w:val="lt-LT"/>
        </w:rPr>
        <w:t xml:space="preserve">„a) indėliai, atsirandantys iš privataus gyvenamosios paskirties nekilnojamojo turto sandorių, ir tokiems sandoriams skirti indėliai, jeigu tuos sandorius </w:t>
      </w:r>
      <w:r w:rsidRPr="00E22DDE">
        <w:rPr>
          <w:b/>
          <w:i/>
          <w:lang w:val="lt-LT"/>
        </w:rPr>
        <w:t>per keturių mėnesių laikotarpį</w:t>
      </w:r>
      <w:r w:rsidRPr="00E22DDE">
        <w:rPr>
          <w:lang w:val="lt-LT"/>
        </w:rPr>
        <w:t xml:space="preserve"> sudaro fizinis asmuo ir jeigu tas fizinis asmuo gali pateikti tokį sandorį įrodančius dokumentus;“;</w:t>
      </w:r>
    </w:p>
    <w:p w:rsidR="000B604B" w:rsidRPr="00E22DDE" w:rsidRDefault="000B604B" w:rsidP="004226A9">
      <w:pPr>
        <w:pStyle w:val="Point2"/>
        <w:spacing w:line="360" w:lineRule="auto"/>
        <w:rPr>
          <w:b/>
          <w:i/>
          <w:lang w:val="lt-LT"/>
        </w:rPr>
      </w:pPr>
      <w:r w:rsidRPr="00E22DDE">
        <w:rPr>
          <w:b/>
          <w:i/>
          <w:lang w:val="lt-LT"/>
        </w:rPr>
        <w:t>iia)</w:t>
      </w:r>
      <w:r w:rsidRPr="00E22DDE">
        <w:rPr>
          <w:b/>
          <w:i/>
          <w:lang w:val="lt-LT"/>
        </w:rPr>
        <w:tab/>
        <w:t>pridedama ši pastraipa:</w:t>
      </w:r>
    </w:p>
    <w:p w:rsidR="000B604B" w:rsidRPr="00E22DDE" w:rsidRDefault="000B604B" w:rsidP="004226A9">
      <w:pPr>
        <w:pStyle w:val="Text3"/>
        <w:spacing w:line="360" w:lineRule="auto"/>
        <w:rPr>
          <w:lang w:val="lt-LT"/>
        </w:rPr>
      </w:pPr>
      <w:r w:rsidRPr="00E22DDE">
        <w:rPr>
          <w:b/>
          <w:i/>
          <w:lang w:val="lt-LT"/>
        </w:rPr>
        <w:t>„Ne vėliau kaip ... [36 mėnesiai nuo šios iš dalies keičiančios direktyvos įsigaliojimo dienos] Komisija peržiūri nuostatas dėl apsaugomų sumų, kaip nurodyta pirmoje pastraipoje, kurias valstybės narės perkėlė į nacionalinę teisę, siekdama nustatyti, ar toje pastraipoje nurodyta didžiausia suma turėtų būti sumažinta, atsižvelgiant į tai, ar apsaugomos sumos yra proporcingos ir ar užtikrinamos vienodos sąlygos visoje Sąjungoje. Komisija Europos Parlamentui ir Tarybai pateikia ataskaitą, prie kurios, kai tikslinga, pridedamas pasiūlymas dėl teisėkūros procedūra priimamo akto.“;</w:t>
      </w:r>
    </w:p>
    <w:p w:rsidR="000B604B" w:rsidRPr="00E22DDE" w:rsidRDefault="000B604B" w:rsidP="004226A9">
      <w:pPr>
        <w:pStyle w:val="Point1"/>
        <w:spacing w:line="360" w:lineRule="auto"/>
        <w:rPr>
          <w:lang w:val="lt-LT"/>
        </w:rPr>
      </w:pPr>
      <w:r w:rsidRPr="00E22DDE">
        <w:rPr>
          <w:lang w:val="lt-LT"/>
        </w:rPr>
        <w:t>b)</w:t>
      </w:r>
      <w:r w:rsidRPr="00E22DDE">
        <w:rPr>
          <w:lang w:val="lt-LT"/>
        </w:rPr>
        <w:tab/>
        <w:t>įterpiama ši 2a dalis:</w:t>
      </w:r>
    </w:p>
    <w:p w:rsidR="000B604B" w:rsidRPr="00E22DDE" w:rsidRDefault="000B604B" w:rsidP="004226A9">
      <w:pPr>
        <w:pStyle w:val="Text2"/>
        <w:spacing w:line="360" w:lineRule="auto"/>
        <w:rPr>
          <w:lang w:val="lt-LT"/>
        </w:rPr>
      </w:pPr>
      <w:r w:rsidRPr="00E22DDE">
        <w:rPr>
          <w:lang w:val="lt-LT"/>
        </w:rPr>
        <w:t>„2a. Valstybės narės užtikrina, kad 2 dalyje nustatyta draudimo suma papildytų 1 dalyje nustatytą draudimo sumą.“;</w:t>
      </w:r>
    </w:p>
    <w:p w:rsidR="000B604B" w:rsidRPr="00E22DDE" w:rsidRDefault="000B604B" w:rsidP="004226A9">
      <w:pPr>
        <w:pStyle w:val="Point0"/>
        <w:spacing w:line="360" w:lineRule="auto"/>
        <w:rPr>
          <w:lang w:val="lt-LT"/>
        </w:rPr>
      </w:pPr>
      <w:r w:rsidRPr="00E22DDE">
        <w:rPr>
          <w:lang w:val="lt-LT"/>
        </w:rPr>
        <w:t>6)</w:t>
      </w:r>
      <w:r w:rsidRPr="00E22DDE">
        <w:rPr>
          <w:lang w:val="lt-LT"/>
        </w:rPr>
        <w:tab/>
        <w:t>7 straipsnis iš dalies keičiamas taip:</w:t>
      </w:r>
    </w:p>
    <w:p w:rsidR="000B604B" w:rsidRPr="00E22DDE" w:rsidRDefault="000B604B" w:rsidP="004226A9">
      <w:pPr>
        <w:pStyle w:val="Point1"/>
        <w:spacing w:line="360" w:lineRule="auto"/>
        <w:rPr>
          <w:lang w:val="lt-LT"/>
        </w:rPr>
      </w:pPr>
      <w:r w:rsidRPr="00E22DDE">
        <w:rPr>
          <w:lang w:val="lt-LT"/>
        </w:rPr>
        <w:t>a)</w:t>
      </w:r>
      <w:r w:rsidRPr="00E22DDE">
        <w:rPr>
          <w:lang w:val="lt-LT"/>
        </w:rPr>
        <w:tab/>
        <w:t>5 dalis išbraukiama;</w:t>
      </w:r>
    </w:p>
    <w:p w:rsidR="000B604B" w:rsidRPr="00E22DDE" w:rsidRDefault="000B604B" w:rsidP="004226A9">
      <w:pPr>
        <w:pStyle w:val="Point1"/>
        <w:spacing w:line="360" w:lineRule="auto"/>
        <w:rPr>
          <w:lang w:val="lt-LT"/>
        </w:rPr>
      </w:pPr>
      <w:r w:rsidRPr="00E22DDE">
        <w:rPr>
          <w:b/>
          <w:i/>
          <w:lang w:val="lt-LT"/>
        </w:rPr>
        <w:t>aa)</w:t>
      </w:r>
      <w:r w:rsidRPr="00E22DDE">
        <w:rPr>
          <w:b/>
          <w:i/>
          <w:lang w:val="lt-LT"/>
        </w:rPr>
        <w:tab/>
        <w:t>6 dalis pakeičiama taip</w:t>
      </w:r>
      <w:r w:rsidRPr="00E22DDE">
        <w:rPr>
          <w:lang w:val="lt-LT"/>
        </w:rPr>
        <w:t>:</w:t>
      </w:r>
    </w:p>
    <w:p w:rsidR="000B604B" w:rsidRPr="00E22DDE" w:rsidRDefault="000B604B" w:rsidP="004226A9">
      <w:pPr>
        <w:pStyle w:val="Point1"/>
        <w:spacing w:line="360" w:lineRule="auto"/>
        <w:ind w:firstLine="1"/>
        <w:rPr>
          <w:b/>
          <w:i/>
          <w:lang w:val="lt-LT"/>
        </w:rPr>
      </w:pPr>
      <w:r w:rsidRPr="00E22DDE">
        <w:rPr>
          <w:b/>
          <w:i/>
          <w:lang w:val="lt-LT"/>
        </w:rPr>
        <w:t>„6. Valstybės narės užtikrina, kad kredito įstaigos bent kartą per metus savo IGS nurodytų bendrą reikalavimus atitinkančių indėlių sumą. Valstybės narės užtikrina, kad IGS galėtų bet kuriuo metu pareikalauti, kad kredito įstaigos informuotų jas apie kiekvieno indėlininko bendrą reikalavimus atitinkančių indėlių sumą.“;</w:t>
      </w:r>
    </w:p>
    <w:p w:rsidR="000B604B" w:rsidRPr="00E22DDE" w:rsidRDefault="000B604B" w:rsidP="004226A9">
      <w:pPr>
        <w:pStyle w:val="Point1"/>
        <w:spacing w:line="360" w:lineRule="auto"/>
        <w:rPr>
          <w:lang w:val="lt-LT"/>
        </w:rPr>
      </w:pPr>
      <w:r w:rsidRPr="00E22DDE">
        <w:rPr>
          <w:lang w:val="lt-LT"/>
        </w:rPr>
        <w:lastRenderedPageBreak/>
        <w:t>b)</w:t>
      </w:r>
      <w:r w:rsidRPr="00E22DDE">
        <w:rPr>
          <w:lang w:val="lt-LT"/>
        </w:rPr>
        <w:tab/>
        <w:t>7 dalis pakeičiama taip:</w:t>
      </w:r>
    </w:p>
    <w:p w:rsidR="000B604B" w:rsidRPr="00E22DDE" w:rsidRDefault="000B604B" w:rsidP="004226A9">
      <w:pPr>
        <w:pStyle w:val="Text2"/>
        <w:spacing w:line="360" w:lineRule="auto"/>
        <w:rPr>
          <w:lang w:val="lt-LT"/>
        </w:rPr>
      </w:pPr>
      <w:r w:rsidRPr="00E22DDE">
        <w:rPr>
          <w:lang w:val="lt-LT"/>
        </w:rPr>
        <w:t>„7. Valstybės narės užtikrina, kad IGS grąžintų indėlio palūkanas, sukauptas, bet į sąskaitą neįskaitytas arba iš jos nenurašytas iki dienos, kurią atitinkama administracinė institucija priima sprendimą, nurodytą 2 straipsnio 1 dalies 8 punkto a papunktyje, arba teisminė institucija priima sprendimą, nurodytą 2 straipsnio 1 dalies 8 punkto b papunktyje. 6 straipsnio 1 dalyje nustatyta draudimo suma arba 6 straipsnio 2 dalyje nurodytomis aplinkybėmis toje dalyje nustatyta draudimo suma negali būti viršijama.</w:t>
      </w:r>
    </w:p>
    <w:p w:rsidR="000B604B" w:rsidRPr="00E22DDE" w:rsidRDefault="000B604B" w:rsidP="004226A9">
      <w:pPr>
        <w:pStyle w:val="Text2"/>
        <w:spacing w:line="360" w:lineRule="auto"/>
        <w:rPr>
          <w:lang w:val="lt-LT"/>
        </w:rPr>
      </w:pPr>
      <w:r w:rsidRPr="00E22DDE">
        <w:rPr>
          <w:b/>
          <w:i/>
          <w:lang w:val="lt-LT"/>
        </w:rPr>
        <w:t>Kai tam tikrų indėlių palūkanų normos gerokai viršija rinkoje vyraujančią palūkanų normą, nustatytą ir pagrįstą skaidriais ir viešai prieinamais duomenimis, IGS turi įgaliojimą koreguoti kompensuojamas palūkanas, kad jos atitiktų atitinkamos administracinės institucijos priimto nustatymo sprendimo ar teisminės institucijos sprendimo priėmimo metu vyraujančią rinkos palūkanų normą. Tas koregavimas atliekamas siekiant išvengti neatsakingo elgesio rizikos. Kriterijai ir metodika, pagal kuriuos apibrėžiama sąvoka „gerokai viršija“ ir koreguojama, nustatomi skaidriai, vadovaujantis EBI parengtomis gairėmis ir gavus kompetentingos nacionalinės institucijos pritarimą.</w:t>
      </w:r>
      <w:r w:rsidRPr="00E22DDE">
        <w:rPr>
          <w:lang w:val="lt-LT"/>
        </w:rPr>
        <w:t xml:space="preserve">“; </w:t>
      </w:r>
    </w:p>
    <w:p w:rsidR="000B604B" w:rsidRPr="00E22DDE" w:rsidRDefault="000B604B" w:rsidP="004226A9">
      <w:pPr>
        <w:pStyle w:val="Point0"/>
        <w:spacing w:line="360" w:lineRule="auto"/>
        <w:rPr>
          <w:lang w:val="lt-LT"/>
        </w:rPr>
      </w:pPr>
      <w:r w:rsidRPr="00E22DDE">
        <w:rPr>
          <w:lang w:val="lt-LT"/>
        </w:rPr>
        <w:t>7)</w:t>
      </w:r>
      <w:r w:rsidRPr="00E22DDE">
        <w:rPr>
          <w:lang w:val="lt-LT"/>
        </w:rPr>
        <w:tab/>
        <w:t>įterpiamas 7a straipsnis:</w:t>
      </w:r>
    </w:p>
    <w:p w:rsidR="000B604B" w:rsidRPr="00E22DDE" w:rsidRDefault="000B604B" w:rsidP="004226A9">
      <w:pPr>
        <w:pStyle w:val="Text1"/>
        <w:spacing w:line="360" w:lineRule="auto"/>
        <w:jc w:val="center"/>
        <w:rPr>
          <w:i/>
          <w:iCs/>
          <w:lang w:val="lt-LT"/>
        </w:rPr>
      </w:pPr>
      <w:r w:rsidRPr="00E22DDE">
        <w:rPr>
          <w:i/>
          <w:lang w:val="lt-LT"/>
        </w:rPr>
        <w:t>„7a straipsnis</w:t>
      </w:r>
    </w:p>
    <w:p w:rsidR="000B604B" w:rsidRPr="00E22DDE" w:rsidRDefault="000B604B" w:rsidP="004226A9">
      <w:pPr>
        <w:pStyle w:val="Text1"/>
        <w:spacing w:line="360" w:lineRule="auto"/>
        <w:jc w:val="center"/>
        <w:rPr>
          <w:b/>
          <w:bCs/>
          <w:lang w:val="lt-LT"/>
        </w:rPr>
      </w:pPr>
      <w:r w:rsidRPr="00E22DDE">
        <w:rPr>
          <w:b/>
          <w:lang w:val="lt-LT"/>
        </w:rPr>
        <w:t>Įrodinėjimo, kad indėlis atitinka reikalavimus, pareiga ir teisė jį susigrąžinti</w:t>
      </w:r>
    </w:p>
    <w:p w:rsidR="000B604B" w:rsidRPr="00E22DDE" w:rsidRDefault="000B604B" w:rsidP="004226A9">
      <w:pPr>
        <w:pStyle w:val="Text2"/>
        <w:spacing w:line="360" w:lineRule="auto"/>
        <w:rPr>
          <w:lang w:val="lt-LT"/>
        </w:rPr>
      </w:pPr>
      <w:r w:rsidRPr="00E22DDE">
        <w:rPr>
          <w:lang w:val="lt-LT"/>
        </w:rPr>
        <w:t>Valstybės narės užtikrina, kad 6 straipsnio 2 dalyje ir 7 straipsnio 3 dalyje nurodytais atvejais indėlininkas arba atitinkamais atvejais sąskaitos turėtojas įrodytų, kad atitinkami indėliai atitinka 6 straipsnio 2 dalies sąlygas, arba įrodytų teisę indėlius susigrąžinti 7 straipsnio 3 dalyje nurodytomis aplinkybėmis.“;</w:t>
      </w:r>
    </w:p>
    <w:p w:rsidR="000B604B" w:rsidRPr="00E22DDE" w:rsidRDefault="000B604B" w:rsidP="004226A9">
      <w:pPr>
        <w:pStyle w:val="Point0"/>
        <w:spacing w:line="360" w:lineRule="auto"/>
        <w:rPr>
          <w:lang w:val="lt-LT"/>
        </w:rPr>
      </w:pPr>
      <w:r w:rsidRPr="00E22DDE">
        <w:rPr>
          <w:lang w:val="lt-LT"/>
        </w:rPr>
        <w:t>8)</w:t>
      </w:r>
      <w:r w:rsidRPr="00E22DDE">
        <w:rPr>
          <w:lang w:val="lt-LT"/>
        </w:rPr>
        <w:tab/>
        <w:t>8 straipsnis iš dalies keičiamas taip:</w:t>
      </w:r>
    </w:p>
    <w:p w:rsidR="000B604B" w:rsidRPr="00E22DDE" w:rsidRDefault="000B604B" w:rsidP="004226A9">
      <w:pPr>
        <w:pStyle w:val="Point0"/>
        <w:tabs>
          <w:tab w:val="left" w:pos="1418"/>
        </w:tabs>
        <w:spacing w:line="360" w:lineRule="auto"/>
        <w:ind w:firstLine="1"/>
        <w:rPr>
          <w:b/>
          <w:i/>
          <w:lang w:val="lt-LT"/>
        </w:rPr>
      </w:pPr>
      <w:r w:rsidRPr="00E22DDE">
        <w:rPr>
          <w:b/>
          <w:i/>
          <w:lang w:val="lt-LT"/>
        </w:rPr>
        <w:t>-a)</w:t>
      </w:r>
      <w:r w:rsidRPr="00E22DDE">
        <w:rPr>
          <w:b/>
          <w:i/>
          <w:lang w:val="lt-LT"/>
        </w:rPr>
        <w:tab/>
        <w:t>1 dalis pakeičiama taip:</w:t>
      </w:r>
    </w:p>
    <w:p w:rsidR="000B604B" w:rsidRPr="00E22DDE" w:rsidRDefault="000B604B" w:rsidP="004226A9">
      <w:pPr>
        <w:pStyle w:val="Point0"/>
        <w:tabs>
          <w:tab w:val="left" w:pos="1418"/>
        </w:tabs>
        <w:spacing w:line="360" w:lineRule="auto"/>
        <w:ind w:left="1418" w:firstLine="1"/>
        <w:rPr>
          <w:b/>
          <w:i/>
          <w:lang w:val="lt-LT"/>
        </w:rPr>
      </w:pPr>
      <w:r w:rsidRPr="00E22DDE">
        <w:rPr>
          <w:b/>
          <w:i/>
          <w:lang w:val="lt-LT"/>
        </w:rPr>
        <w:t xml:space="preserve">„1. IGS užtikrina, kad grąžintina suma būtų grąžinama kaip galima greičiau ir bet kuriuo atveju per septynias darbo dienas nuo tos dienos, kurią atitinkama administracinė institucija priima nustatymo sprendimą, kaip nurodyta 2 straipsnio 1 dalies 8 punkto a papunktyje, arba teisminė institucija </w:t>
      </w:r>
      <w:r w:rsidRPr="00E22DDE">
        <w:rPr>
          <w:b/>
          <w:i/>
          <w:lang w:val="lt-LT"/>
        </w:rPr>
        <w:lastRenderedPageBreak/>
        <w:t>priima sprendimą, kaip nurodyta 2 straipsnio 1 dalies 8 punkto b papunktyje.“;</w:t>
      </w:r>
    </w:p>
    <w:p w:rsidR="000B604B" w:rsidRPr="00E22DDE" w:rsidRDefault="000B604B" w:rsidP="004226A9">
      <w:pPr>
        <w:tabs>
          <w:tab w:val="left" w:pos="1418"/>
          <w:tab w:val="left" w:pos="1843"/>
        </w:tabs>
        <w:autoSpaceDE w:val="0"/>
        <w:autoSpaceDN w:val="0"/>
        <w:adjustRightInd w:val="0"/>
        <w:spacing w:after="120" w:line="360" w:lineRule="auto"/>
        <w:ind w:left="130" w:firstLine="720"/>
        <w:jc w:val="both"/>
        <w:rPr>
          <w:b/>
          <w:i/>
        </w:rPr>
      </w:pPr>
      <w:r w:rsidRPr="00E22DDE">
        <w:rPr>
          <w:b/>
          <w:i/>
          <w:color w:val="000000"/>
        </w:rPr>
        <w:t>-aa)</w:t>
      </w:r>
      <w:r w:rsidRPr="00E22DDE">
        <w:rPr>
          <w:b/>
          <w:i/>
          <w:color w:val="000000"/>
        </w:rPr>
        <w:tab/>
        <w:t>2 dalis išbraukiama;</w:t>
      </w:r>
    </w:p>
    <w:p w:rsidR="000B604B" w:rsidRPr="00E22DDE" w:rsidRDefault="000B604B" w:rsidP="004226A9">
      <w:pPr>
        <w:pStyle w:val="Point1"/>
        <w:spacing w:line="360" w:lineRule="auto"/>
        <w:rPr>
          <w:lang w:val="lt-LT"/>
        </w:rPr>
      </w:pPr>
      <w:r w:rsidRPr="00E22DDE">
        <w:rPr>
          <w:lang w:val="lt-LT"/>
        </w:rPr>
        <w:t>a)</w:t>
      </w:r>
      <w:r w:rsidRPr="00E22DDE">
        <w:rPr>
          <w:lang w:val="lt-LT"/>
        </w:rPr>
        <w:tab/>
        <w:t>3 dalis pakeičiama taip:</w:t>
      </w:r>
    </w:p>
    <w:p w:rsidR="000B604B" w:rsidRPr="00E22DDE" w:rsidRDefault="000B604B" w:rsidP="004226A9">
      <w:pPr>
        <w:pStyle w:val="Text2"/>
        <w:spacing w:line="360" w:lineRule="auto"/>
        <w:rPr>
          <w:lang w:val="lt-LT"/>
        </w:rPr>
      </w:pPr>
      <w:r w:rsidRPr="00E22DDE">
        <w:rPr>
          <w:lang w:val="lt-LT"/>
        </w:rPr>
        <w:t xml:space="preserve">„3. Nukrypstant nuo 1 dalies, valstybės narės leidžia IGS 6 straipsnio 2 dalyje, 7 straipsnio 3 dalyje ir 8b straipsnyje nurodytiems indėliams taikyti ilgesnį grąžinimo terminą, kuris negali būti ilgesnis kaip 20 darbo dienų nuo tos dienos, kai tos IGS gavo išsamius dokumentus, kurių jos paprašė indėlininko </w:t>
      </w:r>
      <w:r w:rsidRPr="00E22DDE">
        <w:rPr>
          <w:b/>
          <w:i/>
          <w:lang w:val="lt-LT"/>
        </w:rPr>
        <w:t>arba, kai taikytina, sąskaitos turėtojo</w:t>
      </w:r>
      <w:r w:rsidRPr="00E22DDE">
        <w:rPr>
          <w:lang w:val="lt-LT"/>
        </w:rPr>
        <w:t xml:space="preserve">, kad galėtų išnagrinėti reikalavimus grąžinti indėlius ir patikrinti, ar įvykdytos grąžinimo sąlygos. </w:t>
      </w:r>
      <w:r w:rsidRPr="00E22DDE">
        <w:rPr>
          <w:b/>
          <w:i/>
          <w:lang w:val="lt-LT"/>
        </w:rPr>
        <w:t>6 straipsnio 2 dalyje ir 7 straipsnio 3 dalyje nurodytų indėlių atveju, kai IGS negali grąžinti grąžintinos sumos greičiau nei per septynias darbo dienas, jos užtikrina, kad indėlininkai galėtų naudotis atitinkama savo apdraustųjų indėlių suma pragyvenimo išlaidoms padengti per penkias darbo dienas nuo prašymo naudotis ta suma pateikimo dienos</w:t>
      </w:r>
      <w:r w:rsidRPr="00E22DDE">
        <w:rPr>
          <w:lang w:val="lt-LT"/>
        </w:rPr>
        <w:t>“;</w:t>
      </w:r>
    </w:p>
    <w:p w:rsidR="000B604B" w:rsidRPr="00E22DDE" w:rsidRDefault="000B604B" w:rsidP="004226A9">
      <w:pPr>
        <w:pStyle w:val="Text2"/>
        <w:tabs>
          <w:tab w:val="left" w:pos="1418"/>
        </w:tabs>
        <w:spacing w:line="360" w:lineRule="auto"/>
        <w:ind w:left="851"/>
        <w:rPr>
          <w:lang w:val="lt-LT"/>
        </w:rPr>
      </w:pPr>
      <w:r w:rsidRPr="00E22DDE">
        <w:rPr>
          <w:b/>
          <w:i/>
          <w:color w:val="000000"/>
          <w:lang w:val="lt-LT"/>
        </w:rPr>
        <w:t>aa)</w:t>
      </w:r>
      <w:r w:rsidRPr="00E22DDE">
        <w:rPr>
          <w:b/>
          <w:i/>
          <w:color w:val="000000"/>
          <w:lang w:val="lt-LT"/>
        </w:rPr>
        <w:tab/>
        <w:t>4 dalis išbraukiama;</w:t>
      </w:r>
    </w:p>
    <w:p w:rsidR="000B604B" w:rsidRPr="00E22DDE" w:rsidRDefault="000B604B" w:rsidP="004226A9">
      <w:pPr>
        <w:pStyle w:val="Point1"/>
        <w:spacing w:line="360" w:lineRule="auto"/>
        <w:rPr>
          <w:lang w:val="lt-LT"/>
        </w:rPr>
      </w:pPr>
      <w:r w:rsidRPr="00E22DDE">
        <w:rPr>
          <w:lang w:val="lt-LT"/>
        </w:rPr>
        <w:t>b)</w:t>
      </w:r>
      <w:r w:rsidRPr="00E22DDE">
        <w:rPr>
          <w:lang w:val="lt-LT"/>
        </w:rPr>
        <w:tab/>
        <w:t>5 dalis iš dalies keičiama taip:</w:t>
      </w:r>
    </w:p>
    <w:p w:rsidR="000B604B" w:rsidRPr="00E22DDE" w:rsidRDefault="000B604B" w:rsidP="004226A9">
      <w:pPr>
        <w:pStyle w:val="Point2"/>
        <w:spacing w:line="360" w:lineRule="auto"/>
        <w:rPr>
          <w:lang w:val="lt-LT"/>
        </w:rPr>
      </w:pPr>
      <w:r w:rsidRPr="00E22DDE">
        <w:rPr>
          <w:lang w:val="lt-LT"/>
        </w:rPr>
        <w:t>i)</w:t>
      </w:r>
      <w:r w:rsidRPr="00E22DDE">
        <w:rPr>
          <w:lang w:val="lt-LT"/>
        </w:rPr>
        <w:tab/>
        <w:t>c punktas pakeičiamas taip:</w:t>
      </w:r>
    </w:p>
    <w:p w:rsidR="000B604B" w:rsidRPr="00E22DDE" w:rsidRDefault="000B604B" w:rsidP="004226A9">
      <w:pPr>
        <w:pStyle w:val="Text3"/>
        <w:spacing w:line="360" w:lineRule="auto"/>
        <w:rPr>
          <w:lang w:val="lt-LT"/>
        </w:rPr>
      </w:pPr>
      <w:r w:rsidRPr="00E22DDE">
        <w:rPr>
          <w:lang w:val="lt-LT"/>
        </w:rPr>
        <w:t>„c) nukrypstant nuo 9 dalies, per pastaruosius 24 mėnesius neatlikta su indėliu susijusių operacijų (sąskaita neaktyvi), išskyrus atvejus, kai indėlininkas taip pat turi indėlių kitoje sąskaitoje, kuri yra aktyvi;“;</w:t>
      </w:r>
    </w:p>
    <w:p w:rsidR="000B604B" w:rsidRPr="00E22DDE" w:rsidRDefault="000B604B" w:rsidP="004226A9">
      <w:pPr>
        <w:pStyle w:val="Point2"/>
        <w:spacing w:line="360" w:lineRule="auto"/>
        <w:rPr>
          <w:lang w:val="lt-LT"/>
        </w:rPr>
      </w:pPr>
      <w:r w:rsidRPr="00E22DDE">
        <w:rPr>
          <w:lang w:val="lt-LT"/>
        </w:rPr>
        <w:t>ii)</w:t>
      </w:r>
      <w:r w:rsidRPr="00E22DDE">
        <w:rPr>
          <w:lang w:val="lt-LT"/>
        </w:rPr>
        <w:tab/>
        <w:t>d punktas išbraukiamas;</w:t>
      </w:r>
    </w:p>
    <w:p w:rsidR="000B604B" w:rsidRPr="00E22DDE" w:rsidRDefault="000B604B" w:rsidP="004226A9">
      <w:pPr>
        <w:pStyle w:val="Point1"/>
        <w:spacing w:line="360" w:lineRule="auto"/>
        <w:rPr>
          <w:lang w:val="lt-LT"/>
        </w:rPr>
      </w:pPr>
      <w:r w:rsidRPr="00E22DDE">
        <w:rPr>
          <w:lang w:val="lt-LT"/>
        </w:rPr>
        <w:t>c)</w:t>
      </w:r>
      <w:r w:rsidRPr="00E22DDE">
        <w:rPr>
          <w:lang w:val="lt-LT"/>
        </w:rPr>
        <w:tab/>
        <w:t xml:space="preserve">8 dalis išbraukiama; </w:t>
      </w:r>
    </w:p>
    <w:p w:rsidR="000B604B" w:rsidRPr="00E22DDE" w:rsidRDefault="000B604B" w:rsidP="004226A9">
      <w:pPr>
        <w:pStyle w:val="Point1"/>
        <w:spacing w:line="360" w:lineRule="auto"/>
        <w:rPr>
          <w:lang w:val="lt-LT"/>
        </w:rPr>
      </w:pPr>
      <w:r w:rsidRPr="00E22DDE">
        <w:rPr>
          <w:lang w:val="lt-LT"/>
        </w:rPr>
        <w:t>d)</w:t>
      </w:r>
      <w:r w:rsidRPr="00E22DDE">
        <w:rPr>
          <w:lang w:val="lt-LT"/>
        </w:rPr>
        <w:tab/>
        <w:t xml:space="preserve">9 dalis pakeičiama taip: </w:t>
      </w:r>
    </w:p>
    <w:p w:rsidR="000B604B" w:rsidRPr="00E22DDE" w:rsidRDefault="000B604B" w:rsidP="004226A9">
      <w:pPr>
        <w:pStyle w:val="Text2"/>
        <w:spacing w:line="360" w:lineRule="auto"/>
        <w:rPr>
          <w:lang w:val="lt-LT"/>
        </w:rPr>
      </w:pPr>
      <w:r w:rsidRPr="00E22DDE">
        <w:rPr>
          <w:lang w:val="lt-LT"/>
        </w:rPr>
        <w:t>„9. Valstybės narės užtikrina, kad tais atvejais, kai per pastaruosius 24 mėnesius nėra atlikta jokių su indėliu susijusių operacijų, IGS galėtų nustatyti ribą, susijusią su administracinėmis išlaidomis, kurias tos IGS patirtų dėl tokio grąžinimo. IGS neprivalo imtis aktyvių veiksmų, kad indėlininkams grąžintų tos ribos nesiekiančius indėlius. Valstybės narės užtikrina, kad IGS indėlininkams grąžintų tos ribos nesiekiančias sumas, kai tie indėlininkai to prašo.“;</w:t>
      </w:r>
    </w:p>
    <w:p w:rsidR="000B604B" w:rsidRPr="00E22DDE" w:rsidRDefault="000B604B" w:rsidP="004226A9">
      <w:pPr>
        <w:pStyle w:val="Point0"/>
        <w:spacing w:line="360" w:lineRule="auto"/>
        <w:rPr>
          <w:lang w:val="lt-LT"/>
        </w:rPr>
      </w:pPr>
      <w:r w:rsidRPr="00E22DDE">
        <w:rPr>
          <w:lang w:val="lt-LT"/>
        </w:rPr>
        <w:lastRenderedPageBreak/>
        <w:t>9)</w:t>
      </w:r>
      <w:r w:rsidRPr="00E22DDE">
        <w:rPr>
          <w:lang w:val="lt-LT"/>
        </w:rPr>
        <w:tab/>
        <w:t>įterpiami šie 8a, 8b ir 8c straipsniai:</w:t>
      </w:r>
    </w:p>
    <w:p w:rsidR="000B604B" w:rsidRPr="00E22DDE" w:rsidRDefault="000B604B" w:rsidP="004226A9">
      <w:pPr>
        <w:pStyle w:val="Text1"/>
        <w:spacing w:line="360" w:lineRule="auto"/>
        <w:jc w:val="center"/>
        <w:rPr>
          <w:i/>
          <w:iCs/>
          <w:lang w:val="lt-LT"/>
        </w:rPr>
      </w:pPr>
      <w:r w:rsidRPr="00E22DDE">
        <w:rPr>
          <w:i/>
          <w:lang w:val="lt-LT"/>
        </w:rPr>
        <w:t>„8a straipsnis</w:t>
      </w:r>
    </w:p>
    <w:p w:rsidR="000B604B" w:rsidRPr="00E22DDE" w:rsidRDefault="000B604B" w:rsidP="004226A9">
      <w:pPr>
        <w:pStyle w:val="Text1"/>
        <w:spacing w:line="360" w:lineRule="auto"/>
        <w:jc w:val="center"/>
        <w:rPr>
          <w:b/>
          <w:iCs/>
          <w:lang w:val="lt-LT"/>
        </w:rPr>
      </w:pPr>
      <w:r w:rsidRPr="00E22DDE">
        <w:rPr>
          <w:b/>
          <w:lang w:val="lt-LT"/>
        </w:rPr>
        <w:t>Indėlių, viršijančių 10 000 EUR, grąžinimas</w:t>
      </w:r>
    </w:p>
    <w:p w:rsidR="000B604B" w:rsidRPr="00E22DDE" w:rsidRDefault="000B604B" w:rsidP="004226A9">
      <w:pPr>
        <w:pStyle w:val="Text1"/>
        <w:spacing w:line="360" w:lineRule="auto"/>
        <w:rPr>
          <w:lang w:val="lt-LT"/>
        </w:rPr>
      </w:pPr>
      <w:r w:rsidRPr="00E22DDE">
        <w:rPr>
          <w:lang w:val="lt-LT"/>
        </w:rPr>
        <w:t>Valstybės narės užtikrina, kad tais atvejais, kai grąžintinos sumos viršija 10 000 EUR, IGS indėlius indėlininkams grąžintų atlikdama kredito pervedimus, kaip apibrėžta Europos Parlamento ir Tarybos direktyvos 2014/92/ES* 2 straipsnio 20 punkte.</w:t>
      </w:r>
    </w:p>
    <w:p w:rsidR="000B604B" w:rsidRPr="00E22DDE" w:rsidRDefault="000B604B" w:rsidP="004226A9">
      <w:pPr>
        <w:pStyle w:val="Text1"/>
        <w:spacing w:line="360" w:lineRule="auto"/>
        <w:jc w:val="center"/>
        <w:rPr>
          <w:i/>
          <w:iCs/>
          <w:lang w:val="lt-LT"/>
        </w:rPr>
      </w:pPr>
      <w:r w:rsidRPr="00E22DDE">
        <w:rPr>
          <w:i/>
          <w:lang w:val="lt-LT"/>
        </w:rPr>
        <w:t>8b straipsnis</w:t>
      </w:r>
    </w:p>
    <w:p w:rsidR="000B604B" w:rsidRPr="00E22DDE" w:rsidRDefault="000B604B" w:rsidP="004226A9">
      <w:pPr>
        <w:pStyle w:val="Text1"/>
        <w:spacing w:line="360" w:lineRule="auto"/>
        <w:jc w:val="center"/>
        <w:rPr>
          <w:b/>
          <w:iCs/>
          <w:lang w:val="lt-LT"/>
        </w:rPr>
      </w:pPr>
      <w:r w:rsidRPr="00E22DDE">
        <w:rPr>
          <w:b/>
          <w:lang w:val="lt-LT"/>
        </w:rPr>
        <w:t>Klientų indėlių draudimas</w:t>
      </w:r>
    </w:p>
    <w:p w:rsidR="000B604B" w:rsidRPr="00E22DDE" w:rsidRDefault="000B604B" w:rsidP="004226A9">
      <w:pPr>
        <w:pStyle w:val="Text1"/>
        <w:spacing w:line="360" w:lineRule="auto"/>
        <w:rPr>
          <w:lang w:val="lt-LT"/>
        </w:rPr>
      </w:pPr>
      <w:r w:rsidRPr="00E22DDE">
        <w:rPr>
          <w:lang w:val="lt-LT"/>
        </w:rPr>
        <w:t>1. Valstybės narės užtikrina, kad klientų indėliai būtų apdrausti IGS, kai taikomos visos šios sąlygos:</w:t>
      </w:r>
    </w:p>
    <w:p w:rsidR="000B604B" w:rsidRPr="00E22DDE" w:rsidRDefault="000B604B" w:rsidP="004226A9">
      <w:pPr>
        <w:pStyle w:val="Point1"/>
        <w:spacing w:line="360" w:lineRule="auto"/>
        <w:rPr>
          <w:lang w:val="lt-LT"/>
        </w:rPr>
      </w:pPr>
      <w:r w:rsidRPr="00E22DDE">
        <w:rPr>
          <w:lang w:val="lt-LT"/>
        </w:rPr>
        <w:t>a)</w:t>
      </w:r>
      <w:r w:rsidRPr="00E22DDE">
        <w:rPr>
          <w:lang w:val="lt-LT"/>
        </w:rPr>
        <w:tab/>
        <w:t xml:space="preserve">tokie indėliai deponuoti klientų, kuriems gali būti taikoma apsauga pagal 5 straipsnio 1 dalį, vardu ir </w:t>
      </w:r>
      <w:r w:rsidRPr="00E22DDE">
        <w:rPr>
          <w:b/>
          <w:i/>
          <w:lang w:val="lt-LT"/>
        </w:rPr>
        <w:t>išimtinai</w:t>
      </w:r>
      <w:r w:rsidRPr="00E22DDE">
        <w:rPr>
          <w:lang w:val="lt-LT"/>
        </w:rPr>
        <w:t xml:space="preserve"> į jų sąskaitą;</w:t>
      </w:r>
    </w:p>
    <w:p w:rsidR="000B604B" w:rsidRPr="00E22DDE" w:rsidRDefault="000B604B" w:rsidP="004226A9">
      <w:pPr>
        <w:pStyle w:val="Point1"/>
        <w:spacing w:line="360" w:lineRule="auto"/>
        <w:rPr>
          <w:lang w:val="lt-LT"/>
        </w:rPr>
      </w:pPr>
      <w:r w:rsidRPr="00E22DDE">
        <w:rPr>
          <w:lang w:val="lt-LT"/>
        </w:rPr>
        <w:t>b)</w:t>
      </w:r>
      <w:r w:rsidRPr="00E22DDE">
        <w:rPr>
          <w:lang w:val="lt-LT"/>
        </w:rPr>
        <w:tab/>
        <w:t xml:space="preserve">tokie indėliai deponuojami siekiant atskirti klientų lėšas laikantis apsaugos reikalavimų, nustatytų Sąjungos teisės aktais, kuriais reglamentuojama 5 straipsnio 1 dalies d punkte nurodytų subjektų veikla; </w:t>
      </w:r>
    </w:p>
    <w:p w:rsidR="000B604B" w:rsidRPr="00E22DDE" w:rsidRDefault="000B604B" w:rsidP="004226A9">
      <w:pPr>
        <w:pStyle w:val="Point1"/>
        <w:spacing w:line="360" w:lineRule="auto"/>
        <w:rPr>
          <w:lang w:val="lt-LT"/>
        </w:rPr>
      </w:pPr>
      <w:r w:rsidRPr="00E22DDE">
        <w:rPr>
          <w:lang w:val="lt-LT"/>
        </w:rPr>
        <w:t>c)</w:t>
      </w:r>
      <w:r w:rsidRPr="00E22DDE">
        <w:rPr>
          <w:lang w:val="lt-LT"/>
        </w:rPr>
        <w:tab/>
        <w:t xml:space="preserve">klientų, nurodytų a punkte, tapatybė buvo nustatyta arba gali būti nustatyta </w:t>
      </w:r>
      <w:r w:rsidRPr="00E22DDE">
        <w:rPr>
          <w:b/>
          <w:i/>
          <w:lang w:val="lt-LT"/>
        </w:rPr>
        <w:t>galutine subjekto, turinčio sąskaitą klientų vardu, atsakomybe</w:t>
      </w:r>
      <w:r w:rsidRPr="00E22DDE">
        <w:rPr>
          <w:lang w:val="lt-LT"/>
        </w:rPr>
        <w:t xml:space="preserve"> iki dienos, kurią atitinkama administracinė institucija priima nustatymo sprendimą, kaip nurodyta 2 straipsnio 1 dalies 8 punkto a papunktyje, arba teisminė institucija priima sprendimą, kaip nurodyta 2 straipsnio 1 dalies 8 punkto b papunktyje.</w:t>
      </w:r>
    </w:p>
    <w:p w:rsidR="000B604B" w:rsidRPr="00E22DDE" w:rsidRDefault="000B604B" w:rsidP="004226A9">
      <w:pPr>
        <w:pStyle w:val="Text1"/>
        <w:spacing w:line="360" w:lineRule="auto"/>
        <w:rPr>
          <w:lang w:val="lt-LT"/>
        </w:rPr>
      </w:pPr>
      <w:r w:rsidRPr="00E22DDE">
        <w:rPr>
          <w:lang w:val="lt-LT"/>
        </w:rPr>
        <w:t xml:space="preserve">2. Valstybės narės užtikrina, kad 6 straipsnio 1 dalyje nurodyta draudimo suma būtų taikoma kiekvienam klientui, kuris atitinka šio straipsnio 1 dalies c punkte nustatytas sąlygas. Nukrypstant nuo 7 straipsnio 1 dalies, nustatydama atskiram klientui grąžintiną sumą, IGS neatsižvelgia į bendrą indėlių, kuriuos tas klientas laiko toje pačioje kredito įstaigoje, sumą. </w:t>
      </w:r>
    </w:p>
    <w:p w:rsidR="000B604B" w:rsidRPr="00E22DDE" w:rsidRDefault="000B604B" w:rsidP="004226A9">
      <w:pPr>
        <w:pStyle w:val="Text1"/>
        <w:spacing w:line="360" w:lineRule="auto"/>
        <w:rPr>
          <w:lang w:val="lt-LT"/>
        </w:rPr>
      </w:pPr>
      <w:r w:rsidRPr="00E22DDE">
        <w:rPr>
          <w:lang w:val="lt-LT"/>
        </w:rPr>
        <w:t>3. Valstybės narės užtikrina, kad IGS apdraustuosius indėlius grąžintų ▌tiesiogiai klientui.</w:t>
      </w:r>
    </w:p>
    <w:p w:rsidR="000B604B" w:rsidRPr="00E22DDE" w:rsidRDefault="000B604B" w:rsidP="004226A9">
      <w:pPr>
        <w:pStyle w:val="Text1"/>
        <w:spacing w:line="360" w:lineRule="auto"/>
        <w:rPr>
          <w:lang w:val="lt-LT"/>
        </w:rPr>
      </w:pPr>
      <w:r w:rsidRPr="00E22DDE">
        <w:rPr>
          <w:lang w:val="lt-LT"/>
        </w:rPr>
        <w:t>4. EBI parengia techninių reguliavimo standartų projektus, kuriuose aiškiai apibrėžia:</w:t>
      </w:r>
    </w:p>
    <w:p w:rsidR="000B604B" w:rsidRPr="00E22DDE" w:rsidRDefault="000B604B" w:rsidP="004226A9">
      <w:pPr>
        <w:pStyle w:val="Point1"/>
        <w:spacing w:line="360" w:lineRule="auto"/>
        <w:rPr>
          <w:lang w:val="lt-LT"/>
        </w:rPr>
      </w:pPr>
      <w:r w:rsidRPr="00E22DDE">
        <w:rPr>
          <w:lang w:val="lt-LT"/>
        </w:rPr>
        <w:t>a)</w:t>
      </w:r>
      <w:r w:rsidRPr="00E22DDE">
        <w:rPr>
          <w:lang w:val="lt-LT"/>
        </w:rPr>
        <w:tab/>
        <w:t xml:space="preserve">techninius duomenis, susijusius su klientų nustatymu grąžinimo tikslais pagal 8 straipsnį; </w:t>
      </w:r>
    </w:p>
    <w:p w:rsidR="000B604B" w:rsidRPr="00E22DDE" w:rsidRDefault="000B604B" w:rsidP="004226A9">
      <w:pPr>
        <w:pStyle w:val="Point1"/>
        <w:spacing w:line="360" w:lineRule="auto"/>
        <w:rPr>
          <w:lang w:val="lt-LT"/>
        </w:rPr>
      </w:pPr>
      <w:r w:rsidRPr="00E22DDE">
        <w:rPr>
          <w:lang w:val="lt-LT"/>
        </w:rPr>
        <w:lastRenderedPageBreak/>
        <w:t>▌</w:t>
      </w:r>
    </w:p>
    <w:p w:rsidR="000B604B" w:rsidRPr="00E22DDE" w:rsidRDefault="000B604B" w:rsidP="004226A9">
      <w:pPr>
        <w:pStyle w:val="Point1"/>
        <w:spacing w:line="360" w:lineRule="auto"/>
        <w:rPr>
          <w:lang w:val="lt-LT"/>
        </w:rPr>
      </w:pPr>
      <w:r w:rsidRPr="00E22DDE">
        <w:rPr>
          <w:lang w:val="lt-LT"/>
        </w:rPr>
        <w:t>c)</w:t>
      </w:r>
      <w:r w:rsidRPr="00E22DDE">
        <w:rPr>
          <w:lang w:val="lt-LT"/>
        </w:rPr>
        <w:tab/>
        <w:t>taisykles, kurias taikant išvengiama pasikartojančių reikalavimų išmokėti išmokas tam pačiam gavėjui.</w:t>
      </w:r>
    </w:p>
    <w:p w:rsidR="000B604B" w:rsidRPr="00E22DDE" w:rsidRDefault="000B604B" w:rsidP="004226A9">
      <w:pPr>
        <w:pStyle w:val="Text1"/>
        <w:spacing w:line="360" w:lineRule="auto"/>
        <w:rPr>
          <w:lang w:val="lt-LT"/>
        </w:rPr>
      </w:pPr>
      <w:r w:rsidRPr="00E22DDE">
        <w:rPr>
          <w:lang w:val="lt-LT"/>
        </w:rPr>
        <w:t>Rengdama tuos techninių reguliavimo standartų projektus, EBI atsižvelgia į visus šiuos aspektus:</w:t>
      </w:r>
    </w:p>
    <w:p w:rsidR="000B604B" w:rsidRPr="00E22DDE" w:rsidRDefault="000B604B" w:rsidP="004226A9">
      <w:pPr>
        <w:pStyle w:val="Point1"/>
        <w:spacing w:line="360" w:lineRule="auto"/>
        <w:rPr>
          <w:lang w:val="lt-LT"/>
        </w:rPr>
      </w:pPr>
      <w:r w:rsidRPr="00E22DDE">
        <w:rPr>
          <w:lang w:val="lt-LT"/>
        </w:rPr>
        <w:t>a)</w:t>
      </w:r>
      <w:r w:rsidRPr="00E22DDE">
        <w:rPr>
          <w:lang w:val="lt-LT"/>
        </w:rPr>
        <w:tab/>
        <w:t>5 straipsnio 1 dalies d punkte nurodytų skirtingų rūšių finansų įstaigų verslo modelio ypatumus;</w:t>
      </w:r>
    </w:p>
    <w:p w:rsidR="000B604B" w:rsidRPr="00E22DDE" w:rsidRDefault="000B604B" w:rsidP="004226A9">
      <w:pPr>
        <w:pStyle w:val="Point1"/>
        <w:spacing w:line="360" w:lineRule="auto"/>
        <w:rPr>
          <w:lang w:val="lt-LT"/>
        </w:rPr>
      </w:pPr>
      <w:r w:rsidRPr="00E22DDE">
        <w:rPr>
          <w:lang w:val="lt-LT"/>
        </w:rPr>
        <w:t>b)</w:t>
      </w:r>
      <w:r w:rsidRPr="00E22DDE">
        <w:rPr>
          <w:lang w:val="lt-LT"/>
        </w:rPr>
        <w:tab/>
        <w:t>konkrečius taikytinų Sąjungos teisės aktų, kuriais reglamentuojama finansų įstaigų, nurodytų 5 straipsnio 1 dalies d punkte, veikla, reikalavimus, susijusius su klientų lėšų traktavimu.</w:t>
      </w:r>
    </w:p>
    <w:p w:rsidR="000B604B" w:rsidRPr="00E22DDE" w:rsidRDefault="000B604B" w:rsidP="004226A9">
      <w:pPr>
        <w:pStyle w:val="Text1"/>
        <w:spacing w:line="360" w:lineRule="auto"/>
        <w:rPr>
          <w:lang w:val="lt-LT"/>
        </w:rPr>
      </w:pPr>
      <w:r w:rsidRPr="00E22DDE">
        <w:rPr>
          <w:lang w:val="lt-LT"/>
        </w:rPr>
        <w:t>EBI tuos techninių reguliavimo standartų projektus Komisijai pateikia iki [Leidinių biuro prašoma įrašyti datą – 12 mėnesių po šios direktyvos įsigaliojimo dienos].</w:t>
      </w:r>
    </w:p>
    <w:p w:rsidR="000B604B" w:rsidRPr="00E22DDE" w:rsidRDefault="000B604B" w:rsidP="004226A9">
      <w:pPr>
        <w:pStyle w:val="Text1"/>
        <w:spacing w:line="360" w:lineRule="auto"/>
        <w:rPr>
          <w:lang w:val="lt-LT"/>
        </w:rPr>
      </w:pPr>
      <w:r w:rsidRPr="00E22DDE">
        <w:rPr>
          <w:lang w:val="lt-LT"/>
        </w:rPr>
        <w:t>Komisijai deleguojami įgaliojimai papildyti šią direktyvą priimant šios dalies pirmoje pastraipoje nurodytus techninius reguliavimo standartus pagal Reglamento (ES) Nr. 1093/2010 10–14 straipsnius.</w:t>
      </w:r>
    </w:p>
    <w:p w:rsidR="000B604B" w:rsidRPr="00E22DDE" w:rsidRDefault="000B604B" w:rsidP="004226A9">
      <w:pPr>
        <w:pStyle w:val="Text1"/>
        <w:spacing w:line="360" w:lineRule="auto"/>
        <w:ind w:left="851"/>
        <w:jc w:val="center"/>
        <w:rPr>
          <w:i/>
          <w:iCs/>
          <w:lang w:val="lt-LT"/>
        </w:rPr>
      </w:pPr>
      <w:r w:rsidRPr="00E22DDE">
        <w:rPr>
          <w:i/>
          <w:lang w:val="lt-LT"/>
        </w:rPr>
        <w:t>8c straipsnis</w:t>
      </w:r>
    </w:p>
    <w:p w:rsidR="000B604B" w:rsidRPr="00E22DDE" w:rsidRDefault="000B604B" w:rsidP="004226A9">
      <w:pPr>
        <w:pStyle w:val="Text1"/>
        <w:keepNext/>
        <w:spacing w:line="360" w:lineRule="auto"/>
        <w:ind w:left="851"/>
        <w:jc w:val="center"/>
        <w:rPr>
          <w:b/>
          <w:iCs/>
          <w:lang w:val="lt-LT"/>
        </w:rPr>
      </w:pPr>
      <w:r w:rsidRPr="00E22DDE">
        <w:rPr>
          <w:b/>
          <w:lang w:val="lt-LT"/>
        </w:rPr>
        <w:t xml:space="preserve">Grąžinimo sustabdymas kilus įtarimui dėl pinigų plovimo ar terorizmo finansavimo </w:t>
      </w:r>
    </w:p>
    <w:p w:rsidR="000B604B" w:rsidRPr="00E22DDE" w:rsidRDefault="000B604B" w:rsidP="004226A9">
      <w:pPr>
        <w:pStyle w:val="Text1"/>
        <w:spacing w:line="360" w:lineRule="auto"/>
        <w:rPr>
          <w:lang w:val="lt-LT"/>
        </w:rPr>
      </w:pPr>
      <w:r w:rsidRPr="00E22DDE">
        <w:rPr>
          <w:lang w:val="lt-LT"/>
        </w:rPr>
        <w:t>1. Valstybės narės užtikrina, kad paskirta valdžios institucija per 24 valandas nuo to momento, kai ta paskirta valdžios institucija gavo [įrašyti nuorodą – pasiūlymas dėl Kovos su pinigų plovimu direktyvos, kuria panaikinama Direktyva (ES) 2015/849, COM(2021) 423 final] 48 straipsnio 4 dalyje nurodytą informaciją, informuotų IGS apie Reglamento (ES) ... [įrašyti trumpą nuorodą – pasiūlymas dėl Kovos su pinigų plovimu reglamento, COM(2021) 420 final] 15 straipsnio 4 dalyje nurodytų išsamaus klientų patikrinimo priemonių rezultatus. Valstybės narės užtikrina, kad informacija, kuria keičiasi paskirta valdžios institucija ir IGS, apimtų tik informaciją, kuri yra griežtai būtina IGS užduotims ir pareigoms pagal šią direktyvą vykdyti, ir kad toks keitimasis informacija atitiktų Europos Parlamento ir Tarybos direktyvoje 96/9/EB** nustatytus reikalavimus.</w:t>
      </w:r>
    </w:p>
    <w:p w:rsidR="000B604B" w:rsidRPr="00E22DDE" w:rsidRDefault="000B604B" w:rsidP="004226A9">
      <w:pPr>
        <w:pStyle w:val="Text1"/>
        <w:spacing w:line="360" w:lineRule="auto"/>
        <w:rPr>
          <w:lang w:val="lt-LT"/>
        </w:rPr>
      </w:pPr>
      <w:r w:rsidRPr="00E22DDE">
        <w:rPr>
          <w:lang w:val="lt-LT"/>
        </w:rPr>
        <w:t xml:space="preserve">2. Valstybės narės užtikrina, kad, kol bus priimtas teismo sprendimas, IGS sustabdytų 8 straipsnio 1 dalyje nurodytą indėlių grąžinimą, jei indėlininkui arba bet kuriam </w:t>
      </w:r>
      <w:r w:rsidRPr="00E22DDE">
        <w:rPr>
          <w:lang w:val="lt-LT"/>
        </w:rPr>
        <w:lastRenderedPageBreak/>
        <w:t>asmeniui, turinčiam teisę į jo sąskaitoje laikomas sumas, buvo pareikšti kaltinimai dėl nusikalstamos veikos, įvykdytos dėl pinigų plovimo ar terorizmo finansavimo, arba su pinigų plovimu ar terorizmo finansavimu susijusios nusikalstamos veikos.</w:t>
      </w:r>
    </w:p>
    <w:p w:rsidR="000B604B" w:rsidRPr="00E22DDE" w:rsidRDefault="000B604B" w:rsidP="004226A9">
      <w:pPr>
        <w:pStyle w:val="Text1"/>
        <w:spacing w:line="360" w:lineRule="auto"/>
        <w:rPr>
          <w:lang w:val="lt-LT"/>
        </w:rPr>
      </w:pPr>
      <w:r w:rsidRPr="00E22DDE">
        <w:rPr>
          <w:lang w:val="lt-LT"/>
        </w:rPr>
        <w:t xml:space="preserve">3. Valstybės narės užtikrina, kad IGS sustabdytų 8 straipsnio 1 dalyje nurodytą indėlių grąžinimą tokiam pačiam laikotarpiui, kaip nustatyta [įrašyti trumpą nuorodą – pasiūlymas dėl Kovos su pinigų plovimu direktyvos, kuria panaikinama Direktyva (ES) 2015/849, COM(2021) 423 final] 20 straipsnyje, kai Direktyvos (ES) [įrašyti nuorodą – pasiūlymas dėl Kovos su pinigų plovimu direktyvos, kuria panaikinama Direktyva (ES) 2015/849, COM(2021) 423 final] 32 straipsnyje nurodytas finansinės žvalgybos padalinys joms praneša, kad tas padalinys nusprendė sustabdyti sandorį arba neleisti vykdyti tokio sandorio, arba sustabdyti banko arba mokėjimo sąskaitos veikimą pagal Direktyvos (ES) [įrašyti nuorodą – pasiūlymas dėl Kovos su pinigų plovimu direktyvos, kuria panaikinama Direktyva (ES) 2015/849, COM(2021) 423 final] 20 straipsnio 1 arba 2 dalį. </w:t>
      </w:r>
    </w:p>
    <w:p w:rsidR="000B604B" w:rsidRPr="00E22DDE" w:rsidRDefault="000B604B" w:rsidP="00C109BB">
      <w:pPr>
        <w:pStyle w:val="Text1"/>
        <w:spacing w:line="360" w:lineRule="auto"/>
        <w:rPr>
          <w:lang w:val="lt-LT"/>
        </w:rPr>
      </w:pPr>
      <w:r w:rsidRPr="00E22DDE">
        <w:rPr>
          <w:lang w:val="lt-LT"/>
        </w:rPr>
        <w:t>4. Valstybės narės užtikrina, kad IGS nebūtų laikomos atsakingomis už jokias priemones, kurių imtasi pagal finansinės žvalgybos padalinio nurodymus. IGS visą iš finansinės žvalgybos padalinio gautą informaciją naudoja tik šios direktyvos tikslais.</w:t>
      </w:r>
    </w:p>
    <w:p w:rsidR="00C109BB" w:rsidRPr="00E22DDE" w:rsidRDefault="00C109BB" w:rsidP="00C109BB">
      <w:pPr>
        <w:pStyle w:val="Text1"/>
        <w:spacing w:line="360" w:lineRule="auto"/>
        <w:rPr>
          <w:lang w:val="lt-LT"/>
        </w:rPr>
      </w:pPr>
      <w:r w:rsidRPr="00E22DDE">
        <w:rPr>
          <w:lang w:val="lt-LT"/>
        </w:rPr>
        <w:t>_____________________</w:t>
      </w:r>
    </w:p>
    <w:p w:rsidR="000B604B" w:rsidRPr="00E22DDE" w:rsidRDefault="000B604B" w:rsidP="004226A9">
      <w:pPr>
        <w:pStyle w:val="Text1"/>
        <w:spacing w:line="360" w:lineRule="auto"/>
        <w:ind w:left="1418" w:hanging="567"/>
        <w:rPr>
          <w:szCs w:val="24"/>
          <w:lang w:val="lt-LT"/>
        </w:rPr>
      </w:pPr>
      <w:r w:rsidRPr="00E22DDE">
        <w:rPr>
          <w:lang w:val="lt-LT"/>
        </w:rPr>
        <w:t>*</w:t>
      </w:r>
      <w:r w:rsidRPr="00E22DDE">
        <w:rPr>
          <w:lang w:val="lt-LT"/>
        </w:rPr>
        <w:tab/>
        <w:t>2014 m. liepos 23 d. Europos Parlamento ir Tarybos direktyva 2014/92/ES dėl mokesčių, susijusių su mokėjimo sąskaitomis, palyginamumo, mokėjimo sąskaitų perkėlimo ir galimybės naudotis būtiniausias savybes turinčiomis mokėjimo sąskaitomis (OL L 257, 2014 8 28, p. 214).</w:t>
      </w:r>
    </w:p>
    <w:p w:rsidR="000B604B" w:rsidRPr="00E22DDE" w:rsidRDefault="000B604B" w:rsidP="004226A9">
      <w:pPr>
        <w:pStyle w:val="Text1"/>
        <w:spacing w:line="360" w:lineRule="auto"/>
        <w:ind w:left="1418" w:hanging="567"/>
        <w:rPr>
          <w:szCs w:val="24"/>
          <w:lang w:val="lt-LT"/>
        </w:rPr>
      </w:pPr>
      <w:r w:rsidRPr="00E22DDE">
        <w:rPr>
          <w:lang w:val="lt-LT"/>
        </w:rPr>
        <w:t>**</w:t>
      </w:r>
      <w:r w:rsidRPr="00E22DDE">
        <w:rPr>
          <w:lang w:val="lt-LT"/>
        </w:rPr>
        <w:tab/>
        <w:t>1996 m. kovo 11 d. Europos Parlamento ir Tarybos direktyva 96/9/EB dėl duomenų bazių teisinės apsaugos (OL L 77, 1996 3 27, p. 20).“;</w:t>
      </w:r>
    </w:p>
    <w:p w:rsidR="000B604B" w:rsidRPr="00E22DDE" w:rsidRDefault="000B604B" w:rsidP="004226A9">
      <w:pPr>
        <w:pStyle w:val="Point0"/>
        <w:spacing w:line="360" w:lineRule="auto"/>
        <w:rPr>
          <w:lang w:val="lt-LT"/>
        </w:rPr>
      </w:pPr>
      <w:r w:rsidRPr="00E22DDE">
        <w:rPr>
          <w:lang w:val="lt-LT"/>
        </w:rPr>
        <w:t>10)</w:t>
      </w:r>
      <w:r w:rsidRPr="00E22DDE">
        <w:rPr>
          <w:lang w:val="lt-LT"/>
        </w:rPr>
        <w:tab/>
        <w:t>9 straipsnio 2 ir 3 dalys pakeičiamos taip:</w:t>
      </w:r>
    </w:p>
    <w:p w:rsidR="000B604B" w:rsidRPr="00E22DDE" w:rsidRDefault="000B604B" w:rsidP="004226A9">
      <w:pPr>
        <w:pStyle w:val="Text1"/>
        <w:spacing w:line="360" w:lineRule="auto"/>
        <w:rPr>
          <w:lang w:val="lt-LT"/>
        </w:rPr>
      </w:pPr>
      <w:r w:rsidRPr="00E22DDE">
        <w:rPr>
          <w:lang w:val="lt-LT"/>
        </w:rPr>
        <w:t xml:space="preserve">„2. Nedarant poveikio teisėms, kurias IGS gali turėti pagal nacionalinę teisę, IGS, kuri atlieka mokėjimus pagal garantijas nacionalinėje sistemoje, vykstant likvidavimo arba reorganizavimo procedūrai turi teisę perimti indėlininkų teises į sumą, kuri lygi tos IGS indėlininkams išmokamoms sumoms. IGS, kurios moka įnašą taikant Direktyvos 2014/59/ES 37 straipsnio 3 dalies a arba b punkte nurodytas pertvarkymo priemones arba priemones, kurių imtasi pagal šios direktyvos 11 straipsnio 5 dalį, turi reikalavimą likusios kredito įstaigos atžvilgiu dėl nuostolių, patirtų dėl bet kokių pertvarkymui </w:t>
      </w:r>
      <w:r w:rsidRPr="00E22DDE">
        <w:rPr>
          <w:lang w:val="lt-LT"/>
        </w:rPr>
        <w:lastRenderedPageBreak/>
        <w:t>skirtų įnašų pagal Direktyvos 2014/59/ES 109 straipsnį arba dėl pervedimo, atlikto pagal šios direktyvos 11 straipsnio 5 dalį sumai</w:t>
      </w:r>
      <w:r w:rsidRPr="00E22DDE">
        <w:rPr>
          <w:b/>
          <w:i/>
          <w:lang w:val="lt-LT"/>
        </w:rPr>
        <w:t>, lygiai jų įnašui, jei likusi kredito įstaiga likviduojama</w:t>
      </w:r>
      <w:r w:rsidRPr="00E22DDE">
        <w:rPr>
          <w:lang w:val="lt-LT"/>
        </w:rPr>
        <w:t xml:space="preserve">. ▌Tas reikalavimas yra tokio paties prioriteto kaip </w:t>
      </w:r>
      <w:r w:rsidRPr="00E22DDE">
        <w:rPr>
          <w:b/>
          <w:i/>
          <w:lang w:val="lt-LT"/>
        </w:rPr>
        <w:t>apdraustųjų</w:t>
      </w:r>
      <w:r w:rsidRPr="00E22DDE">
        <w:rPr>
          <w:lang w:val="lt-LT"/>
        </w:rPr>
        <w:t xml:space="preserve"> indėlių prioritetas, nustatytas įprastines bankroto bylas reglamentuojančiuose nacionalinės teisės aktuose.</w:t>
      </w:r>
    </w:p>
    <w:p w:rsidR="000B604B" w:rsidRPr="00E22DDE" w:rsidRDefault="000B604B" w:rsidP="004226A9">
      <w:pPr>
        <w:pStyle w:val="Text1"/>
        <w:spacing w:line="360" w:lineRule="auto"/>
        <w:rPr>
          <w:lang w:val="lt-LT"/>
        </w:rPr>
      </w:pPr>
      <w:r w:rsidRPr="00E22DDE">
        <w:rPr>
          <w:lang w:val="lt-LT"/>
        </w:rPr>
        <w:t>3. Valstybės narės užtikrina, kad indėlininkai, kurių indėlių iki 8 straipsnio 1 ir 3 dalyse nustatytų terminų IGS negrąžino ar nepripažino, galėtų reikalauti grąžinti jų indėlius per penkerių metų laikotarpį.“;</w:t>
      </w:r>
    </w:p>
    <w:p w:rsidR="000B604B" w:rsidRPr="00E22DDE" w:rsidRDefault="000B604B" w:rsidP="004226A9">
      <w:pPr>
        <w:pStyle w:val="Point0"/>
        <w:spacing w:line="360" w:lineRule="auto"/>
        <w:rPr>
          <w:lang w:val="lt-LT"/>
        </w:rPr>
      </w:pPr>
      <w:r w:rsidRPr="00E22DDE">
        <w:rPr>
          <w:lang w:val="lt-LT"/>
        </w:rPr>
        <w:t>11)</w:t>
      </w:r>
      <w:r w:rsidRPr="00E22DDE">
        <w:rPr>
          <w:lang w:val="lt-LT"/>
        </w:rPr>
        <w:tab/>
        <w:t>10 straipsnis iš dalies keičiamas taip:</w:t>
      </w:r>
    </w:p>
    <w:p w:rsidR="000B604B" w:rsidRPr="00E22DDE" w:rsidRDefault="000B604B" w:rsidP="004226A9">
      <w:pPr>
        <w:pStyle w:val="Point1"/>
        <w:spacing w:line="360" w:lineRule="auto"/>
        <w:rPr>
          <w:lang w:val="lt-LT"/>
        </w:rPr>
      </w:pPr>
      <w:r w:rsidRPr="00E22DDE">
        <w:rPr>
          <w:lang w:val="lt-LT"/>
        </w:rPr>
        <w:t>a)</w:t>
      </w:r>
      <w:r w:rsidRPr="00E22DDE">
        <w:rPr>
          <w:lang w:val="lt-LT"/>
        </w:rPr>
        <w:tab/>
        <w:t>2 dalis iš dalies keičiama taip:</w:t>
      </w:r>
    </w:p>
    <w:p w:rsidR="000B604B" w:rsidRPr="00E22DDE" w:rsidRDefault="000B604B" w:rsidP="004226A9">
      <w:pPr>
        <w:pStyle w:val="Point2"/>
        <w:spacing w:line="360" w:lineRule="auto"/>
        <w:rPr>
          <w:lang w:val="lt-LT"/>
        </w:rPr>
      </w:pPr>
      <w:r w:rsidRPr="00E22DDE">
        <w:rPr>
          <w:lang w:val="lt-LT"/>
        </w:rPr>
        <w:t>i)</w:t>
      </w:r>
      <w:r w:rsidRPr="00E22DDE">
        <w:rPr>
          <w:lang w:val="lt-LT"/>
        </w:rPr>
        <w:tab/>
        <w:t>po pirmos pastraipos įterpiamos šios pastraipos:</w:t>
      </w:r>
    </w:p>
    <w:p w:rsidR="000B604B" w:rsidRPr="00E22DDE" w:rsidRDefault="000B604B" w:rsidP="004226A9">
      <w:pPr>
        <w:pStyle w:val="Text3"/>
        <w:spacing w:line="360" w:lineRule="auto"/>
        <w:rPr>
          <w:lang w:val="lt-LT"/>
        </w:rPr>
      </w:pPr>
      <w:r w:rsidRPr="00E22DDE">
        <w:rPr>
          <w:lang w:val="lt-LT"/>
        </w:rPr>
        <w:t xml:space="preserve">„Apskaičiuojant pirmoje pastraipoje nurodytą tikslinį lygį taikomas bazinis laikotarpis yra nuo gruodžio 31 d., ankstesnės nei data, iki kurios turi būti pasiektas tikslinis lygis, iki tos datos. </w:t>
      </w:r>
    </w:p>
    <w:p w:rsidR="000B604B" w:rsidRPr="00E22DDE" w:rsidRDefault="000B604B" w:rsidP="004226A9">
      <w:pPr>
        <w:pStyle w:val="Text3"/>
        <w:spacing w:line="360" w:lineRule="auto"/>
        <w:rPr>
          <w:lang w:val="lt-LT"/>
        </w:rPr>
      </w:pPr>
      <w:r w:rsidRPr="00E22DDE">
        <w:rPr>
          <w:lang w:val="lt-LT"/>
        </w:rPr>
        <w:t xml:space="preserve">Nustatydamos, ar IGS pasiekė tą tikslinį lygį, valstybės narės atsižvelgia tik į turimus finansinius išteklius, kuriuos nariai tiesiogiai skyrė IGS arba kuriuos IGS iš jų susigrąžino, atskaičius administracinius mokesčius ir rinkliavas. Tie turimi finansiniai ištekliai apima investicines pajamas, gautas iš narių į IGS įneštų lėšų, tačiau neapima sumų, kurių reikalavimus atitinkantys indėlininkai nepareikalavo vykdant išmokėjimo procedūras, </w:t>
      </w:r>
      <w:r w:rsidRPr="00E22DDE">
        <w:rPr>
          <w:b/>
          <w:i/>
          <w:lang w:val="lt-LT"/>
        </w:rPr>
        <w:t>visų IGS mokėtinų skolos įsipareigojimų, įskaitant paskolas iš kitų IGS ir 10 straipsnio 9 dalyje nurodytų alternatyvaus finansavimo struktūrų</w:t>
      </w:r>
      <w:r w:rsidRPr="00E22DDE">
        <w:rPr>
          <w:lang w:val="lt-LT"/>
        </w:rPr>
        <w:t xml:space="preserve">. </w:t>
      </w:r>
      <w:r w:rsidRPr="00E22DDE">
        <w:rPr>
          <w:b/>
          <w:i/>
          <w:lang w:val="lt-LT"/>
        </w:rPr>
        <w:t>Negrąžinta paskola kitai IGS pagal 12 straipsnį laikoma paskolą suteikusios IGS turtu ir gali būti įskaičiuota į tos IGS tikslinį lygį</w:t>
      </w:r>
      <w:r w:rsidRPr="00E22DDE">
        <w:rPr>
          <w:lang w:val="lt-LT"/>
        </w:rPr>
        <w:t>.“;</w:t>
      </w:r>
    </w:p>
    <w:p w:rsidR="000B604B" w:rsidRPr="00E22DDE" w:rsidRDefault="000B604B" w:rsidP="004226A9">
      <w:pPr>
        <w:pStyle w:val="Point2"/>
        <w:spacing w:line="360" w:lineRule="auto"/>
        <w:rPr>
          <w:lang w:val="lt-LT"/>
        </w:rPr>
      </w:pPr>
      <w:r w:rsidRPr="00E22DDE">
        <w:rPr>
          <w:lang w:val="lt-LT"/>
        </w:rPr>
        <w:t>ii)</w:t>
      </w:r>
      <w:r w:rsidRPr="00E22DDE">
        <w:rPr>
          <w:lang w:val="lt-LT"/>
        </w:rPr>
        <w:tab/>
        <w:t>trečia pastraipa pakeičiama taip:</w:t>
      </w:r>
    </w:p>
    <w:p w:rsidR="000B604B" w:rsidRPr="00E22DDE" w:rsidRDefault="000B604B" w:rsidP="004226A9">
      <w:pPr>
        <w:pStyle w:val="Text3"/>
        <w:spacing w:line="360" w:lineRule="auto"/>
        <w:rPr>
          <w:lang w:val="lt-LT"/>
        </w:rPr>
      </w:pPr>
      <w:r w:rsidRPr="00E22DDE">
        <w:rPr>
          <w:lang w:val="lt-LT"/>
        </w:rPr>
        <w:t xml:space="preserve">„Jei po to, kai pirmą kartą pasiekiamas pirmoje pastraipoje nurodytas tikslinis lygis ir, išmokėjus IGS lėšas pagal 8 straipsnio 1 dalį ir 11 straipsnio 2, 3 ir 5 dalis, turimi finansiniai ištekliai sumažėjo iki mažiau nei dviejų trečdalių tikslinio lygio, IGS nustato tokio dydžio reguliarų įnašą, kad tikslinį lygį būtų galima pasiekti per </w:t>
      </w:r>
      <w:r w:rsidRPr="00E22DDE">
        <w:rPr>
          <w:b/>
          <w:i/>
          <w:lang w:val="lt-LT"/>
        </w:rPr>
        <w:t>ketverius</w:t>
      </w:r>
      <w:r w:rsidRPr="00E22DDE">
        <w:rPr>
          <w:lang w:val="lt-LT"/>
        </w:rPr>
        <w:t xml:space="preserve"> metus.</w:t>
      </w:r>
    </w:p>
    <w:p w:rsidR="000B604B" w:rsidRPr="00E22DDE" w:rsidRDefault="000B604B" w:rsidP="004226A9">
      <w:pPr>
        <w:pStyle w:val="Text3"/>
        <w:spacing w:line="360" w:lineRule="auto"/>
        <w:rPr>
          <w:lang w:val="lt-LT"/>
        </w:rPr>
      </w:pPr>
      <w:r w:rsidRPr="00E22DDE">
        <w:rPr>
          <w:b/>
          <w:i/>
          <w:lang w:val="lt-LT"/>
        </w:rPr>
        <w:lastRenderedPageBreak/>
        <w:t>Jei po to, kai pirmą kartą pasiekiamas pirmoje pastraipoje nurodytas tikslinis lygis ir, išmokėjus IGS lėšas pagal 8 straipsnio 1 dalį ir 11 straipsnio 2, 3 ir 5 dalis, turimi finansiniai ištekliai sumažėjo iki mažiau nei vieno trečdalio tikslinio lygio, IGS nustato tokio dydžio reguliarų įnašą, kad tikslinį lygį būtų galima pasiekti per dvejus metus.</w:t>
      </w:r>
      <w:r w:rsidRPr="00E22DDE">
        <w:rPr>
          <w:lang w:val="lt-LT"/>
        </w:rPr>
        <w:t>“;</w:t>
      </w:r>
    </w:p>
    <w:p w:rsidR="000B604B" w:rsidRPr="00E22DDE" w:rsidRDefault="000B604B" w:rsidP="004226A9">
      <w:pPr>
        <w:pStyle w:val="Text3"/>
        <w:spacing w:line="360" w:lineRule="auto"/>
        <w:ind w:hanging="566"/>
        <w:rPr>
          <w:b/>
          <w:i/>
          <w:lang w:val="lt-LT"/>
        </w:rPr>
      </w:pPr>
      <w:r w:rsidRPr="00E22DDE">
        <w:rPr>
          <w:b/>
          <w:i/>
          <w:lang w:val="lt-LT"/>
        </w:rPr>
        <w:t>iia)</w:t>
      </w:r>
      <w:r w:rsidRPr="00E22DDE">
        <w:rPr>
          <w:b/>
          <w:i/>
          <w:lang w:val="lt-LT"/>
        </w:rPr>
        <w:tab/>
        <w:t>penkta pastraipa pakeičiama taip:</w:t>
      </w:r>
    </w:p>
    <w:p w:rsidR="000B604B" w:rsidRPr="00E22DDE" w:rsidRDefault="000B604B" w:rsidP="004226A9">
      <w:pPr>
        <w:pStyle w:val="Text3"/>
        <w:spacing w:line="360" w:lineRule="auto"/>
        <w:ind w:firstLine="1"/>
        <w:rPr>
          <w:b/>
          <w:i/>
          <w:lang w:val="lt-LT"/>
        </w:rPr>
      </w:pPr>
      <w:r w:rsidRPr="00E22DDE">
        <w:rPr>
          <w:b/>
          <w:i/>
          <w:lang w:val="lt-LT"/>
        </w:rPr>
        <w:t>„Valstybės narės gali ne daugiau kaip ketveriais metais pratęsti pradinį laikotarpį, nurodytą pirmoje pastraipoje, jeigu iš IGS išmokėta bendra išmokų suma viršija 0,8 % apdraustųjų indėlių, siekiant grąžinti indėlius indėlininkams.“;</w:t>
      </w:r>
    </w:p>
    <w:p w:rsidR="000B604B" w:rsidRPr="00E22DDE" w:rsidRDefault="000B604B" w:rsidP="004226A9">
      <w:pPr>
        <w:pStyle w:val="Point1"/>
        <w:spacing w:line="360" w:lineRule="auto"/>
        <w:rPr>
          <w:lang w:val="lt-LT"/>
        </w:rPr>
      </w:pPr>
      <w:r w:rsidRPr="00E22DDE">
        <w:rPr>
          <w:lang w:val="lt-LT"/>
        </w:rPr>
        <w:t>b)</w:t>
      </w:r>
      <w:r w:rsidRPr="00E22DDE">
        <w:rPr>
          <w:lang w:val="lt-LT"/>
        </w:rPr>
        <w:tab/>
        <w:t>3 dalis pakeičiama taip:</w:t>
      </w:r>
    </w:p>
    <w:p w:rsidR="000B604B" w:rsidRPr="00E22DDE" w:rsidRDefault="000B604B" w:rsidP="004226A9">
      <w:pPr>
        <w:pStyle w:val="Text2"/>
        <w:spacing w:line="360" w:lineRule="auto"/>
        <w:rPr>
          <w:lang w:val="lt-LT"/>
        </w:rPr>
      </w:pPr>
      <w:r w:rsidRPr="00E22DDE">
        <w:rPr>
          <w:lang w:val="lt-LT"/>
        </w:rPr>
        <w:t>„3. Turimi finansiniai ištekliai, į kuriuos IGS atsižvelgia siekdama užtikrinti 2 dalyje nurodytą tikslinį lygį, gali apimti mokėjimo įsipareigojimus</w:t>
      </w:r>
      <w:r w:rsidRPr="00E22DDE">
        <w:rPr>
          <w:b/>
          <w:i/>
          <w:lang w:val="lt-LT"/>
        </w:rPr>
        <w:t>, mokėtinus per 48 valandas nuo IGS prašymo pateikimo momento</w:t>
      </w:r>
      <w:r w:rsidRPr="00E22DDE">
        <w:rPr>
          <w:lang w:val="lt-LT"/>
        </w:rPr>
        <w:t xml:space="preserve">. Bendra tokių mokėjimo įsipareigojimų dalis turi neviršyti 30 % bendros turimų finansinių išteklių, surinktų pagal 2 dalį, sumos. </w:t>
      </w:r>
    </w:p>
    <w:p w:rsidR="000B604B" w:rsidRPr="00E22DDE" w:rsidRDefault="000B604B" w:rsidP="004226A9">
      <w:pPr>
        <w:pStyle w:val="Text2"/>
        <w:spacing w:line="360" w:lineRule="auto"/>
        <w:rPr>
          <w:lang w:val="lt-LT"/>
        </w:rPr>
      </w:pPr>
      <w:r w:rsidRPr="00E22DDE">
        <w:rPr>
          <w:lang w:val="lt-LT"/>
        </w:rPr>
        <w:t>EBI paskelbia gaires dėl mokėjimo įsipareigojimų, kuriose nustatomi tų įsipareigojimų priimtinumo kriterijai.“;</w:t>
      </w:r>
    </w:p>
    <w:p w:rsidR="000B604B" w:rsidRPr="00E22DDE" w:rsidRDefault="000B604B" w:rsidP="004226A9">
      <w:pPr>
        <w:pStyle w:val="Point1"/>
        <w:spacing w:line="360" w:lineRule="auto"/>
        <w:rPr>
          <w:lang w:val="lt-LT"/>
        </w:rPr>
      </w:pPr>
      <w:r w:rsidRPr="00E22DDE">
        <w:rPr>
          <w:lang w:val="lt-LT"/>
        </w:rPr>
        <w:t>c)</w:t>
      </w:r>
      <w:r w:rsidRPr="00E22DDE">
        <w:rPr>
          <w:lang w:val="lt-LT"/>
        </w:rPr>
        <w:tab/>
        <w:t xml:space="preserve">4 dalis išbraukiama; </w:t>
      </w:r>
    </w:p>
    <w:p w:rsidR="000B604B" w:rsidRPr="00E22DDE" w:rsidRDefault="000B604B" w:rsidP="004226A9">
      <w:pPr>
        <w:pStyle w:val="Point1"/>
        <w:spacing w:line="360" w:lineRule="auto"/>
        <w:rPr>
          <w:lang w:val="lt-LT"/>
        </w:rPr>
      </w:pPr>
      <w:r w:rsidRPr="00E22DDE">
        <w:rPr>
          <w:lang w:val="lt-LT"/>
        </w:rPr>
        <w:t>d)</w:t>
      </w:r>
      <w:r w:rsidRPr="00E22DDE">
        <w:rPr>
          <w:lang w:val="lt-LT"/>
        </w:rPr>
        <w:tab/>
        <w:t>7 dalis pakeičiama taip:</w:t>
      </w:r>
    </w:p>
    <w:p w:rsidR="000B604B" w:rsidRPr="00E22DDE" w:rsidRDefault="000B604B" w:rsidP="004226A9">
      <w:pPr>
        <w:pStyle w:val="Text2"/>
        <w:spacing w:line="360" w:lineRule="auto"/>
        <w:rPr>
          <w:lang w:val="lt-LT"/>
        </w:rPr>
      </w:pPr>
      <w:r w:rsidRPr="00E22DDE">
        <w:rPr>
          <w:lang w:val="lt-LT"/>
        </w:rPr>
        <w:t xml:space="preserve">„7. Valstybės narės užtikrina, kad IGS, paskirtos valdžios institucijos arba kompetentingos valdžios institucijos nustatytų IGS turimų finansinių išteklių investavimo strategiją ir kad ta investavimo strategija atitiktų diversifikacijos ir investicijų į mažos rizikos ir </w:t>
      </w:r>
      <w:r w:rsidRPr="00E22DDE">
        <w:rPr>
          <w:b/>
          <w:i/>
          <w:lang w:val="lt-LT"/>
        </w:rPr>
        <w:t>likvidų</w:t>
      </w:r>
      <w:r w:rsidRPr="00E22DDE">
        <w:rPr>
          <w:lang w:val="lt-LT"/>
        </w:rPr>
        <w:t xml:space="preserve"> turtą principą.</w:t>
      </w:r>
    </w:p>
    <w:p w:rsidR="000B604B" w:rsidRPr="00E22DDE" w:rsidRDefault="000B604B" w:rsidP="004226A9">
      <w:pPr>
        <w:pStyle w:val="Text2"/>
        <w:spacing w:line="360" w:lineRule="auto"/>
        <w:rPr>
          <w:b/>
          <w:i/>
          <w:lang w:val="lt-LT"/>
        </w:rPr>
      </w:pPr>
      <w:r w:rsidRPr="00E22DDE">
        <w:rPr>
          <w:b/>
          <w:i/>
          <w:lang w:val="lt-LT"/>
        </w:rPr>
        <w:t>Valstybės narės užtikrina, kad šios dalies pirmoje pastraipoje nurodyta investavimo strategija atitiktų Komisijos deleguotojo reglamento (ES) 2016/451* 4, 8 ir 10 straipsniuose nustatytus principus.</w:t>
      </w:r>
    </w:p>
    <w:p w:rsidR="000B604B" w:rsidRPr="00E22DDE" w:rsidRDefault="000B604B" w:rsidP="004226A9">
      <w:pPr>
        <w:pStyle w:val="Text2"/>
        <w:spacing w:line="360" w:lineRule="auto"/>
        <w:rPr>
          <w:b/>
          <w:i/>
          <w:szCs w:val="24"/>
          <w:lang w:val="lt-LT"/>
        </w:rPr>
      </w:pPr>
      <w:r w:rsidRPr="00E22DDE">
        <w:rPr>
          <w:b/>
          <w:i/>
          <w:lang w:val="lt-LT"/>
        </w:rPr>
        <w:t>_______________</w:t>
      </w:r>
    </w:p>
    <w:p w:rsidR="000B604B" w:rsidRPr="00E22DDE" w:rsidRDefault="000B604B" w:rsidP="004226A9">
      <w:pPr>
        <w:pStyle w:val="Text2"/>
        <w:spacing w:line="360" w:lineRule="auto"/>
        <w:rPr>
          <w:lang w:val="lt-LT"/>
        </w:rPr>
      </w:pPr>
      <w:r w:rsidRPr="00E22DDE">
        <w:rPr>
          <w:b/>
          <w:i/>
          <w:lang w:val="lt-LT"/>
        </w:rPr>
        <w:t>*</w:t>
      </w:r>
      <w:r w:rsidRPr="00E22DDE">
        <w:rPr>
          <w:b/>
          <w:i/>
          <w:lang w:val="lt-LT"/>
        </w:rPr>
        <w:tab/>
        <w:t xml:space="preserve">2015 m. gruodžio 16 d. Komisijos deleguotasis reglamentas (ES) 2016/451, kuriuo nustatomi Bendro pertvarkymo fondo investicijų strategijos </w:t>
      </w:r>
      <w:r w:rsidRPr="00E22DDE">
        <w:rPr>
          <w:b/>
          <w:i/>
          <w:lang w:val="lt-LT"/>
        </w:rPr>
        <w:lastRenderedPageBreak/>
        <w:t>bendrieji principai ir kriterijai ir Fondo administravimo taisyklės (OL L 79, 2016 3 30, p. 2).</w:t>
      </w:r>
      <w:r w:rsidRPr="00E22DDE">
        <w:rPr>
          <w:lang w:val="lt-LT"/>
        </w:rPr>
        <w:t>“;</w:t>
      </w:r>
    </w:p>
    <w:p w:rsidR="000B604B" w:rsidRPr="00E22DDE" w:rsidRDefault="000B604B" w:rsidP="004226A9">
      <w:pPr>
        <w:pStyle w:val="Point1"/>
        <w:spacing w:line="360" w:lineRule="auto"/>
        <w:rPr>
          <w:lang w:val="lt-LT"/>
        </w:rPr>
      </w:pPr>
      <w:r w:rsidRPr="00E22DDE">
        <w:rPr>
          <w:lang w:val="lt-LT"/>
        </w:rPr>
        <w:t>e)</w:t>
      </w:r>
      <w:r w:rsidRPr="00E22DDE">
        <w:rPr>
          <w:lang w:val="lt-LT"/>
        </w:rPr>
        <w:tab/>
        <w:t>įterpiama 7a dalis:</w:t>
      </w:r>
    </w:p>
    <w:p w:rsidR="000B604B" w:rsidRPr="00E22DDE" w:rsidRDefault="000B604B" w:rsidP="004226A9">
      <w:pPr>
        <w:pStyle w:val="Text2"/>
        <w:spacing w:line="360" w:lineRule="auto"/>
        <w:rPr>
          <w:lang w:val="lt-LT"/>
        </w:rPr>
      </w:pPr>
      <w:r w:rsidRPr="00E22DDE">
        <w:rPr>
          <w:lang w:val="lt-LT"/>
        </w:rPr>
        <w:t xml:space="preserve">„7a. Valstybės narės užtikrina, kad IGS galėtų visus turimus finansinius išteklius ar jų dalį laikyti savo nacionaliniame centriniame banke arba nacionaliniame ižde, jeigu </w:t>
      </w:r>
      <w:r w:rsidRPr="00E22DDE">
        <w:rPr>
          <w:b/>
          <w:i/>
          <w:lang w:val="lt-LT"/>
        </w:rPr>
        <w:t>tai ekonomiškai efektyvus sprendimas IGS atžvilgiu ir</w:t>
      </w:r>
      <w:r w:rsidRPr="00E22DDE">
        <w:rPr>
          <w:lang w:val="lt-LT"/>
        </w:rPr>
        <w:t xml:space="preserve"> tie turimi finansiniai ištekliai laikomi atskirtoje sąskaitoje ir IGS gali jais lengvai naudotis pagal 11 ir 12 straipsnius.“;</w:t>
      </w:r>
    </w:p>
    <w:p w:rsidR="000B604B" w:rsidRPr="00E22DDE" w:rsidRDefault="000B604B" w:rsidP="004226A9">
      <w:pPr>
        <w:pStyle w:val="Text2"/>
        <w:spacing w:line="360" w:lineRule="auto"/>
        <w:ind w:hanging="566"/>
        <w:rPr>
          <w:b/>
          <w:i/>
          <w:lang w:val="lt-LT"/>
        </w:rPr>
      </w:pPr>
      <w:r w:rsidRPr="00E22DDE">
        <w:rPr>
          <w:b/>
          <w:i/>
          <w:lang w:val="lt-LT"/>
        </w:rPr>
        <w:t>ea)</w:t>
      </w:r>
      <w:r w:rsidRPr="00E22DDE">
        <w:rPr>
          <w:b/>
          <w:i/>
          <w:lang w:val="lt-LT"/>
        </w:rPr>
        <w:tab/>
        <w:t>9 dalis pakeičiama taip:</w:t>
      </w:r>
    </w:p>
    <w:p w:rsidR="000B604B" w:rsidRPr="00E22DDE" w:rsidRDefault="000B604B" w:rsidP="004226A9">
      <w:pPr>
        <w:pStyle w:val="Text2"/>
        <w:spacing w:line="360" w:lineRule="auto"/>
        <w:ind w:firstLine="1"/>
        <w:rPr>
          <w:b/>
          <w:i/>
          <w:lang w:val="lt-LT"/>
        </w:rPr>
      </w:pPr>
      <w:r w:rsidRPr="00E22DDE">
        <w:rPr>
          <w:b/>
          <w:i/>
          <w:lang w:val="lt-LT"/>
        </w:rPr>
        <w:t>„9. Valstybės narės užtikrina, kad IGS turėtų atitinkamas alternatyvaus finansavimo struktūras, suteikiančias joms galimybę gauti trumpalaikį finansavimą toms IGS pateiktiems reikalavimams patenkinti. Valstybės narės užtikrina, kad IGS alternatyvaus finansavimo struktūra nebūtų finansuojama viešosiomis lėšomis.“;</w:t>
      </w:r>
    </w:p>
    <w:p w:rsidR="000B604B" w:rsidRPr="00E22DDE" w:rsidRDefault="000B604B" w:rsidP="004226A9">
      <w:pPr>
        <w:pStyle w:val="Point1"/>
        <w:spacing w:line="360" w:lineRule="auto"/>
        <w:rPr>
          <w:lang w:val="lt-LT"/>
        </w:rPr>
      </w:pPr>
      <w:r w:rsidRPr="00E22DDE">
        <w:rPr>
          <w:lang w:val="lt-LT"/>
        </w:rPr>
        <w:t>f)</w:t>
      </w:r>
      <w:r w:rsidRPr="00E22DDE">
        <w:rPr>
          <w:lang w:val="lt-LT"/>
        </w:rPr>
        <w:tab/>
        <w:t>10 dalis išbraukiama;</w:t>
      </w:r>
    </w:p>
    <w:p w:rsidR="000B604B" w:rsidRPr="00E22DDE" w:rsidRDefault="000B604B" w:rsidP="004226A9">
      <w:pPr>
        <w:pStyle w:val="Point1"/>
        <w:spacing w:line="360" w:lineRule="auto"/>
        <w:rPr>
          <w:lang w:val="lt-LT"/>
        </w:rPr>
      </w:pPr>
      <w:r w:rsidRPr="00E22DDE">
        <w:rPr>
          <w:lang w:val="lt-LT"/>
        </w:rPr>
        <w:t>g)</w:t>
      </w:r>
      <w:r w:rsidRPr="00E22DDE">
        <w:rPr>
          <w:lang w:val="lt-LT"/>
        </w:rPr>
        <w:tab/>
        <w:t>įtraukiamos šios 11, 12 ir 13 dalys:</w:t>
      </w:r>
    </w:p>
    <w:p w:rsidR="000B604B" w:rsidRPr="00E22DDE" w:rsidRDefault="000B604B" w:rsidP="004226A9">
      <w:pPr>
        <w:pStyle w:val="Text2"/>
        <w:spacing w:line="360" w:lineRule="auto"/>
        <w:rPr>
          <w:lang w:val="lt-LT"/>
        </w:rPr>
      </w:pPr>
      <w:r w:rsidRPr="00E22DDE">
        <w:rPr>
          <w:lang w:val="lt-LT"/>
        </w:rPr>
        <w:t>„11. Valstybės narės užtikrina, kad taikant 11 straipsnio 1, 2, 3 ir 5 dalyse nurodytas priemones IGS galėtų naudoti lėšas, gautas pagal 10 straipsnio 9 dalyje ▌nurodytas alternatyvias finansavimo priemones, prieš panaudodamos turimus finansinius išteklius ir prieš surinkdamos 10 straipsnio 8 dalyje nurodytus specialius įnašus. ▌</w:t>
      </w:r>
    </w:p>
    <w:p w:rsidR="000B604B" w:rsidRPr="00E22DDE" w:rsidRDefault="000B604B" w:rsidP="004226A9">
      <w:pPr>
        <w:pStyle w:val="Text2"/>
        <w:spacing w:line="360" w:lineRule="auto"/>
        <w:rPr>
          <w:lang w:val="lt-LT"/>
        </w:rPr>
      </w:pPr>
      <w:r w:rsidRPr="00E22DDE">
        <w:rPr>
          <w:lang w:val="lt-LT"/>
        </w:rPr>
        <w:t>12. EBI parengia techninių reguliavimo standartų projektus, kuriuose aiškiai apibrėžia:</w:t>
      </w:r>
    </w:p>
    <w:p w:rsidR="000B604B" w:rsidRPr="00E22DDE" w:rsidRDefault="000B604B" w:rsidP="004226A9">
      <w:pPr>
        <w:pStyle w:val="Point2"/>
        <w:spacing w:line="360" w:lineRule="auto"/>
        <w:rPr>
          <w:lang w:val="lt-LT"/>
        </w:rPr>
      </w:pPr>
      <w:r w:rsidRPr="00E22DDE">
        <w:rPr>
          <w:lang w:val="lt-LT"/>
        </w:rPr>
        <w:t>a)</w:t>
      </w:r>
      <w:r w:rsidRPr="00E22DDE">
        <w:rPr>
          <w:lang w:val="lt-LT"/>
        </w:rPr>
        <w:tab/>
        <w:t>turimų finansinių išteklių, į kuriuos atsižvelgiama siekiant 2 dalyje nurodyto tikslinio lygio, apskaičiavimo metodiką, įskaitant IGS turimų finansinių išteklių apibrėžimą ir turimų finansinių išteklių, gautų iš įneštų lėšų, kategorijų nustatymą;</w:t>
      </w:r>
    </w:p>
    <w:p w:rsidR="000B604B" w:rsidRPr="00E22DDE" w:rsidRDefault="000B604B" w:rsidP="004226A9">
      <w:pPr>
        <w:pStyle w:val="Point2"/>
        <w:spacing w:line="360" w:lineRule="auto"/>
        <w:rPr>
          <w:lang w:val="lt-LT"/>
        </w:rPr>
      </w:pPr>
      <w:r w:rsidRPr="00E22DDE">
        <w:rPr>
          <w:lang w:val="lt-LT"/>
        </w:rPr>
        <w:t>b)</w:t>
      </w:r>
      <w:r w:rsidRPr="00E22DDE">
        <w:rPr>
          <w:lang w:val="lt-LT"/>
        </w:rPr>
        <w:tab/>
        <w:t>išsamią informaciją apie procesą, taikomą siekiant 2 dalyje nurodyto tikslinio lygio po to, kai IGS panaudojo turimus finansinius išteklius pagal 11 straipsnį.</w:t>
      </w:r>
    </w:p>
    <w:p w:rsidR="000B604B" w:rsidRPr="00E22DDE" w:rsidRDefault="000B604B" w:rsidP="004226A9">
      <w:pPr>
        <w:pStyle w:val="Text2"/>
        <w:spacing w:line="360" w:lineRule="auto"/>
        <w:rPr>
          <w:lang w:val="lt-LT"/>
        </w:rPr>
      </w:pPr>
      <w:r w:rsidRPr="00E22DDE">
        <w:rPr>
          <w:lang w:val="lt-LT"/>
        </w:rPr>
        <w:lastRenderedPageBreak/>
        <w:t>EBI tuos techninių reguliavimo standartų projektus Komisijai pateikia iki [Leidinių biuro prašoma įrašyti datą – 24 mėnesiai po šios direktyvos įsigaliojimo dienos].</w:t>
      </w:r>
    </w:p>
    <w:p w:rsidR="000B604B" w:rsidRPr="00E22DDE" w:rsidRDefault="000B604B" w:rsidP="004226A9">
      <w:pPr>
        <w:pStyle w:val="Text2"/>
        <w:spacing w:line="360" w:lineRule="auto"/>
        <w:rPr>
          <w:lang w:val="lt-LT"/>
        </w:rPr>
      </w:pPr>
      <w:r w:rsidRPr="00E22DDE">
        <w:rPr>
          <w:lang w:val="lt-LT"/>
        </w:rPr>
        <w:t>Komisijai deleguojami įgaliojimai papildyti šią direktyvą priimant pirmoje pastraipoje nurodytus techninius reguliavimo standartus pagal Reglamento (ES) Nr. 1093/2010 10–14 straipsnius.</w:t>
      </w:r>
    </w:p>
    <w:p w:rsidR="000B604B" w:rsidRPr="00E22DDE" w:rsidRDefault="000B604B" w:rsidP="004226A9">
      <w:pPr>
        <w:pStyle w:val="Text2"/>
        <w:spacing w:line="360" w:lineRule="auto"/>
        <w:rPr>
          <w:lang w:val="lt-LT"/>
        </w:rPr>
      </w:pPr>
      <w:r w:rsidRPr="00E22DDE">
        <w:rPr>
          <w:lang w:val="lt-LT"/>
        </w:rPr>
        <w:t>13. Ne vėliau kaip [Leidinių biuro prašoma įrašyti datą – 24 mėnesiai po šios direktyvos įsigaliojimo dienos] EBI parengia IGS turimiems finansiniams ištekliams taikomas gaires, kuriomis siekiama padėti IGS diversifikuoti turimus finansinius išteklius ir investuoti į mažos rizikos turtą.“;</w:t>
      </w:r>
    </w:p>
    <w:p w:rsidR="000B604B" w:rsidRPr="00E22DDE" w:rsidRDefault="000B604B" w:rsidP="004226A9">
      <w:pPr>
        <w:pStyle w:val="Point0"/>
        <w:spacing w:line="360" w:lineRule="auto"/>
        <w:rPr>
          <w:lang w:val="lt-LT"/>
        </w:rPr>
      </w:pPr>
      <w:r w:rsidRPr="00E22DDE">
        <w:rPr>
          <w:lang w:val="lt-LT"/>
        </w:rPr>
        <w:t>12)</w:t>
      </w:r>
      <w:r w:rsidRPr="00E22DDE">
        <w:rPr>
          <w:lang w:val="lt-LT"/>
        </w:rPr>
        <w:tab/>
        <w:t>11 straipsnis pakeičiamas taip:</w:t>
      </w:r>
    </w:p>
    <w:p w:rsidR="000B604B" w:rsidRPr="00E22DDE" w:rsidRDefault="000B604B" w:rsidP="004226A9">
      <w:pPr>
        <w:pStyle w:val="Text1"/>
        <w:spacing w:line="360" w:lineRule="auto"/>
        <w:jc w:val="center"/>
        <w:rPr>
          <w:i/>
          <w:iCs/>
          <w:lang w:val="lt-LT"/>
        </w:rPr>
      </w:pPr>
      <w:r w:rsidRPr="00E22DDE">
        <w:rPr>
          <w:lang w:val="lt-LT"/>
        </w:rPr>
        <w:t>„</w:t>
      </w:r>
      <w:r w:rsidRPr="00E22DDE">
        <w:rPr>
          <w:i/>
          <w:lang w:val="lt-LT"/>
        </w:rPr>
        <w:t>11 straipsnis</w:t>
      </w:r>
    </w:p>
    <w:p w:rsidR="000B604B" w:rsidRPr="00E22DDE" w:rsidRDefault="000B604B" w:rsidP="004226A9">
      <w:pPr>
        <w:pStyle w:val="Text1"/>
        <w:spacing w:line="360" w:lineRule="auto"/>
        <w:jc w:val="center"/>
        <w:rPr>
          <w:b/>
          <w:iCs/>
          <w:lang w:val="lt-LT"/>
        </w:rPr>
      </w:pPr>
      <w:r w:rsidRPr="00E22DDE">
        <w:rPr>
          <w:b/>
          <w:lang w:val="lt-LT"/>
        </w:rPr>
        <w:t>Lėšų naudojimas</w:t>
      </w:r>
    </w:p>
    <w:p w:rsidR="000B604B" w:rsidRPr="00E22DDE" w:rsidRDefault="000B604B" w:rsidP="004226A9">
      <w:pPr>
        <w:pStyle w:val="Text1"/>
        <w:spacing w:line="360" w:lineRule="auto"/>
        <w:rPr>
          <w:lang w:val="lt-LT"/>
        </w:rPr>
      </w:pPr>
      <w:r w:rsidRPr="00E22DDE">
        <w:rPr>
          <w:lang w:val="lt-LT"/>
        </w:rPr>
        <w:t xml:space="preserve">1. Valstybės narės užtikrina, kad IGS 10 straipsnyje nurodytus turimus finansinius išteklius visų pirma naudotų </w:t>
      </w:r>
      <w:r w:rsidRPr="00E22DDE">
        <w:rPr>
          <w:b/>
          <w:i/>
          <w:lang w:val="lt-LT"/>
        </w:rPr>
        <w:t>tam, kad užtikrintų</w:t>
      </w:r>
      <w:r w:rsidRPr="00E22DDE">
        <w:rPr>
          <w:lang w:val="lt-LT"/>
        </w:rPr>
        <w:t xml:space="preserve"> indėlininkams priklausančių sumų </w:t>
      </w:r>
      <w:r w:rsidRPr="00E22DDE">
        <w:rPr>
          <w:b/>
          <w:i/>
          <w:lang w:val="lt-LT"/>
        </w:rPr>
        <w:t>grąžinimą</w:t>
      </w:r>
      <w:r w:rsidRPr="00E22DDE">
        <w:rPr>
          <w:lang w:val="lt-LT"/>
        </w:rPr>
        <w:t xml:space="preserve"> pagal 8 straipsnį</w:t>
      </w:r>
      <w:r w:rsidR="003D0DE8" w:rsidRPr="00E22DDE">
        <w:rPr>
          <w:lang w:val="lt-LT"/>
        </w:rPr>
        <w:t xml:space="preserve"> </w:t>
      </w:r>
      <w:r w:rsidRPr="00E22DDE">
        <w:rPr>
          <w:lang w:val="lt-LT"/>
        </w:rPr>
        <w:t>▌.</w:t>
      </w:r>
    </w:p>
    <w:p w:rsidR="000B604B" w:rsidRPr="00E22DDE" w:rsidRDefault="000B604B" w:rsidP="004226A9">
      <w:pPr>
        <w:pStyle w:val="Text1"/>
        <w:spacing w:line="360" w:lineRule="auto"/>
        <w:rPr>
          <w:lang w:val="lt-LT"/>
        </w:rPr>
      </w:pPr>
      <w:r w:rsidRPr="00E22DDE">
        <w:rPr>
          <w:lang w:val="lt-LT"/>
        </w:rPr>
        <w:t xml:space="preserve">2. Valstybės narės užtikrina, kad IGS naudotų turimus finansinius išteklius kredito įstaigų pertvarkymui finansuoti pagal Direktyvos 2014/59/ES 109 straipsnį. Valstybės narės užtikrina, kad pertvarkymo institucijos nustatytų sumą, kuria IGS turi prisidėti prie kredito įstaigų pertvarkymo finansavimo, toms pertvarkymo institucijoms pasikonsultavus su IGS dėl šios direktyvos 11e straipsnyje nurodyto mažiausių išlaidų vertinimo rezultatų. </w:t>
      </w:r>
      <w:r w:rsidRPr="00E22DDE">
        <w:rPr>
          <w:b/>
          <w:i/>
          <w:lang w:val="lt-LT"/>
        </w:rPr>
        <w:t>Valstybės narės užtikrina, kad IGS nedelsdamos atsakytų į tokias konsultacijas.</w:t>
      </w:r>
    </w:p>
    <w:p w:rsidR="000B604B" w:rsidRPr="00E22DDE" w:rsidRDefault="000B604B" w:rsidP="004226A9">
      <w:pPr>
        <w:pStyle w:val="Text1"/>
        <w:spacing w:line="360" w:lineRule="auto"/>
        <w:rPr>
          <w:lang w:val="lt-LT"/>
        </w:rPr>
      </w:pPr>
      <w:r w:rsidRPr="00E22DDE">
        <w:rPr>
          <w:lang w:val="lt-LT"/>
        </w:rPr>
        <w:t xml:space="preserve">3. Valstybės narės </w:t>
      </w:r>
      <w:r w:rsidRPr="00E22DDE">
        <w:rPr>
          <w:b/>
          <w:i/>
          <w:lang w:val="lt-LT"/>
        </w:rPr>
        <w:t>leidžia</w:t>
      </w:r>
      <w:r w:rsidRPr="00E22DDE">
        <w:rPr>
          <w:lang w:val="lt-LT"/>
        </w:rPr>
        <w:t xml:space="preserve"> IGS naudoti turimus finansinius išteklius 11a straipsnyje nurodytoms prevencinėms priemonėms, kuriomis siekiama padėti kredito įstaigoms, kai įvykdomos visos šios sąlygos:</w:t>
      </w:r>
    </w:p>
    <w:p w:rsidR="000B604B" w:rsidRPr="00E22DDE" w:rsidRDefault="000B604B" w:rsidP="004226A9">
      <w:pPr>
        <w:pStyle w:val="Point1"/>
        <w:spacing w:line="360" w:lineRule="auto"/>
        <w:rPr>
          <w:lang w:val="lt-LT"/>
        </w:rPr>
      </w:pPr>
      <w:r w:rsidRPr="00E22DDE">
        <w:rPr>
          <w:lang w:val="lt-LT"/>
        </w:rPr>
        <w:t>a)</w:t>
      </w:r>
      <w:r w:rsidRPr="00E22DDE">
        <w:rPr>
          <w:lang w:val="lt-LT"/>
        </w:rPr>
        <w:tab/>
      </w:r>
      <w:r w:rsidRPr="00E22DDE">
        <w:rPr>
          <w:b/>
          <w:i/>
          <w:lang w:val="lt-LT"/>
        </w:rPr>
        <w:t>nėra nustatyta, kad kredito įstaiga žlunga ar gali žlugti, pagal</w:t>
      </w:r>
      <w:r w:rsidRPr="00E22DDE">
        <w:rPr>
          <w:lang w:val="lt-LT"/>
        </w:rPr>
        <w:t xml:space="preserve"> Direktyvos 2014/59/ES 32 straipsnio 4 dalį▌;</w:t>
      </w:r>
    </w:p>
    <w:p w:rsidR="000B604B" w:rsidRPr="00E22DDE" w:rsidRDefault="000B604B" w:rsidP="004226A9">
      <w:pPr>
        <w:pStyle w:val="Point1"/>
        <w:spacing w:line="360" w:lineRule="auto"/>
        <w:rPr>
          <w:lang w:val="lt-LT"/>
        </w:rPr>
      </w:pPr>
      <w:r w:rsidRPr="00E22DDE">
        <w:rPr>
          <w:lang w:val="lt-LT"/>
        </w:rPr>
        <w:t>b)</w:t>
      </w:r>
      <w:r w:rsidRPr="00E22DDE">
        <w:rPr>
          <w:lang w:val="lt-LT"/>
        </w:rPr>
        <w:tab/>
        <w:t>IGS patvirtino, kad priemonės išlaidos neviršija indėlių grąžinimo išlaidų, apskaičiuotų pagal 11e straipsnį;</w:t>
      </w:r>
    </w:p>
    <w:p w:rsidR="000B604B" w:rsidRPr="00E22DDE" w:rsidRDefault="000B604B" w:rsidP="004226A9">
      <w:pPr>
        <w:pStyle w:val="Point1"/>
        <w:spacing w:line="360" w:lineRule="auto"/>
        <w:rPr>
          <w:lang w:val="lt-LT"/>
        </w:rPr>
      </w:pPr>
      <w:r w:rsidRPr="00E22DDE">
        <w:rPr>
          <w:lang w:val="lt-LT"/>
        </w:rPr>
        <w:lastRenderedPageBreak/>
        <w:t>c)</w:t>
      </w:r>
      <w:r w:rsidRPr="00E22DDE">
        <w:rPr>
          <w:lang w:val="lt-LT"/>
        </w:rPr>
        <w:tab/>
        <w:t xml:space="preserve">įvykdomos visos 11a ir 11b straipsniuose nustatytos sąlygos. </w:t>
      </w:r>
    </w:p>
    <w:p w:rsidR="000B604B" w:rsidRPr="00E22DDE" w:rsidRDefault="000B604B" w:rsidP="004226A9">
      <w:pPr>
        <w:pStyle w:val="Text1"/>
        <w:spacing w:line="360" w:lineRule="auto"/>
        <w:rPr>
          <w:lang w:val="lt-LT"/>
        </w:rPr>
      </w:pPr>
      <w:r w:rsidRPr="00E22DDE">
        <w:rPr>
          <w:lang w:val="lt-LT"/>
        </w:rPr>
        <w:t xml:space="preserve">4. Jei turimi finansiniai ištekliai naudojami taikant prevencines priemones </w:t>
      </w:r>
      <w:r w:rsidRPr="00E22DDE">
        <w:rPr>
          <w:b/>
          <w:i/>
          <w:lang w:val="lt-LT"/>
        </w:rPr>
        <w:t>arba alternatyvias priemones</w:t>
      </w:r>
      <w:r w:rsidRPr="00E22DDE">
        <w:rPr>
          <w:lang w:val="lt-LT"/>
        </w:rPr>
        <w:t>, kaip nurodyta</w:t>
      </w:r>
      <w:r w:rsidRPr="00E22DDE">
        <w:rPr>
          <w:b/>
          <w:i/>
          <w:lang w:val="lt-LT"/>
        </w:rPr>
        <w:t xml:space="preserve"> 3 ir 5 dalyse</w:t>
      </w:r>
      <w:r w:rsidRPr="00E22DDE">
        <w:rPr>
          <w:lang w:val="lt-LT"/>
        </w:rPr>
        <w:t xml:space="preserve">, dalyvaujančios kredito įstaigos, prireikus mokėdamos specialius įnašus, </w:t>
      </w:r>
      <w:r w:rsidRPr="00E22DDE">
        <w:rPr>
          <w:b/>
          <w:i/>
          <w:lang w:val="lt-LT"/>
        </w:rPr>
        <w:t>nedelsdamos</w:t>
      </w:r>
      <w:r w:rsidRPr="00E22DDE">
        <w:rPr>
          <w:lang w:val="lt-LT"/>
        </w:rPr>
        <w:t xml:space="preserve"> IGS suteikia tokioms priemonėms naudojamus išteklius, kai taikoma bet kuri iš šių sąlygų:</w:t>
      </w:r>
    </w:p>
    <w:p w:rsidR="000B604B" w:rsidRPr="00E22DDE" w:rsidRDefault="000B604B" w:rsidP="004226A9">
      <w:pPr>
        <w:pStyle w:val="Point1"/>
        <w:spacing w:line="360" w:lineRule="auto"/>
        <w:rPr>
          <w:lang w:val="lt-LT"/>
        </w:rPr>
      </w:pPr>
      <w:r w:rsidRPr="00E22DDE">
        <w:rPr>
          <w:lang w:val="lt-LT"/>
        </w:rPr>
        <w:t>a)</w:t>
      </w:r>
      <w:r w:rsidRPr="00E22DDE">
        <w:rPr>
          <w:lang w:val="lt-LT"/>
        </w:rPr>
        <w:tab/>
        <w:t xml:space="preserve">indėlininkams reikia išmokėti indėlius </w:t>
      </w:r>
      <w:r w:rsidRPr="00E22DDE">
        <w:rPr>
          <w:b/>
          <w:i/>
          <w:lang w:val="lt-LT"/>
        </w:rPr>
        <w:t>arba įsikišti į pertvarkymą</w:t>
      </w:r>
      <w:r w:rsidRPr="00E22DDE">
        <w:rPr>
          <w:lang w:val="lt-LT"/>
        </w:rPr>
        <w:t>, o IGS turimi finansiniai ištekliai sudaro mažiau nei du trečdalius tikslinio lygio;</w:t>
      </w:r>
    </w:p>
    <w:p w:rsidR="000B604B" w:rsidRPr="00E22DDE" w:rsidRDefault="000B604B" w:rsidP="004226A9">
      <w:pPr>
        <w:pStyle w:val="Point1"/>
        <w:spacing w:line="360" w:lineRule="auto"/>
        <w:rPr>
          <w:lang w:val="lt-LT"/>
        </w:rPr>
      </w:pPr>
      <w:r w:rsidRPr="00E22DDE">
        <w:rPr>
          <w:lang w:val="lt-LT"/>
        </w:rPr>
        <w:t>b)</w:t>
      </w:r>
      <w:r w:rsidRPr="00E22DDE">
        <w:rPr>
          <w:lang w:val="lt-LT"/>
        </w:rPr>
        <w:tab/>
      </w:r>
      <w:r w:rsidRPr="00E22DDE">
        <w:rPr>
          <w:b/>
          <w:i/>
          <w:lang w:val="lt-LT"/>
        </w:rPr>
        <w:t>finansavus prevencines priemones</w:t>
      </w:r>
      <w:r w:rsidRPr="00E22DDE">
        <w:rPr>
          <w:lang w:val="lt-LT"/>
        </w:rPr>
        <w:t xml:space="preserve"> IGS turimi finansiniai ištekliai nesiekia </w:t>
      </w:r>
      <w:r w:rsidRPr="00E22DDE">
        <w:rPr>
          <w:b/>
          <w:i/>
          <w:lang w:val="lt-LT"/>
        </w:rPr>
        <w:t>40 %</w:t>
      </w:r>
      <w:r w:rsidRPr="00E22DDE">
        <w:rPr>
          <w:lang w:val="lt-LT"/>
        </w:rPr>
        <w:t xml:space="preserve"> tikslinio lygio</w:t>
      </w:r>
      <w:r w:rsidRPr="00E22DDE">
        <w:rPr>
          <w:b/>
          <w:i/>
          <w:lang w:val="lt-LT"/>
        </w:rPr>
        <w:t>, išskyrus atvejus, kai įstaigos ar įstaigų, kurioms taikomos prevencinės priemonės, grąžinimo tvarkaraštyje numatyta, kad tos įstaigos turi grąžinti lėšas per 12 mėnesių, it dėl to turimi finansiniai ištekliai viršija 40 % tikslinio lygio</w:t>
      </w:r>
      <w:r w:rsidRPr="00E22DDE">
        <w:rPr>
          <w:lang w:val="lt-LT"/>
        </w:rPr>
        <w:t>.</w:t>
      </w:r>
    </w:p>
    <w:p w:rsidR="000B604B" w:rsidRPr="00E22DDE" w:rsidRDefault="000B604B" w:rsidP="004226A9">
      <w:pPr>
        <w:pStyle w:val="Text1"/>
        <w:spacing w:line="360" w:lineRule="auto"/>
        <w:rPr>
          <w:b/>
          <w:i/>
          <w:lang w:val="lt-LT"/>
        </w:rPr>
      </w:pPr>
      <w:r w:rsidRPr="00E22DDE">
        <w:rPr>
          <w:lang w:val="lt-LT"/>
        </w:rPr>
        <w:t xml:space="preserve">5. Kai kredito įstaiga likviduojama pagal Direktyvos 2014/59/ES 32b straipsnį siekiant jos pasitraukimo iš rinkos arba nutraukti jos bankininkystės veiklą, valstybės narės </w:t>
      </w:r>
      <w:r w:rsidRPr="00E22DDE">
        <w:rPr>
          <w:b/>
          <w:i/>
          <w:lang w:val="lt-LT"/>
        </w:rPr>
        <w:t>leidžia</w:t>
      </w:r>
      <w:r w:rsidRPr="00E22DDE">
        <w:rPr>
          <w:lang w:val="lt-LT"/>
        </w:rPr>
        <w:t xml:space="preserve"> IGS naudoti turimus finansinius išteklius alternatyvioms priemonėms, kuriomis siekiama išsaugoti indėlininkų galimybę naudotis savo indėliais, įskaitant turto ir įsipareigojimų perdavimą ir indėlių portfelio vertės perdavimą, finansuoti</w:t>
      </w:r>
      <w:r w:rsidRPr="00E22DDE">
        <w:rPr>
          <w:b/>
          <w:i/>
          <w:lang w:val="lt-LT"/>
        </w:rPr>
        <w:t>, kai tenkinamos visos šios sąlygos</w:t>
      </w:r>
      <w:r w:rsidRPr="00E22DDE">
        <w:rPr>
          <w:lang w:val="lt-LT"/>
        </w:rPr>
        <w:t>:</w:t>
      </w:r>
    </w:p>
    <w:p w:rsidR="000B604B" w:rsidRPr="00E22DDE" w:rsidRDefault="000B604B" w:rsidP="004226A9">
      <w:pPr>
        <w:pStyle w:val="Text1"/>
        <w:spacing w:line="360" w:lineRule="auto"/>
        <w:ind w:left="1418" w:hanging="567"/>
        <w:rPr>
          <w:lang w:val="lt-LT"/>
        </w:rPr>
      </w:pPr>
      <w:r w:rsidRPr="00E22DDE">
        <w:rPr>
          <w:b/>
          <w:i/>
          <w:lang w:val="lt-LT"/>
        </w:rPr>
        <w:t>a)</w:t>
      </w:r>
      <w:r w:rsidRPr="00E22DDE">
        <w:rPr>
          <w:b/>
          <w:i/>
          <w:lang w:val="lt-LT"/>
        </w:rPr>
        <w:tab/>
      </w:r>
      <w:r w:rsidRPr="00E22DDE">
        <w:rPr>
          <w:lang w:val="lt-LT"/>
        </w:rPr>
        <w:t>IGS patvirtina, jog priemonės išlaidos neviršija indėlių grąžinimo indėlininkams išlaidų, apskaičiuotų pagal šios direktyvos 11e straipsnį;</w:t>
      </w:r>
    </w:p>
    <w:p w:rsidR="000B604B" w:rsidRPr="00E22DDE" w:rsidRDefault="000B604B" w:rsidP="004226A9">
      <w:pPr>
        <w:pStyle w:val="Text1"/>
        <w:spacing w:line="360" w:lineRule="auto"/>
        <w:ind w:left="1418" w:hanging="567"/>
        <w:rPr>
          <w:lang w:val="lt-LT"/>
        </w:rPr>
      </w:pPr>
      <w:r w:rsidRPr="00E22DDE">
        <w:rPr>
          <w:b/>
          <w:i/>
          <w:lang w:val="lt-LT"/>
        </w:rPr>
        <w:t>b)</w:t>
      </w:r>
      <w:r w:rsidRPr="00E22DDE">
        <w:rPr>
          <w:b/>
          <w:i/>
          <w:lang w:val="lt-LT"/>
        </w:rPr>
        <w:tab/>
      </w:r>
      <w:r w:rsidRPr="00E22DDE">
        <w:rPr>
          <w:lang w:val="lt-LT"/>
        </w:rPr>
        <w:t>▌tenkinamos visos šios direktyvos 11d straipsnyje nustatytos sąlygos</w:t>
      </w:r>
      <w:r w:rsidRPr="00E22DDE">
        <w:rPr>
          <w:b/>
          <w:i/>
          <w:lang w:val="lt-LT"/>
        </w:rPr>
        <w:t>;</w:t>
      </w:r>
    </w:p>
    <w:p w:rsidR="000B604B" w:rsidRPr="00E22DDE" w:rsidRDefault="000B604B" w:rsidP="004226A9">
      <w:pPr>
        <w:pStyle w:val="Text1"/>
        <w:spacing w:line="360" w:lineRule="auto"/>
        <w:ind w:left="1418" w:hanging="567"/>
        <w:rPr>
          <w:b/>
          <w:i/>
          <w:lang w:val="lt-LT"/>
        </w:rPr>
      </w:pPr>
      <w:r w:rsidRPr="00E22DDE">
        <w:rPr>
          <w:b/>
          <w:i/>
          <w:lang w:val="lt-LT"/>
        </w:rPr>
        <w:t>c)</w:t>
      </w:r>
      <w:r w:rsidRPr="00E22DDE">
        <w:rPr>
          <w:b/>
          <w:i/>
          <w:lang w:val="lt-LT"/>
        </w:rPr>
        <w:tab/>
        <w:t>jeigu priemonė susijusi su turto ar įsipareigojimų perdavimu, perduoti įsipareigojimai yra vienos ar daugiau šių formų:</w:t>
      </w:r>
    </w:p>
    <w:p w:rsidR="000B604B" w:rsidRPr="00E22DDE" w:rsidRDefault="000B604B" w:rsidP="004226A9">
      <w:pPr>
        <w:pStyle w:val="Point0"/>
        <w:spacing w:line="360" w:lineRule="auto"/>
        <w:ind w:left="1985" w:hanging="567"/>
        <w:rPr>
          <w:b/>
          <w:i/>
          <w:lang w:val="lt-LT"/>
        </w:rPr>
      </w:pPr>
      <w:r w:rsidRPr="00E22DDE">
        <w:rPr>
          <w:b/>
          <w:i/>
          <w:lang w:val="lt-LT"/>
        </w:rPr>
        <w:t>i)</w:t>
      </w:r>
      <w:r w:rsidRPr="00E22DDE">
        <w:rPr>
          <w:b/>
          <w:i/>
          <w:lang w:val="lt-LT"/>
        </w:rPr>
        <w:tab/>
        <w:t>apdraustieji indėliai;</w:t>
      </w:r>
    </w:p>
    <w:p w:rsidR="000B604B" w:rsidRPr="00E22DDE" w:rsidRDefault="000B604B" w:rsidP="004226A9">
      <w:pPr>
        <w:pStyle w:val="Point0"/>
        <w:spacing w:line="360" w:lineRule="auto"/>
        <w:ind w:left="1985" w:hanging="567"/>
        <w:rPr>
          <w:b/>
          <w:i/>
          <w:lang w:val="lt-LT"/>
        </w:rPr>
      </w:pPr>
      <w:r w:rsidRPr="00E22DDE">
        <w:rPr>
          <w:b/>
          <w:i/>
          <w:lang w:val="lt-LT"/>
        </w:rPr>
        <w:t>ii)</w:t>
      </w:r>
      <w:r w:rsidRPr="00E22DDE">
        <w:rPr>
          <w:b/>
          <w:i/>
          <w:lang w:val="lt-LT"/>
        </w:rPr>
        <w:tab/>
        <w:t>reikalavimus atitinkantys fizinių asmenų ir labai mažų, mažųjų ir vidutinių įmonių indėliai;</w:t>
      </w:r>
    </w:p>
    <w:p w:rsidR="000B604B" w:rsidRPr="00E22DDE" w:rsidRDefault="000B604B" w:rsidP="004226A9">
      <w:pPr>
        <w:pStyle w:val="Point0"/>
        <w:spacing w:line="360" w:lineRule="auto"/>
        <w:ind w:left="1985" w:hanging="567"/>
        <w:rPr>
          <w:b/>
          <w:i/>
          <w:lang w:val="lt-LT"/>
        </w:rPr>
      </w:pPr>
      <w:r w:rsidRPr="00E22DDE">
        <w:rPr>
          <w:b/>
          <w:i/>
          <w:lang w:val="lt-LT"/>
        </w:rPr>
        <w:t>iii)</w:t>
      </w:r>
      <w:r w:rsidRPr="00E22DDE">
        <w:rPr>
          <w:b/>
          <w:i/>
          <w:lang w:val="lt-LT"/>
        </w:rPr>
        <w:tab/>
        <w:t>fizinių asmenų ir labai mažų, mažųjų ir vidutinių įmonių indėliai, kurie būtų laikomi reikalavimus atitinkančiais indėliais, jei nebūtų įnešti Sąjungoje įsisteigusių įstaigų filialuose, esančiuose už Sąjungos ribų;</w:t>
      </w:r>
    </w:p>
    <w:p w:rsidR="000B604B" w:rsidRPr="00E22DDE" w:rsidRDefault="000B604B" w:rsidP="004226A9">
      <w:pPr>
        <w:pStyle w:val="Text1"/>
        <w:tabs>
          <w:tab w:val="left" w:pos="1418"/>
        </w:tabs>
        <w:spacing w:line="360" w:lineRule="auto"/>
        <w:ind w:left="1985" w:hanging="567"/>
        <w:rPr>
          <w:lang w:val="lt-LT"/>
        </w:rPr>
      </w:pPr>
      <w:r w:rsidRPr="00E22DDE">
        <w:rPr>
          <w:b/>
          <w:i/>
          <w:lang w:val="lt-LT"/>
        </w:rPr>
        <w:lastRenderedPageBreak/>
        <w:t>iv)</w:t>
      </w:r>
      <w:r w:rsidRPr="00E22DDE">
        <w:rPr>
          <w:b/>
          <w:i/>
          <w:lang w:val="lt-LT"/>
        </w:rPr>
        <w:tab/>
        <w:t>visi įsipareigojimai, kurie pagal nacionalinę kreditorių hierarchiją nemokumo atveju buvo svarbesni už apdraustuosius indėlius.</w:t>
      </w:r>
      <w:r w:rsidRPr="00E22DDE">
        <w:rPr>
          <w:lang w:val="lt-LT"/>
        </w:rPr>
        <w:t>“;</w:t>
      </w:r>
    </w:p>
    <w:p w:rsidR="000B604B" w:rsidRPr="00E22DDE" w:rsidRDefault="000B604B" w:rsidP="004226A9">
      <w:pPr>
        <w:pStyle w:val="Point0"/>
        <w:spacing w:line="360" w:lineRule="auto"/>
        <w:rPr>
          <w:lang w:val="lt-LT"/>
        </w:rPr>
      </w:pPr>
      <w:r w:rsidRPr="00E22DDE">
        <w:rPr>
          <w:lang w:val="lt-LT"/>
        </w:rPr>
        <w:t>13)</w:t>
      </w:r>
      <w:r w:rsidRPr="00E22DDE">
        <w:rPr>
          <w:lang w:val="lt-LT"/>
        </w:rPr>
        <w:tab/>
        <w:t>įterpiami šie 11a–11e straipsniai:</w:t>
      </w:r>
    </w:p>
    <w:p w:rsidR="000B604B" w:rsidRPr="00E22DDE" w:rsidRDefault="000B604B" w:rsidP="004226A9">
      <w:pPr>
        <w:pStyle w:val="Text1"/>
        <w:spacing w:line="360" w:lineRule="auto"/>
        <w:jc w:val="center"/>
        <w:rPr>
          <w:i/>
          <w:iCs/>
          <w:lang w:val="lt-LT"/>
        </w:rPr>
      </w:pPr>
      <w:r w:rsidRPr="00E22DDE">
        <w:rPr>
          <w:i/>
          <w:lang w:val="lt-LT"/>
        </w:rPr>
        <w:t>„11a straipsnis</w:t>
      </w:r>
    </w:p>
    <w:p w:rsidR="000B604B" w:rsidRPr="00E22DDE" w:rsidRDefault="000B604B" w:rsidP="004226A9">
      <w:pPr>
        <w:pStyle w:val="Text1"/>
        <w:spacing w:line="360" w:lineRule="auto"/>
        <w:jc w:val="center"/>
        <w:rPr>
          <w:b/>
          <w:iCs/>
          <w:lang w:val="lt-LT"/>
        </w:rPr>
      </w:pPr>
      <w:bookmarkStart w:id="15" w:name="_Hlk126948059"/>
      <w:bookmarkStart w:id="16" w:name="_Hlk127533203"/>
      <w:r w:rsidRPr="00E22DDE">
        <w:rPr>
          <w:b/>
          <w:lang w:val="lt-LT"/>
        </w:rPr>
        <w:t>Prevencinės priemonės</w:t>
      </w:r>
    </w:p>
    <w:p w:rsidR="000B604B" w:rsidRPr="00E22DDE" w:rsidRDefault="000B604B" w:rsidP="004226A9">
      <w:pPr>
        <w:pStyle w:val="Text1"/>
        <w:spacing w:line="360" w:lineRule="auto"/>
        <w:rPr>
          <w:lang w:val="lt-LT"/>
        </w:rPr>
      </w:pPr>
      <w:r w:rsidRPr="00E22DDE">
        <w:rPr>
          <w:lang w:val="lt-LT"/>
        </w:rPr>
        <w:t>1. ▌Valstybės narės užtikrina, kad IGS turimus finansinius išteklius naudotų 11 straipsnio 3 dalyje nurodytoms prevencinėms priemonėms, jeigu tenkinamos visos šios sąlygos</w:t>
      </w:r>
      <w:bookmarkEnd w:id="15"/>
      <w:r w:rsidRPr="00E22DDE">
        <w:rPr>
          <w:lang w:val="lt-LT"/>
        </w:rPr>
        <w:t>:</w:t>
      </w:r>
    </w:p>
    <w:p w:rsidR="000B604B" w:rsidRPr="00E22DDE" w:rsidRDefault="000B604B" w:rsidP="004226A9">
      <w:pPr>
        <w:pStyle w:val="Point1"/>
        <w:spacing w:line="360" w:lineRule="auto"/>
        <w:rPr>
          <w:lang w:val="lt-LT"/>
        </w:rPr>
      </w:pPr>
      <w:r w:rsidRPr="00E22DDE">
        <w:rPr>
          <w:lang w:val="lt-LT"/>
        </w:rPr>
        <w:t>a)</w:t>
      </w:r>
      <w:r w:rsidRPr="00E22DDE">
        <w:rPr>
          <w:lang w:val="lt-LT"/>
        </w:rPr>
        <w:tab/>
        <w:t>prie kredito įstaigos prašymo finansuoti tokias prevencines priemones pridedamas 11b straipsnyje nurodytas raštas, kuriame nurodomos priemonės;</w:t>
      </w:r>
    </w:p>
    <w:p w:rsidR="000B604B" w:rsidRPr="00E22DDE" w:rsidRDefault="000B604B" w:rsidP="004226A9">
      <w:pPr>
        <w:pStyle w:val="Point1"/>
        <w:spacing w:line="360" w:lineRule="auto"/>
        <w:rPr>
          <w:lang w:val="lt-LT"/>
        </w:rPr>
      </w:pPr>
      <w:r w:rsidRPr="00E22DDE">
        <w:rPr>
          <w:lang w:val="lt-LT"/>
        </w:rPr>
        <w:t>b)</w:t>
      </w:r>
      <w:r w:rsidRPr="00E22DDE">
        <w:rPr>
          <w:lang w:val="lt-LT"/>
        </w:rPr>
        <w:tab/>
        <w:t>kredito įstaiga konsultavosi su kompetentinga valdžios institucija dėl 11b straipsnyje nurodytame rašte numatytų priemonių;</w:t>
      </w:r>
    </w:p>
    <w:bookmarkEnd w:id="16"/>
    <w:p w:rsidR="000B604B" w:rsidRPr="00E22DDE" w:rsidRDefault="000B604B" w:rsidP="004226A9">
      <w:pPr>
        <w:pStyle w:val="Point1"/>
        <w:spacing w:line="360" w:lineRule="auto"/>
        <w:rPr>
          <w:lang w:val="lt-LT"/>
        </w:rPr>
      </w:pPr>
      <w:r w:rsidRPr="00E22DDE">
        <w:rPr>
          <w:lang w:val="lt-LT"/>
        </w:rPr>
        <w:t>c)</w:t>
      </w:r>
      <w:r w:rsidRPr="00E22DDE">
        <w:rPr>
          <w:lang w:val="lt-LT"/>
        </w:rPr>
        <w:tab/>
        <w:t xml:space="preserve">IGS prevencinių priemonių naudojimas yra susietas su remiamai kredito įstaigai keliamomis sąlygomis, kurios apima bent jau griežtesnę kredito įstaigos rizikos stebėseną </w:t>
      </w:r>
      <w:r w:rsidRPr="00E22DDE">
        <w:rPr>
          <w:b/>
          <w:i/>
          <w:lang w:val="lt-LT"/>
        </w:rPr>
        <w:t>kartu su valdymo priemonėmis, sudarančiomis geresnes sąlygas tokiai stebėsenai,</w:t>
      </w:r>
      <w:r w:rsidRPr="00E22DDE">
        <w:rPr>
          <w:lang w:val="lt-LT"/>
        </w:rPr>
        <w:t xml:space="preserve"> IGS tenkančias platesnes tikrinimo teises i</w:t>
      </w:r>
      <w:r w:rsidRPr="00E22DDE">
        <w:rPr>
          <w:b/>
          <w:i/>
          <w:lang w:val="lt-LT"/>
        </w:rPr>
        <w:t>r dažnesnį ataskaitų teikimą kompetentingoms institucijoms</w:t>
      </w:r>
      <w:r w:rsidRPr="00E22DDE">
        <w:rPr>
          <w:lang w:val="lt-LT"/>
        </w:rPr>
        <w:t>;</w:t>
      </w:r>
    </w:p>
    <w:p w:rsidR="000B604B" w:rsidRPr="00E22DDE" w:rsidRDefault="000B604B" w:rsidP="004226A9">
      <w:pPr>
        <w:pStyle w:val="Point1"/>
        <w:spacing w:line="360" w:lineRule="auto"/>
        <w:rPr>
          <w:lang w:val="lt-LT"/>
        </w:rPr>
      </w:pPr>
      <w:r w:rsidRPr="00E22DDE">
        <w:rPr>
          <w:lang w:val="lt-LT"/>
        </w:rPr>
        <w:t>d)</w:t>
      </w:r>
      <w:r w:rsidRPr="00E22DDE">
        <w:rPr>
          <w:lang w:val="lt-LT"/>
        </w:rPr>
        <w:tab/>
        <w:t xml:space="preserve">IGS prevencinių priemonių taikymas priklauso nuo </w:t>
      </w:r>
      <w:r w:rsidRPr="00E22DDE">
        <w:rPr>
          <w:b/>
          <w:i/>
          <w:lang w:val="lt-LT"/>
        </w:rPr>
        <w:t>indėlininkų</w:t>
      </w:r>
      <w:r w:rsidRPr="00E22DDE">
        <w:rPr>
          <w:lang w:val="lt-LT"/>
        </w:rPr>
        <w:t xml:space="preserve"> galimybės </w:t>
      </w:r>
      <w:r w:rsidRPr="00E22DDE">
        <w:rPr>
          <w:b/>
          <w:i/>
          <w:lang w:val="lt-LT"/>
        </w:rPr>
        <w:t>veiksmingai</w:t>
      </w:r>
      <w:r w:rsidRPr="00E22DDE">
        <w:rPr>
          <w:lang w:val="lt-LT"/>
        </w:rPr>
        <w:t xml:space="preserve"> naudotis apdraustaisiais indėliais;</w:t>
      </w:r>
    </w:p>
    <w:p w:rsidR="000B604B" w:rsidRPr="00E22DDE" w:rsidRDefault="000B604B" w:rsidP="004226A9">
      <w:pPr>
        <w:pStyle w:val="Point1"/>
        <w:spacing w:line="360" w:lineRule="auto"/>
        <w:rPr>
          <w:lang w:val="lt-LT"/>
        </w:rPr>
      </w:pPr>
      <w:r w:rsidRPr="00E22DDE">
        <w:rPr>
          <w:lang w:val="lt-LT"/>
        </w:rPr>
        <w:t>e)</w:t>
      </w:r>
      <w:r w:rsidRPr="00E22DDE">
        <w:rPr>
          <w:lang w:val="lt-LT"/>
        </w:rPr>
        <w:tab/>
        <w:t>dalyvaujančios kredito įstaigos gali mokėti specialius įnašus pagal 11 straipsnio 4 dalį;</w:t>
      </w:r>
    </w:p>
    <w:p w:rsidR="000B604B" w:rsidRPr="00E22DDE" w:rsidRDefault="000B604B" w:rsidP="004226A9">
      <w:pPr>
        <w:pStyle w:val="Point1"/>
        <w:spacing w:line="360" w:lineRule="auto"/>
        <w:rPr>
          <w:lang w:val="lt-LT"/>
        </w:rPr>
      </w:pPr>
      <w:r w:rsidRPr="00E22DDE">
        <w:rPr>
          <w:lang w:val="lt-LT"/>
        </w:rPr>
        <w:t>f)</w:t>
      </w:r>
      <w:r w:rsidRPr="00E22DDE">
        <w:rPr>
          <w:lang w:val="lt-LT"/>
        </w:rPr>
        <w:tab/>
        <w:t>kredito įstaiga vykdo savo pareigas pagal šią direktyvą</w:t>
      </w:r>
      <w:r w:rsidRPr="00E22DDE">
        <w:rPr>
          <w:b/>
          <w:i/>
          <w:lang w:val="lt-LT"/>
        </w:rPr>
        <w:t>, jai per pastaruosius penkerius metus dar nebuvo suteikta nepaprastoji viešoji finansinė parama pagal Direktyvos 2014/59/ES 32c straipsnio 1 dalies a punktą ir</w:t>
      </w:r>
      <w:r w:rsidRPr="00E22DDE">
        <w:rPr>
          <w:lang w:val="lt-LT"/>
        </w:rPr>
        <w:t xml:space="preserve"> ji visiškai </w:t>
      </w:r>
      <w:r w:rsidRPr="00E22DDE">
        <w:rPr>
          <w:b/>
          <w:i/>
          <w:lang w:val="lt-LT"/>
        </w:rPr>
        <w:t>laikėsi grąžinimo tvarkaraščio arba</w:t>
      </w:r>
      <w:r w:rsidRPr="00E22DDE">
        <w:rPr>
          <w:lang w:val="lt-LT"/>
        </w:rPr>
        <w:t xml:space="preserve"> kompensavo </w:t>
      </w:r>
      <w:r w:rsidRPr="00E22DDE">
        <w:rPr>
          <w:b/>
          <w:i/>
          <w:lang w:val="lt-LT"/>
        </w:rPr>
        <w:t>bet kokią ankstesnę nepaprastąją viešąją finansinę paramą ar prevencinę priemonę;</w:t>
      </w:r>
    </w:p>
    <w:p w:rsidR="000B604B" w:rsidRPr="00E22DDE" w:rsidRDefault="000B604B" w:rsidP="004226A9">
      <w:pPr>
        <w:pStyle w:val="Point1"/>
        <w:spacing w:line="360" w:lineRule="auto"/>
        <w:rPr>
          <w:lang w:val="lt-LT"/>
        </w:rPr>
      </w:pPr>
      <w:r w:rsidRPr="00E22DDE">
        <w:rPr>
          <w:b/>
          <w:i/>
          <w:lang w:val="lt-LT"/>
        </w:rPr>
        <w:t>fa)</w:t>
      </w:r>
      <w:r w:rsidRPr="00E22DDE">
        <w:rPr>
          <w:b/>
          <w:i/>
          <w:lang w:val="lt-LT"/>
        </w:rPr>
        <w:tab/>
        <w:t>prevencinės priemonės nenaudojamos nuostoliams, kuriuos kredito įstaiga ar subjektas patyrė arba gali patirti artimiausioje ateityje, kompensuoti, nebent nepanaudojus tokios priemonės sutrinka finansinis stabilumas.</w:t>
      </w:r>
    </w:p>
    <w:p w:rsidR="000B604B" w:rsidRPr="00E22DDE" w:rsidRDefault="000B604B" w:rsidP="004226A9">
      <w:pPr>
        <w:pStyle w:val="Text1"/>
        <w:spacing w:line="360" w:lineRule="auto"/>
        <w:rPr>
          <w:lang w:val="lt-LT"/>
        </w:rPr>
      </w:pPr>
      <w:r w:rsidRPr="00E22DDE">
        <w:rPr>
          <w:lang w:val="lt-LT"/>
        </w:rPr>
        <w:lastRenderedPageBreak/>
        <w:t>2. Valstybės narės užtikrina, kad IGS įdiegtų stebėsenos sistemas ir sprendimų priėmimo procedūras, kurios būtų tinkamos prevencinėms priemonėms atrinkti ir įgyvendinti bei susijusiai rizikai stebėti.</w:t>
      </w:r>
    </w:p>
    <w:p w:rsidR="000B604B" w:rsidRPr="00E22DDE" w:rsidRDefault="000B604B" w:rsidP="004226A9">
      <w:pPr>
        <w:pStyle w:val="Text1"/>
        <w:spacing w:line="360" w:lineRule="auto"/>
        <w:rPr>
          <w:lang w:val="lt-LT"/>
        </w:rPr>
      </w:pPr>
      <w:r w:rsidRPr="00E22DDE">
        <w:rPr>
          <w:lang w:val="lt-LT"/>
        </w:rPr>
        <w:t>3. Valstybės narės užtikrina, kad IGS galėtų įgyvendinti prevencines priemones tik tuo atveju, jei paskirta valdžios institucija patvirtino, kad įvykdytos visos 1 dalyje nustatytos sąlygos. Paskirta valdžios institucija apie tai praneša kompetentingai valdžios institucijai ir pertvarkymo institucijai.</w:t>
      </w:r>
    </w:p>
    <w:p w:rsidR="000B604B" w:rsidRPr="00E22DDE" w:rsidRDefault="000B604B" w:rsidP="004226A9">
      <w:pPr>
        <w:pStyle w:val="Text1"/>
        <w:spacing w:line="360" w:lineRule="auto"/>
        <w:rPr>
          <w:lang w:val="lt-LT"/>
        </w:rPr>
      </w:pPr>
      <w:r w:rsidRPr="00E22DDE">
        <w:rPr>
          <w:b/>
          <w:i/>
          <w:lang w:val="lt-LT"/>
        </w:rPr>
        <w:t>Jei paramą gaunanti įstaiga priklauso IUS, kaip nurodyta 2 straipsnio 1 dalies c punkte, ta IUS, remdamasi 11e straipsnyje nurodytu mažiausių išlaidų vertinimu, nustato turimų finansinių išteklių sumą, kurią galima skirti prevencinėms priemonėms finansuoti, ir apie tai pranešama paskirtai valdžios institucijai.</w:t>
      </w:r>
    </w:p>
    <w:p w:rsidR="000B604B" w:rsidRPr="00E22DDE" w:rsidRDefault="000B604B" w:rsidP="004226A9">
      <w:pPr>
        <w:pStyle w:val="Text1"/>
        <w:spacing w:line="360" w:lineRule="auto"/>
        <w:rPr>
          <w:b/>
          <w:i/>
          <w:lang w:val="lt-LT"/>
        </w:rPr>
      </w:pPr>
      <w:r w:rsidRPr="00E22DDE">
        <w:rPr>
          <w:lang w:val="lt-LT"/>
        </w:rPr>
        <w:t xml:space="preserve">4. Valstybės narės užtikrina, kad IGS ▌savo turimus finansinius išteklius </w:t>
      </w:r>
      <w:r w:rsidRPr="00E22DDE">
        <w:rPr>
          <w:b/>
          <w:bCs/>
          <w:i/>
          <w:iCs/>
          <w:lang w:val="lt-LT"/>
        </w:rPr>
        <w:t>naudotų</w:t>
      </w:r>
      <w:r w:rsidRPr="00E22DDE">
        <w:rPr>
          <w:lang w:val="lt-LT"/>
        </w:rPr>
        <w:t xml:space="preserve"> kapitalo paramos priemonėms</w:t>
      </w:r>
      <w:r w:rsidRPr="00E22DDE">
        <w:rPr>
          <w:b/>
          <w:bCs/>
          <w:i/>
          <w:iCs/>
          <w:lang w:val="lt-LT"/>
        </w:rPr>
        <w:t>, įskaitant rekapitalizavimą, turto vertės sumažėjimo priemones ir turto garantijas, tik jei tenkinamos 11b straipsnyje nustatytos sąlygos.</w:t>
      </w:r>
    </w:p>
    <w:p w:rsidR="000B604B" w:rsidRPr="00E22DDE" w:rsidRDefault="000B604B" w:rsidP="004226A9">
      <w:pPr>
        <w:pStyle w:val="Text1"/>
        <w:spacing w:line="360" w:lineRule="auto"/>
        <w:rPr>
          <w:lang w:val="lt-LT"/>
        </w:rPr>
      </w:pPr>
      <w:r w:rsidRPr="00E22DDE">
        <w:rPr>
          <w:b/>
          <w:bCs/>
          <w:i/>
          <w:iCs/>
          <w:lang w:val="lt-LT"/>
        </w:rPr>
        <w:t>Valstybės narės užtikrina, kad IGS</w:t>
      </w:r>
      <w:r w:rsidRPr="00E22DDE">
        <w:rPr>
          <w:lang w:val="lt-LT"/>
        </w:rPr>
        <w:t xml:space="preserve"> perduotų savo turimas remiamos kredito įstaigos akcijas ar kitas kapitalo priemones</w:t>
      </w:r>
      <w:r w:rsidR="003D0DE8" w:rsidRPr="00E22DDE">
        <w:rPr>
          <w:lang w:val="lt-LT"/>
        </w:rPr>
        <w:t xml:space="preserve"> </w:t>
      </w:r>
      <w:r w:rsidRPr="00E22DDE">
        <w:rPr>
          <w:lang w:val="lt-LT"/>
        </w:rPr>
        <w:t>▌, kai tik tai leidžia komercinės ir finansinės aplinkybės.</w:t>
      </w:r>
    </w:p>
    <w:p w:rsidR="000B604B" w:rsidRPr="00E22DDE" w:rsidRDefault="000B604B" w:rsidP="004226A9">
      <w:pPr>
        <w:pStyle w:val="Point0"/>
        <w:spacing w:line="360" w:lineRule="auto"/>
        <w:ind w:firstLine="1"/>
        <w:rPr>
          <w:b/>
          <w:i/>
          <w:lang w:val="lt-LT"/>
        </w:rPr>
      </w:pPr>
      <w:r w:rsidRPr="00E22DDE">
        <w:rPr>
          <w:b/>
          <w:i/>
          <w:lang w:val="lt-LT"/>
        </w:rPr>
        <w:t>4a. EBI parengia techninių reguliavimo standartų projektus, kuriuose nustato:</w:t>
      </w:r>
    </w:p>
    <w:p w:rsidR="000B604B" w:rsidRPr="00E22DDE" w:rsidRDefault="000B604B" w:rsidP="004226A9">
      <w:pPr>
        <w:pStyle w:val="Point0"/>
        <w:spacing w:line="360" w:lineRule="auto"/>
        <w:ind w:firstLine="1"/>
        <w:rPr>
          <w:b/>
          <w:i/>
          <w:lang w:val="lt-LT"/>
        </w:rPr>
      </w:pPr>
      <w:r w:rsidRPr="00E22DDE">
        <w:rPr>
          <w:b/>
          <w:i/>
          <w:lang w:val="lt-LT"/>
        </w:rPr>
        <w:t>a)</w:t>
      </w:r>
      <w:r w:rsidRPr="00E22DDE">
        <w:rPr>
          <w:b/>
          <w:i/>
          <w:lang w:val="lt-LT"/>
        </w:rPr>
        <w:tab/>
        <w:t>1 dalies c punkte nurodytas sąlygas;</w:t>
      </w:r>
    </w:p>
    <w:p w:rsidR="000B604B" w:rsidRPr="00E22DDE" w:rsidRDefault="000B604B" w:rsidP="004226A9">
      <w:pPr>
        <w:pStyle w:val="Point0"/>
        <w:spacing w:line="360" w:lineRule="auto"/>
        <w:ind w:left="1440" w:hanging="590"/>
        <w:rPr>
          <w:b/>
          <w:i/>
          <w:lang w:val="lt-LT"/>
        </w:rPr>
      </w:pPr>
      <w:r w:rsidRPr="00E22DDE">
        <w:rPr>
          <w:b/>
          <w:i/>
          <w:lang w:val="lt-LT"/>
        </w:rPr>
        <w:t>b)</w:t>
      </w:r>
      <w:r w:rsidRPr="00E22DDE">
        <w:rPr>
          <w:b/>
          <w:i/>
          <w:lang w:val="lt-LT"/>
        </w:rPr>
        <w:tab/>
        <w:t>stebėsenos sistemas ir sprendimų priėmimo procedūras, kurias IGS turi įdiegti pagal 2 dalį;</w:t>
      </w:r>
    </w:p>
    <w:p w:rsidR="000B604B" w:rsidRPr="00E22DDE" w:rsidRDefault="000B604B" w:rsidP="004226A9">
      <w:pPr>
        <w:pStyle w:val="Point0"/>
        <w:spacing w:line="360" w:lineRule="auto"/>
        <w:ind w:left="1440" w:hanging="590"/>
        <w:rPr>
          <w:b/>
          <w:i/>
          <w:lang w:val="lt-LT"/>
        </w:rPr>
      </w:pPr>
      <w:r w:rsidRPr="00E22DDE">
        <w:rPr>
          <w:b/>
          <w:i/>
          <w:lang w:val="lt-LT"/>
        </w:rPr>
        <w:t>c)</w:t>
      </w:r>
      <w:r w:rsidRPr="00E22DDE">
        <w:rPr>
          <w:b/>
          <w:i/>
          <w:lang w:val="lt-LT"/>
        </w:rPr>
        <w:tab/>
        <w:t>pertvarkymo institucijų, paskirtų valdžios institucijų ir kompetentingų valdžios institucijų bendradarbiavimo pagal šio straipsnio 1 ir 3 dalis tvarką, atsižvelgiant į 11b straipsnio reikalavimus.</w:t>
      </w:r>
    </w:p>
    <w:p w:rsidR="000B604B" w:rsidRPr="00E22DDE" w:rsidRDefault="000B604B" w:rsidP="004226A9">
      <w:pPr>
        <w:pStyle w:val="Point0"/>
        <w:spacing w:line="360" w:lineRule="auto"/>
        <w:ind w:firstLine="1"/>
        <w:rPr>
          <w:b/>
          <w:i/>
          <w:lang w:val="lt-LT"/>
        </w:rPr>
      </w:pPr>
      <w:r w:rsidRPr="00E22DDE">
        <w:rPr>
          <w:b/>
          <w:i/>
          <w:lang w:val="lt-LT"/>
        </w:rPr>
        <w:t xml:space="preserve">EBI tuos techninių reguliavimo standartų projektus pateikia Komisijai ne vėliau kaip [vieni metai nuo šios iš dalies keičiančios direktyvos įsigaliojimo dienos]. </w:t>
      </w:r>
    </w:p>
    <w:p w:rsidR="000B604B" w:rsidRPr="00E22DDE" w:rsidRDefault="000B604B" w:rsidP="004226A9">
      <w:pPr>
        <w:pStyle w:val="Text1"/>
        <w:spacing w:line="360" w:lineRule="auto"/>
        <w:rPr>
          <w:lang w:val="lt-LT"/>
        </w:rPr>
      </w:pPr>
      <w:r w:rsidRPr="00E22DDE">
        <w:rPr>
          <w:b/>
          <w:i/>
          <w:lang w:val="lt-LT"/>
        </w:rPr>
        <w:t xml:space="preserve">Komisijai deleguojami įgaliojimai papildyti šią direktyvą priimant šios dalies pirmoje pastraipoje nurodytus techninius reguliavimo standartus pagal Reglamento (ES) Nr. 1093/2010 10–14 straipsnius. </w:t>
      </w:r>
    </w:p>
    <w:p w:rsidR="000B604B" w:rsidRPr="00E22DDE" w:rsidRDefault="000B604B" w:rsidP="004226A9">
      <w:pPr>
        <w:pStyle w:val="Text1"/>
        <w:spacing w:line="360" w:lineRule="auto"/>
        <w:jc w:val="center"/>
        <w:rPr>
          <w:i/>
          <w:iCs/>
          <w:lang w:val="lt-LT"/>
        </w:rPr>
      </w:pPr>
      <w:r w:rsidRPr="00E22DDE">
        <w:rPr>
          <w:i/>
          <w:lang w:val="lt-LT"/>
        </w:rPr>
        <w:t>11b straipsnis</w:t>
      </w:r>
    </w:p>
    <w:p w:rsidR="000B604B" w:rsidRPr="00E22DDE" w:rsidRDefault="000B604B" w:rsidP="004226A9">
      <w:pPr>
        <w:pStyle w:val="Text1"/>
        <w:spacing w:line="360" w:lineRule="auto"/>
        <w:jc w:val="center"/>
        <w:rPr>
          <w:b/>
          <w:iCs/>
          <w:lang w:val="lt-LT"/>
        </w:rPr>
      </w:pPr>
      <w:r w:rsidRPr="00E22DDE">
        <w:rPr>
          <w:b/>
          <w:lang w:val="lt-LT"/>
        </w:rPr>
        <w:lastRenderedPageBreak/>
        <w:t>Prevencinių priemonių finansavimo reikalavimai</w:t>
      </w:r>
    </w:p>
    <w:p w:rsidR="000B604B" w:rsidRPr="00E22DDE" w:rsidRDefault="000B604B" w:rsidP="004226A9">
      <w:pPr>
        <w:pStyle w:val="Text1"/>
        <w:spacing w:line="360" w:lineRule="auto"/>
        <w:rPr>
          <w:lang w:val="lt-LT"/>
        </w:rPr>
      </w:pPr>
      <w:r w:rsidRPr="00E22DDE">
        <w:rPr>
          <w:lang w:val="lt-LT"/>
        </w:rPr>
        <w:t xml:space="preserve">1. Valstybės narės užtikrina, kad kredito įstaigos, kurios prašo IGS finansuoti prevencines priemones pagal 11 straipsnio 3 dalį, ▌kompetentingai valdžios institucijai pateiktų raštą, kuriame būtų nurodytos priemonės, kurių tos kredito įstaigos įsipareigoja imtis, kad užtikrintų </w:t>
      </w:r>
      <w:r w:rsidRPr="00E22DDE">
        <w:rPr>
          <w:b/>
          <w:bCs/>
          <w:i/>
          <w:iCs/>
          <w:lang w:val="lt-LT"/>
        </w:rPr>
        <w:t>taikytinų</w:t>
      </w:r>
      <w:r w:rsidRPr="00E22DDE">
        <w:rPr>
          <w:lang w:val="lt-LT"/>
        </w:rPr>
        <w:t xml:space="preserve"> priežiūros reikalavimų </w:t>
      </w:r>
      <w:r w:rsidRPr="00E22DDE">
        <w:rPr>
          <w:b/>
          <w:bCs/>
          <w:i/>
          <w:iCs/>
          <w:lang w:val="lt-LT"/>
        </w:rPr>
        <w:t>pagal Direktyvą</w:t>
      </w:r>
      <w:r w:rsidRPr="00E22DDE">
        <w:rPr>
          <w:lang w:val="lt-LT"/>
        </w:rPr>
        <w:t xml:space="preserve"> 2013/36/ES ir </w:t>
      </w:r>
      <w:r w:rsidRPr="00E22DDE">
        <w:rPr>
          <w:b/>
          <w:bCs/>
          <w:i/>
          <w:iCs/>
          <w:lang w:val="lt-LT"/>
        </w:rPr>
        <w:t>Reglamentą</w:t>
      </w:r>
      <w:r w:rsidRPr="00E22DDE">
        <w:rPr>
          <w:lang w:val="lt-LT"/>
        </w:rPr>
        <w:t xml:space="preserve"> (ES) Nr. 575/2013 laikymąsi. </w:t>
      </w:r>
    </w:p>
    <w:p w:rsidR="000B604B" w:rsidRPr="00E22DDE" w:rsidRDefault="000B604B" w:rsidP="004226A9">
      <w:pPr>
        <w:pStyle w:val="Text1"/>
        <w:spacing w:line="360" w:lineRule="auto"/>
        <w:rPr>
          <w:lang w:val="lt-LT"/>
        </w:rPr>
      </w:pPr>
      <w:r w:rsidRPr="00E22DDE">
        <w:rPr>
          <w:lang w:val="lt-LT"/>
        </w:rPr>
        <w:t xml:space="preserve">2. 1 dalyje nurodytame rašte išdėstomi veiksmai, kuriais siekiama sumažinti finansinio patikimumo pablogėjimo riziką ir sustiprinti kredito įstaigos kapitalo ir likvidumo poziciją. </w:t>
      </w:r>
    </w:p>
    <w:p w:rsidR="000B604B" w:rsidRPr="00E22DDE" w:rsidRDefault="000B604B" w:rsidP="004226A9">
      <w:pPr>
        <w:pStyle w:val="Text1"/>
        <w:tabs>
          <w:tab w:val="left" w:pos="1418"/>
        </w:tabs>
        <w:spacing w:line="360" w:lineRule="auto"/>
        <w:rPr>
          <w:lang w:val="lt-LT"/>
        </w:rPr>
      </w:pPr>
      <w:r w:rsidRPr="00E22DDE">
        <w:rPr>
          <w:b/>
          <w:i/>
          <w:lang w:val="lt-LT"/>
        </w:rPr>
        <w:t>2a. Kai IGS finansiniai ištekliai naudojami prevencinėms priemonėms pagal šios direktyvos 11 straipsnio 3 dalį, kompetentinga valdžios institucija reikalauja, kad paramą gaunanti kredito įstaiga atitinkamai atnaujintų Direktyvos 2014/59/ES 2 straipsnio 1 dalies 32 punkte nurodytą gaivinimo planą arba tos direktyvos 2 straipsnio 1 dalies 33 punkte nurodytą grupės gaivinimo planą. Kompetentinga valdžios institucija nurodo remiamai kredito įstaigai įgyvendinti Direktyvos 2014/59/ES 6 straipsnio 6 dalies trečioje pastraipoje nurodytas priemones, kai tenkinamos tos direktyvos 6 straipsnio 6 dalyje numatytos sąlygos.</w:t>
      </w:r>
    </w:p>
    <w:p w:rsidR="000B604B" w:rsidRPr="00E22DDE" w:rsidRDefault="000B604B" w:rsidP="004226A9">
      <w:pPr>
        <w:pStyle w:val="Text1"/>
        <w:spacing w:line="360" w:lineRule="auto"/>
        <w:rPr>
          <w:b/>
          <w:i/>
          <w:lang w:val="lt-LT"/>
        </w:rPr>
      </w:pPr>
      <w:r w:rsidRPr="00E22DDE">
        <w:rPr>
          <w:lang w:val="lt-LT"/>
        </w:rPr>
        <w:t xml:space="preserve">3. Valstybės narės užtikrina, kad </w:t>
      </w:r>
      <w:r w:rsidRPr="00E22DDE">
        <w:rPr>
          <w:b/>
          <w:bCs/>
          <w:i/>
          <w:iCs/>
          <w:lang w:val="lt-LT"/>
        </w:rPr>
        <w:t>1 dalyje nurodytos</w:t>
      </w:r>
      <w:r w:rsidRPr="00E22DDE">
        <w:rPr>
          <w:lang w:val="lt-LT"/>
        </w:rPr>
        <w:t xml:space="preserve"> kapitalo paramos priemonės atveju </w:t>
      </w:r>
      <w:r w:rsidRPr="00E22DDE">
        <w:rPr>
          <w:b/>
          <w:bCs/>
          <w:i/>
          <w:iCs/>
          <w:lang w:val="lt-LT"/>
        </w:rPr>
        <w:t>IGS turimi finansiniai ištekliai padengtų tik esamą kapitalo trūkumą remiantis šiais rašte nurodomais elementais:</w:t>
      </w:r>
    </w:p>
    <w:p w:rsidR="000B604B" w:rsidRPr="00E22DDE" w:rsidRDefault="000B604B" w:rsidP="004226A9">
      <w:pPr>
        <w:pStyle w:val="Text1"/>
        <w:tabs>
          <w:tab w:val="left" w:pos="1418"/>
        </w:tabs>
        <w:spacing w:line="360" w:lineRule="auto"/>
        <w:ind w:left="1418" w:hanging="567"/>
        <w:rPr>
          <w:b/>
          <w:i/>
          <w:lang w:val="lt-LT"/>
        </w:rPr>
      </w:pPr>
      <w:r w:rsidRPr="00E22DDE">
        <w:rPr>
          <w:b/>
          <w:i/>
          <w:lang w:val="lt-LT"/>
        </w:rPr>
        <w:t>a)</w:t>
      </w:r>
      <w:r w:rsidRPr="00E22DDE">
        <w:rPr>
          <w:b/>
          <w:i/>
          <w:lang w:val="lt-LT"/>
        </w:rPr>
        <w:tab/>
        <w:t>pradiniu kapitalo trūkumu, nustatytu atliekant Sąjungos testavimą nepalankiausiomis sąlygomis, turto kokybės vertinimą arba lygiavertį vertinimą, arba priežiūros tikslais atliekamą peržiūros ir vertinimo procedūrą, kurią patvirtino kompetentinga valdžios institucija;</w:t>
      </w:r>
    </w:p>
    <w:p w:rsidR="000B604B" w:rsidRPr="00E22DDE" w:rsidRDefault="000B604B" w:rsidP="004226A9">
      <w:pPr>
        <w:pStyle w:val="Text1"/>
        <w:tabs>
          <w:tab w:val="left" w:pos="1418"/>
        </w:tabs>
        <w:spacing w:line="360" w:lineRule="auto"/>
        <w:ind w:left="1418" w:hanging="567"/>
        <w:rPr>
          <w:b/>
          <w:i/>
          <w:lang w:val="lt-LT"/>
        </w:rPr>
      </w:pPr>
      <w:r w:rsidRPr="00E22DDE">
        <w:rPr>
          <w:b/>
          <w:i/>
          <w:lang w:val="lt-LT"/>
        </w:rPr>
        <w:t>b)</w:t>
      </w:r>
      <w:r w:rsidRPr="00E22DDE">
        <w:rPr>
          <w:b/>
          <w:i/>
          <w:lang w:val="lt-LT"/>
        </w:rPr>
        <w:tab/>
        <w:t>kapitalo didinimo priemonėmis, kurios turi būti įgyvendintos per šešis mėnesius nuo verslo reorganizavimo plano pateikimo;</w:t>
      </w:r>
    </w:p>
    <w:p w:rsidR="000B604B" w:rsidRPr="00E22DDE" w:rsidRDefault="000B604B" w:rsidP="004226A9">
      <w:pPr>
        <w:pStyle w:val="Text1"/>
        <w:tabs>
          <w:tab w:val="left" w:pos="1418"/>
        </w:tabs>
        <w:spacing w:line="360" w:lineRule="auto"/>
        <w:ind w:left="1418" w:hanging="567"/>
        <w:rPr>
          <w:b/>
          <w:i/>
          <w:lang w:val="lt-LT"/>
        </w:rPr>
      </w:pPr>
      <w:r w:rsidRPr="00E22DDE">
        <w:rPr>
          <w:b/>
          <w:i/>
          <w:lang w:val="lt-LT"/>
        </w:rPr>
        <w:t>c)</w:t>
      </w:r>
      <w:r w:rsidRPr="00E22DDE">
        <w:rPr>
          <w:b/>
          <w:i/>
          <w:lang w:val="lt-LT"/>
        </w:rPr>
        <w:tab/>
        <w:t>apsaugos priemonėmis, kuriomis užkertamas kelias lėšų praradimui, įskaitant 5 dalyje nurodytas priemones;</w:t>
      </w:r>
    </w:p>
    <w:p w:rsidR="000B604B" w:rsidRPr="00E22DDE" w:rsidRDefault="000B604B" w:rsidP="004226A9">
      <w:pPr>
        <w:pStyle w:val="Text1"/>
        <w:tabs>
          <w:tab w:val="left" w:pos="1418"/>
        </w:tabs>
        <w:spacing w:line="360" w:lineRule="auto"/>
        <w:ind w:left="1418" w:hanging="567"/>
        <w:rPr>
          <w:b/>
          <w:i/>
          <w:lang w:val="lt-LT"/>
        </w:rPr>
      </w:pPr>
      <w:r w:rsidRPr="00E22DDE">
        <w:rPr>
          <w:b/>
          <w:i/>
          <w:lang w:val="lt-LT"/>
        </w:rPr>
        <w:t>d)</w:t>
      </w:r>
      <w:r w:rsidRPr="00E22DDE">
        <w:rPr>
          <w:b/>
          <w:i/>
          <w:lang w:val="lt-LT"/>
        </w:rPr>
        <w:tab/>
        <w:t>kai tinkama, remiamos kredito įstaigos akcininkų ir subordinuotosios skolos turėtojų įnašais.</w:t>
      </w:r>
    </w:p>
    <w:p w:rsidR="000B604B" w:rsidRPr="00E22DDE" w:rsidRDefault="000B604B" w:rsidP="004226A9">
      <w:pPr>
        <w:pStyle w:val="Text1"/>
        <w:spacing w:line="360" w:lineRule="auto"/>
        <w:rPr>
          <w:lang w:val="lt-LT"/>
        </w:rPr>
      </w:pPr>
      <w:r w:rsidRPr="00E22DDE">
        <w:rPr>
          <w:b/>
          <w:bCs/>
          <w:i/>
          <w:iCs/>
          <w:lang w:val="lt-LT"/>
        </w:rPr>
        <w:lastRenderedPageBreak/>
        <w:t>Nustatydama kapitalo trūkumą IGS gali atsižvelgti į bet kokį</w:t>
      </w:r>
      <w:r w:rsidRPr="00E22DDE">
        <w:rPr>
          <w:lang w:val="lt-LT"/>
        </w:rPr>
        <w:t xml:space="preserve"> perspektyvinį kapitalo pakankamumo vertinimą</w:t>
      </w:r>
      <w:r w:rsidRPr="00E22DDE">
        <w:rPr>
          <w:b/>
          <w:bCs/>
          <w:i/>
          <w:iCs/>
          <w:lang w:val="lt-LT"/>
        </w:rPr>
        <w:t>, įskaitant</w:t>
      </w:r>
      <w:r w:rsidR="003D0DE8" w:rsidRPr="00E22DDE">
        <w:rPr>
          <w:b/>
          <w:bCs/>
          <w:i/>
          <w:iCs/>
          <w:lang w:val="lt-LT"/>
        </w:rPr>
        <w:t xml:space="preserve"> </w:t>
      </w:r>
      <w:r w:rsidRPr="00E22DDE">
        <w:rPr>
          <w:lang w:val="lt-LT"/>
        </w:rPr>
        <w:t xml:space="preserve">kapitalo </w:t>
      </w:r>
      <w:r w:rsidRPr="00E22DDE">
        <w:rPr>
          <w:b/>
          <w:bCs/>
          <w:i/>
          <w:iCs/>
          <w:lang w:val="lt-LT"/>
        </w:rPr>
        <w:t>apsaugos planą, nurodytą Direktyvos 2013/36/ES 142 straipsnyje.</w:t>
      </w:r>
    </w:p>
    <w:p w:rsidR="000B604B" w:rsidRPr="00E22DDE" w:rsidRDefault="000B604B" w:rsidP="004226A9">
      <w:pPr>
        <w:pStyle w:val="Text1"/>
        <w:spacing w:line="360" w:lineRule="auto"/>
        <w:rPr>
          <w:b/>
          <w:i/>
          <w:lang w:val="lt-LT"/>
        </w:rPr>
      </w:pPr>
      <w:r w:rsidRPr="00E22DDE">
        <w:rPr>
          <w:b/>
          <w:i/>
          <w:lang w:val="lt-LT"/>
        </w:rPr>
        <w:t>Valstybės narės užtikrina, kad tais atvejais, kai kredito įstaiga yra IUS narė, kaip nurodyta 1 straipsnio 2 dalies c punkte, kapitalo trūkumą nustatytų IUS.</w:t>
      </w:r>
    </w:p>
    <w:p w:rsidR="000B604B" w:rsidRPr="00E22DDE" w:rsidRDefault="000B604B" w:rsidP="004226A9">
      <w:pPr>
        <w:pStyle w:val="Text1"/>
        <w:spacing w:line="360" w:lineRule="auto"/>
        <w:rPr>
          <w:lang w:val="lt-LT"/>
        </w:rPr>
      </w:pPr>
      <w:r w:rsidRPr="00E22DDE">
        <w:rPr>
          <w:b/>
          <w:i/>
          <w:lang w:val="lt-LT"/>
        </w:rPr>
        <w:t>Nustatydama kapitalo trūkumą IGS apie tai praneša kompetentingai valdžios institucijai.</w:t>
      </w:r>
    </w:p>
    <w:p w:rsidR="000B604B" w:rsidRPr="00E22DDE" w:rsidRDefault="000B604B" w:rsidP="004226A9">
      <w:pPr>
        <w:pStyle w:val="Text1"/>
        <w:spacing w:line="360" w:lineRule="auto"/>
        <w:rPr>
          <w:lang w:val="lt-LT"/>
        </w:rPr>
      </w:pPr>
      <w:r w:rsidRPr="00E22DDE">
        <w:rPr>
          <w:lang w:val="lt-LT"/>
        </w:rPr>
        <w:t>4. Valstybės narės užtikrina, kad</w:t>
      </w:r>
      <w:r w:rsidR="003D0DE8" w:rsidRPr="00E22DDE">
        <w:rPr>
          <w:lang w:val="lt-LT"/>
        </w:rPr>
        <w:t xml:space="preserve"> </w:t>
      </w:r>
      <w:r w:rsidRPr="00E22DDE">
        <w:rPr>
          <w:lang w:val="lt-LT"/>
        </w:rPr>
        <w:t xml:space="preserve">▌1 dalyje nurodytame rašte būtų </w:t>
      </w:r>
      <w:r w:rsidRPr="00E22DDE">
        <w:rPr>
          <w:b/>
          <w:bCs/>
          <w:i/>
          <w:iCs/>
          <w:lang w:val="lt-LT"/>
        </w:rPr>
        <w:t>pateikta prevencinių priemonių pasitraukimo strategija, be kita ko</w:t>
      </w:r>
      <w:r w:rsidRPr="00E22DDE">
        <w:rPr>
          <w:lang w:val="lt-LT"/>
        </w:rPr>
        <w:t xml:space="preserve"> kredito įstaigos aiškiai apibrėžtas visų </w:t>
      </w:r>
      <w:r w:rsidRPr="00E22DDE">
        <w:rPr>
          <w:b/>
          <w:bCs/>
          <w:i/>
          <w:iCs/>
          <w:lang w:val="lt-LT"/>
        </w:rPr>
        <w:t>grąžintinų</w:t>
      </w:r>
      <w:r w:rsidRPr="00E22DDE">
        <w:rPr>
          <w:lang w:val="lt-LT"/>
        </w:rPr>
        <w:t xml:space="preserve"> lėšų, gautų taikant prevencines priemones, grąžinimo tvarkaraštis. </w:t>
      </w:r>
      <w:r w:rsidRPr="00E22DDE">
        <w:rPr>
          <w:b/>
          <w:i/>
          <w:lang w:val="lt-LT"/>
        </w:rPr>
        <w:t>Ta informacija atskleidžiama tik praėjus ne mažiau kaip vieneriems metams nuo pasitraukimo strategijos užbaigimo, koregavimo plano įgyvendinimo arba vertinimo pagal 11c straipsnio 3 dalį pabaigos.</w:t>
      </w:r>
    </w:p>
    <w:p w:rsidR="000B604B" w:rsidRPr="00E22DDE" w:rsidRDefault="000B604B" w:rsidP="004226A9">
      <w:pPr>
        <w:pStyle w:val="Text1"/>
        <w:spacing w:line="360" w:lineRule="auto"/>
        <w:rPr>
          <w:lang w:val="lt-LT"/>
        </w:rPr>
      </w:pPr>
      <w:r w:rsidRPr="00E22DDE">
        <w:rPr>
          <w:lang w:val="lt-LT"/>
        </w:rPr>
        <w:t xml:space="preserve">5. </w:t>
      </w:r>
      <w:r w:rsidRPr="00E22DDE">
        <w:rPr>
          <w:b/>
          <w:i/>
          <w:lang w:val="lt-LT"/>
        </w:rPr>
        <w:t>Valstybės narės užtikrina, kad dividendai, atpirkimai ar kintamasis atlygis nebūtų išmokami ir kad remiama kredito įstaiga neprisiimtų neatšaukiamo įsipareigojimo išmokėti dividendus, atpirkimus ar kintamąjį atlygį. Kompetentinga valdžios institucija gali išimties tvarka iš dalies apriboti šį draudimą, jei kredito įstaiga kompetentingai valdžios institucijai priimtinu būdu įrodo, kad ji yra teisiškai įpareigota išmokėti dividendus.</w:t>
      </w:r>
      <w:r w:rsidRPr="00E22DDE">
        <w:rPr>
          <w:b/>
          <w:i/>
          <w:sz w:val="22"/>
          <w:lang w:val="lt-LT"/>
        </w:rPr>
        <w:t xml:space="preserve"> </w:t>
      </w:r>
      <w:r w:rsidRPr="00E22DDE">
        <w:rPr>
          <w:lang w:val="lt-LT"/>
        </w:rPr>
        <w:t>▌Valstybės narės užtikrina, kad</w:t>
      </w:r>
      <w:r w:rsidRPr="00E22DDE">
        <w:rPr>
          <w:b/>
          <w:bCs/>
          <w:i/>
          <w:iCs/>
          <w:lang w:val="lt-LT"/>
        </w:rPr>
        <w:t xml:space="preserve"> apribojimai pagal šią dalį būtų taikomi tol, kol remiama kredito įstaiga išmokės IGS tokią pačią sumą, kuri buvo panaudota prevencinėms priemonėms.</w:t>
      </w:r>
    </w:p>
    <w:p w:rsidR="000B604B" w:rsidRPr="00E22DDE" w:rsidRDefault="000B604B" w:rsidP="004226A9">
      <w:pPr>
        <w:pStyle w:val="Text1"/>
        <w:spacing w:line="360" w:lineRule="auto"/>
        <w:jc w:val="left"/>
        <w:rPr>
          <w:b/>
          <w:i/>
          <w:lang w:val="lt-LT"/>
        </w:rPr>
      </w:pPr>
      <w:r w:rsidRPr="00E22DDE">
        <w:rPr>
          <w:b/>
          <w:i/>
          <w:lang w:val="lt-LT"/>
        </w:rPr>
        <w:t xml:space="preserve">5a. Valstybės narės užtikrina, kad per šešis mėnesius nuo pradinės finansinės paramos suteikimo paramą gaunanti kredito įstaiga kompetentingai valdžios institucijai pateiktų verslo reorganizavimo planą. </w:t>
      </w:r>
      <w:r w:rsidRPr="00E22DDE">
        <w:rPr>
          <w:b/>
          <w:bCs/>
          <w:i/>
          <w:iCs/>
          <w:lang w:val="lt-LT"/>
        </w:rPr>
        <w:t>Jei kompetentinga valdžios institucija nėra įsitikinusi, jog verslo reorganizavimo planas yra pakankamai patikimas ir įgyvendinamas, kad užtikrintų ilgalaikį gyvybingumą, atitinkamai kredito įstaigai taikomos prevencinės priemonės sustabdomos, o kompetentinga valdžios institucija įgyvendina tinkamas priemones, kad užtikrintų ilgalaikį gyvybingumą.</w:t>
      </w:r>
    </w:p>
    <w:p w:rsidR="000B604B" w:rsidRPr="00E22DDE" w:rsidRDefault="000B604B" w:rsidP="004226A9">
      <w:pPr>
        <w:pStyle w:val="Text1"/>
        <w:spacing w:line="360" w:lineRule="auto"/>
        <w:rPr>
          <w:lang w:val="lt-LT"/>
        </w:rPr>
      </w:pPr>
      <w:r w:rsidRPr="00E22DDE">
        <w:rPr>
          <w:b/>
          <w:i/>
          <w:lang w:val="lt-LT"/>
        </w:rPr>
        <w:t>Nukrypstant nuo šios dalies pirmos pastraipos, kai kredito įstaiga priklauso IUS, kaip nurodyta 1 straipsnio 2 dalies c punkte, verslo reorganizavimo planą tvirtina IUS, pasikonsultavusi su kompetentinga valdžios institucija.</w:t>
      </w:r>
    </w:p>
    <w:p w:rsidR="000B604B" w:rsidRPr="00E22DDE" w:rsidRDefault="000B604B" w:rsidP="004226A9">
      <w:pPr>
        <w:pStyle w:val="Text1"/>
        <w:spacing w:line="360" w:lineRule="auto"/>
        <w:rPr>
          <w:lang w:val="lt-LT"/>
        </w:rPr>
      </w:pPr>
      <w:r w:rsidRPr="00E22DDE">
        <w:rPr>
          <w:lang w:val="lt-LT"/>
        </w:rPr>
        <w:lastRenderedPageBreak/>
        <w:t xml:space="preserve">6. ▌Valstybės narės užtikrina, kad </w:t>
      </w:r>
      <w:r w:rsidRPr="00E22DDE">
        <w:rPr>
          <w:b/>
          <w:bCs/>
          <w:i/>
          <w:iCs/>
          <w:lang w:val="lt-LT"/>
        </w:rPr>
        <w:t>5a</w:t>
      </w:r>
      <w:r w:rsidRPr="00E22DDE">
        <w:rPr>
          <w:lang w:val="lt-LT"/>
        </w:rPr>
        <w:t xml:space="preserve"> dalyje </w:t>
      </w:r>
      <w:r w:rsidRPr="00E22DDE">
        <w:rPr>
          <w:b/>
          <w:bCs/>
          <w:i/>
          <w:iCs/>
          <w:lang w:val="lt-LT"/>
        </w:rPr>
        <w:t>nurodytame verslo reorganizavimo plane</w:t>
      </w:r>
      <w:r w:rsidRPr="00E22DDE">
        <w:rPr>
          <w:lang w:val="lt-LT"/>
        </w:rPr>
        <w:t xml:space="preserve"> numatytos priemonės būtų </w:t>
      </w:r>
      <w:r w:rsidRPr="00E22DDE">
        <w:rPr>
          <w:b/>
          <w:bCs/>
          <w:i/>
          <w:iCs/>
          <w:lang w:val="lt-LT"/>
        </w:rPr>
        <w:t>suderinamos</w:t>
      </w:r>
      <w:r w:rsidRPr="00E22DDE">
        <w:rPr>
          <w:lang w:val="lt-LT"/>
        </w:rPr>
        <w:t xml:space="preserve"> su </w:t>
      </w:r>
      <w:r w:rsidRPr="00E22DDE">
        <w:rPr>
          <w:b/>
          <w:bCs/>
          <w:i/>
          <w:iCs/>
          <w:lang w:val="lt-LT"/>
        </w:rPr>
        <w:t>kredito įstaigos</w:t>
      </w:r>
      <w:r w:rsidRPr="00E22DDE">
        <w:rPr>
          <w:lang w:val="lt-LT"/>
        </w:rPr>
        <w:t xml:space="preserve"> restruktūrizavimo planu, kurį </w:t>
      </w:r>
      <w:r w:rsidRPr="00E22DDE">
        <w:rPr>
          <w:b/>
          <w:bCs/>
          <w:i/>
          <w:iCs/>
          <w:lang w:val="lt-LT"/>
        </w:rPr>
        <w:t>pateikti reikalauja Komisija, vadovaujantis Sąjungos valstybės pagalbos sistema</w:t>
      </w:r>
      <w:r w:rsidRPr="00E22DDE">
        <w:rPr>
          <w:lang w:val="lt-LT"/>
        </w:rPr>
        <w:t>.</w:t>
      </w:r>
    </w:p>
    <w:p w:rsidR="000B604B" w:rsidRPr="00E22DDE" w:rsidRDefault="000B604B" w:rsidP="004226A9">
      <w:pPr>
        <w:pStyle w:val="Text1"/>
        <w:spacing w:line="360" w:lineRule="auto"/>
        <w:jc w:val="left"/>
        <w:rPr>
          <w:lang w:val="lt-LT"/>
        </w:rPr>
      </w:pPr>
      <w:r w:rsidRPr="00E22DDE">
        <w:rPr>
          <w:b/>
          <w:i/>
          <w:lang w:val="lt-LT"/>
        </w:rPr>
        <w:t>6a. Kompetentinga valdžios institucija pertvarkymo institucijai pateikia verslo reorganizavimo planą. Pertvarkymo institucija gali išnagrinėti verslo reorganizavimo planą siekdama nustatyti, ar kurie nors numatyti veiksmai galėtų neigiamai paveikti sėkmingo įstaigos pertvarkymo galimybę, ir gali pateikti kompetentingai valdžios institucijai rekomendacijų tais klausimais. Pertvarkymo institucija pateikia savo vertinimą ir rekomendacijas per kompetentingos valdžios institucijos nustatytą laikotarpį.</w:t>
      </w:r>
    </w:p>
    <w:p w:rsidR="000B604B" w:rsidRPr="00E22DDE" w:rsidRDefault="000B604B" w:rsidP="004226A9">
      <w:pPr>
        <w:pStyle w:val="Text1"/>
        <w:spacing w:line="360" w:lineRule="auto"/>
        <w:jc w:val="center"/>
        <w:rPr>
          <w:i/>
          <w:iCs/>
          <w:lang w:val="lt-LT"/>
        </w:rPr>
      </w:pPr>
      <w:r w:rsidRPr="00E22DDE">
        <w:rPr>
          <w:i/>
          <w:lang w:val="lt-LT"/>
        </w:rPr>
        <w:t>11c straipsnis</w:t>
      </w:r>
    </w:p>
    <w:p w:rsidR="000B604B" w:rsidRPr="00E22DDE" w:rsidRDefault="000B604B" w:rsidP="004226A9">
      <w:pPr>
        <w:pStyle w:val="Text1"/>
        <w:spacing w:line="360" w:lineRule="auto"/>
        <w:jc w:val="center"/>
        <w:rPr>
          <w:b/>
          <w:iCs/>
          <w:lang w:val="lt-LT"/>
        </w:rPr>
      </w:pPr>
      <w:r w:rsidRPr="00E22DDE">
        <w:rPr>
          <w:b/>
          <w:lang w:val="lt-LT"/>
        </w:rPr>
        <w:t>Koregavimo planas</w:t>
      </w:r>
    </w:p>
    <w:p w:rsidR="000B604B" w:rsidRPr="00E22DDE" w:rsidRDefault="000B604B" w:rsidP="004226A9">
      <w:pPr>
        <w:pStyle w:val="Text1"/>
        <w:spacing w:line="360" w:lineRule="auto"/>
        <w:rPr>
          <w:lang w:val="lt-LT"/>
        </w:rPr>
      </w:pPr>
      <w:r w:rsidRPr="00E22DDE">
        <w:rPr>
          <w:lang w:val="lt-LT"/>
        </w:rPr>
        <w:t xml:space="preserve">1. Valstybės narės užtikrina, kad tais atvejais, kai kredito įstaiga neįvykdo 11b straipsnio 1 dalyje nurodytame rašte </w:t>
      </w:r>
      <w:r w:rsidRPr="00E22DDE">
        <w:rPr>
          <w:b/>
          <w:bCs/>
          <w:i/>
          <w:iCs/>
          <w:lang w:val="lt-LT"/>
        </w:rPr>
        <w:t>arba 11b straipsnio 5a dalies pirmoje pastraipoje nurodytame verslo reorganizavimo plane</w:t>
      </w:r>
      <w:r w:rsidRPr="00E22DDE">
        <w:rPr>
          <w:lang w:val="lt-LT"/>
        </w:rPr>
        <w:t xml:space="preserve"> nurodytų įsipareigojimų arba suėjus terminui negrąžina pagal prevencines priemones sumokėtos sumos</w:t>
      </w:r>
      <w:r w:rsidRPr="00E22DDE">
        <w:rPr>
          <w:b/>
          <w:bCs/>
          <w:i/>
          <w:iCs/>
          <w:lang w:val="lt-LT"/>
        </w:rPr>
        <w:t>, arba nesilaiko pasitraukimo strategijos pagal 11b straipsnio 4 dalį,</w:t>
      </w:r>
      <w:r w:rsidRPr="00E22DDE">
        <w:rPr>
          <w:lang w:val="lt-LT"/>
        </w:rPr>
        <w:t xml:space="preserve"> IGS nedelsdama apie tai praneštų kompetentingai valdžios institucijai. </w:t>
      </w:r>
    </w:p>
    <w:p w:rsidR="000B604B" w:rsidRPr="00E22DDE" w:rsidRDefault="000B604B" w:rsidP="004226A9">
      <w:pPr>
        <w:pStyle w:val="Text1"/>
        <w:spacing w:line="360" w:lineRule="auto"/>
        <w:rPr>
          <w:lang w:val="lt-LT"/>
        </w:rPr>
      </w:pPr>
      <w:r w:rsidRPr="00E22DDE">
        <w:rPr>
          <w:lang w:val="lt-LT"/>
        </w:rPr>
        <w:t xml:space="preserve">2. 1 dalyje nurodytu atveju valstybės narės užtikrina, kad kompetentinga valdžios institucija paprašytų kredito įstaigos </w:t>
      </w:r>
      <w:r w:rsidRPr="00E22DDE">
        <w:rPr>
          <w:b/>
          <w:bCs/>
          <w:i/>
          <w:iCs/>
          <w:lang w:val="lt-LT"/>
        </w:rPr>
        <w:t>paskirtai valdžios institucijai ir IGS</w:t>
      </w:r>
      <w:r w:rsidRPr="00E22DDE">
        <w:rPr>
          <w:lang w:val="lt-LT"/>
        </w:rPr>
        <w:t xml:space="preserve"> pateikti </w:t>
      </w:r>
      <w:r w:rsidRPr="00E22DDE">
        <w:rPr>
          <w:b/>
          <w:bCs/>
          <w:i/>
          <w:iCs/>
          <w:lang w:val="lt-LT"/>
        </w:rPr>
        <w:t>vienkartinį</w:t>
      </w:r>
      <w:r w:rsidRPr="00E22DDE">
        <w:rPr>
          <w:lang w:val="lt-LT"/>
        </w:rPr>
        <w:t xml:space="preserve"> koregavimo planą, kuriame būtų aprašyti veiksmai, kurių kredito įstaiga imsis, kad užtikrintų▌ priežiūros reikalavimų laikymąsi, užtikrintų savo ilgalaikį gyvybingumą ir </w:t>
      </w:r>
      <w:bookmarkStart w:id="17" w:name="_Hlk127374863"/>
      <w:r w:rsidRPr="00E22DDE">
        <w:rPr>
          <w:lang w:val="lt-LT"/>
        </w:rPr>
        <w:t>grąžintų negrąžintą IGS prevencinei priemonei skirtą sumą, taip pat susijusį grafiką.</w:t>
      </w:r>
      <w:bookmarkEnd w:id="17"/>
      <w:r w:rsidRPr="00E22DDE">
        <w:rPr>
          <w:lang w:val="lt-LT"/>
        </w:rPr>
        <w:t xml:space="preserve"> </w:t>
      </w:r>
      <w:r w:rsidRPr="00E22DDE">
        <w:rPr>
          <w:b/>
          <w:i/>
          <w:lang w:val="lt-LT"/>
        </w:rPr>
        <w:t>Paskirta valdžios institucija ir IGS konsultuojasi su kompetentinga valdžios institucija dėl koregavimo plane numatytų priemonių.</w:t>
      </w:r>
    </w:p>
    <w:p w:rsidR="000B604B" w:rsidRPr="00E22DDE" w:rsidRDefault="000B604B" w:rsidP="004226A9">
      <w:pPr>
        <w:pStyle w:val="Text1"/>
        <w:spacing w:line="360" w:lineRule="auto"/>
        <w:rPr>
          <w:lang w:val="lt-LT"/>
        </w:rPr>
      </w:pPr>
      <w:r w:rsidRPr="00E22DDE">
        <w:rPr>
          <w:lang w:val="lt-LT"/>
        </w:rPr>
        <w:t xml:space="preserve">3. Jei kompetentinga valdžios institucija nėra įsitikinusi, kad koregavimo planas yra patikimas arba įgyvendinamas, </w:t>
      </w:r>
      <w:r w:rsidRPr="00E22DDE">
        <w:rPr>
          <w:b/>
          <w:bCs/>
          <w:i/>
          <w:iCs/>
          <w:lang w:val="lt-LT"/>
        </w:rPr>
        <w:t>arba jei kredito įstaigos nesilaiko koregavimo plano</w:t>
      </w:r>
      <w:r w:rsidRPr="00E22DDE">
        <w:rPr>
          <w:lang w:val="lt-LT"/>
        </w:rPr>
        <w:t>, IGS tai kredito įstaigai netaiko jokių papildomų prevencinių priemonių</w:t>
      </w:r>
      <w:r w:rsidRPr="00E22DDE">
        <w:rPr>
          <w:b/>
          <w:bCs/>
          <w:i/>
          <w:iCs/>
          <w:lang w:val="lt-LT"/>
        </w:rPr>
        <w:t>, o atitinkamos valdžios institucijos pagal Direktyvos 2014/59/ES 32 straipsnį atlieka vertinimą, ar įstaiga žlunga arba galėtų žlugti</w:t>
      </w:r>
      <w:r w:rsidRPr="00E22DDE">
        <w:rPr>
          <w:lang w:val="lt-LT"/>
        </w:rPr>
        <w:t>.</w:t>
      </w:r>
      <w:bookmarkStart w:id="18" w:name="_Hlk125725169"/>
    </w:p>
    <w:p w:rsidR="000B604B" w:rsidRPr="00E22DDE" w:rsidRDefault="000B604B" w:rsidP="004226A9">
      <w:pPr>
        <w:pStyle w:val="Text1"/>
        <w:spacing w:line="360" w:lineRule="auto"/>
        <w:rPr>
          <w:lang w:val="lt-LT"/>
        </w:rPr>
      </w:pPr>
      <w:r w:rsidRPr="00E22DDE">
        <w:rPr>
          <w:lang w:val="lt-LT"/>
        </w:rPr>
        <w:lastRenderedPageBreak/>
        <w:t xml:space="preserve">4. Ne vėliau kaip [Leidinių biuro prašoma įrašyti datą – </w:t>
      </w:r>
      <w:r w:rsidRPr="00E22DDE">
        <w:rPr>
          <w:b/>
          <w:bCs/>
          <w:i/>
          <w:iCs/>
          <w:lang w:val="lt-LT"/>
        </w:rPr>
        <w:t>24</w:t>
      </w:r>
      <w:r w:rsidRPr="00E22DDE">
        <w:rPr>
          <w:lang w:val="lt-LT"/>
        </w:rPr>
        <w:t xml:space="preserve"> mėnesiai po šios direktyvos įsigaliojimo dienos] EBI paskelbia gaires, kuriose išdėstomi kartu su 11b straipsnio </w:t>
      </w:r>
      <w:r w:rsidRPr="00E22DDE">
        <w:rPr>
          <w:b/>
          <w:bCs/>
          <w:i/>
          <w:iCs/>
          <w:lang w:val="lt-LT"/>
        </w:rPr>
        <w:t>3–5a dalyse</w:t>
      </w:r>
      <w:r w:rsidRPr="00E22DDE">
        <w:rPr>
          <w:lang w:val="lt-LT"/>
        </w:rPr>
        <w:t xml:space="preserve"> nurodytomis prevencinėmis priemonėmis pateikiamo </w:t>
      </w:r>
      <w:r w:rsidRPr="00E22DDE">
        <w:rPr>
          <w:b/>
          <w:bCs/>
          <w:i/>
          <w:iCs/>
          <w:lang w:val="lt-LT"/>
        </w:rPr>
        <w:t xml:space="preserve">verslo reorganizavimo </w:t>
      </w:r>
      <w:r w:rsidRPr="00E22DDE">
        <w:rPr>
          <w:lang w:val="lt-LT"/>
        </w:rPr>
        <w:t xml:space="preserve">plano ir šio straipsnio 1 dalyje nurodyto koregavimo plano elementai. </w:t>
      </w:r>
    </w:p>
    <w:bookmarkEnd w:id="18"/>
    <w:p w:rsidR="000B604B" w:rsidRPr="00E22DDE" w:rsidRDefault="000B604B" w:rsidP="004226A9">
      <w:pPr>
        <w:pStyle w:val="Text1"/>
        <w:spacing w:line="360" w:lineRule="auto"/>
        <w:jc w:val="center"/>
        <w:rPr>
          <w:i/>
          <w:iCs/>
          <w:lang w:val="lt-LT"/>
        </w:rPr>
      </w:pPr>
      <w:r w:rsidRPr="00E22DDE">
        <w:rPr>
          <w:i/>
          <w:lang w:val="lt-LT"/>
        </w:rPr>
        <w:t>11d straipsnis</w:t>
      </w:r>
    </w:p>
    <w:p w:rsidR="000B604B" w:rsidRPr="00E22DDE" w:rsidRDefault="000B604B" w:rsidP="004226A9">
      <w:pPr>
        <w:pStyle w:val="Text1"/>
        <w:spacing w:line="360" w:lineRule="auto"/>
        <w:jc w:val="center"/>
        <w:rPr>
          <w:b/>
          <w:iCs/>
          <w:lang w:val="lt-LT"/>
        </w:rPr>
      </w:pPr>
      <w:r w:rsidRPr="00E22DDE">
        <w:rPr>
          <w:b/>
          <w:bCs/>
          <w:lang w:val="lt-LT"/>
        </w:rPr>
        <w:t>▌Alternatyvios priemonės</w:t>
      </w:r>
      <w:r w:rsidRPr="00E22DDE">
        <w:rPr>
          <w:b/>
          <w:lang w:val="lt-LT"/>
        </w:rPr>
        <w:t xml:space="preserve"> </w:t>
      </w:r>
    </w:p>
    <w:p w:rsidR="000B604B" w:rsidRPr="00E22DDE" w:rsidRDefault="000B604B" w:rsidP="004226A9">
      <w:pPr>
        <w:pStyle w:val="Text1"/>
        <w:spacing w:line="360" w:lineRule="auto"/>
        <w:rPr>
          <w:lang w:val="lt-LT"/>
        </w:rPr>
      </w:pPr>
      <w:r w:rsidRPr="00E22DDE">
        <w:rPr>
          <w:lang w:val="lt-LT"/>
        </w:rPr>
        <w:t xml:space="preserve">1. ▌Valstybės narės </w:t>
      </w:r>
      <w:r w:rsidRPr="00E22DDE">
        <w:rPr>
          <w:b/>
          <w:bCs/>
          <w:i/>
          <w:iCs/>
          <w:lang w:val="lt-LT"/>
        </w:rPr>
        <w:t>sudaro sąlygas</w:t>
      </w:r>
      <w:r w:rsidRPr="00E22DDE">
        <w:rPr>
          <w:lang w:val="lt-LT"/>
        </w:rPr>
        <w:t xml:space="preserve"> naudoti IGS lėšas 11 straipsnio 5 dalyje nurodytoms alternatyvioms priemonėms. </w:t>
      </w:r>
      <w:r w:rsidRPr="00E22DDE">
        <w:rPr>
          <w:b/>
          <w:bCs/>
          <w:i/>
          <w:iCs/>
          <w:lang w:val="lt-LT"/>
        </w:rPr>
        <w:t>Valstybės narės</w:t>
      </w:r>
      <w:r w:rsidRPr="00E22DDE">
        <w:rPr>
          <w:lang w:val="lt-LT"/>
        </w:rPr>
        <w:t xml:space="preserve"> užtikrina, kad IGS finansuojant tokias priemones kredito įstaigos parduotų arba tartųsi parduoti turtą, teises ir įsipareigojimus, kuriuos tos kredito įstaigos ketina perduoti. Nedarant poveikio Sąjungos valstybės pagalbos sistemai, toks pardavimas turi atitikti visus šiuos reikalavimus: </w:t>
      </w:r>
    </w:p>
    <w:p w:rsidR="000B604B" w:rsidRPr="00E22DDE" w:rsidRDefault="000B604B" w:rsidP="004226A9">
      <w:pPr>
        <w:pStyle w:val="Point1"/>
        <w:spacing w:line="360" w:lineRule="auto"/>
        <w:rPr>
          <w:lang w:val="lt-LT"/>
        </w:rPr>
      </w:pPr>
      <w:r w:rsidRPr="00E22DDE">
        <w:rPr>
          <w:lang w:val="lt-LT"/>
        </w:rPr>
        <w:t>a)</w:t>
      </w:r>
      <w:r w:rsidRPr="00E22DDE">
        <w:rPr>
          <w:lang w:val="lt-LT"/>
        </w:rPr>
        <w:tab/>
        <w:t>pardavimas yra atviras ir skaidrus ir jį vykdant nėra pateikiama klaidinančios informacijos apie perduotiną turtą, teises ir įsipareigojimus;</w:t>
      </w:r>
    </w:p>
    <w:p w:rsidR="000B604B" w:rsidRPr="00E22DDE" w:rsidRDefault="000B604B" w:rsidP="004226A9">
      <w:pPr>
        <w:pStyle w:val="Point1"/>
        <w:spacing w:line="360" w:lineRule="auto"/>
        <w:rPr>
          <w:lang w:val="lt-LT"/>
        </w:rPr>
      </w:pPr>
      <w:r w:rsidRPr="00E22DDE">
        <w:rPr>
          <w:lang w:val="lt-LT"/>
        </w:rPr>
        <w:t>b)</w:t>
      </w:r>
      <w:r w:rsidRPr="00E22DDE">
        <w:rPr>
          <w:lang w:val="lt-LT"/>
        </w:rPr>
        <w:tab/>
        <w:t xml:space="preserve">vykdant pardavimą galimiems pirkėjams nei teikiama pirmenybė, nei jie </w:t>
      </w:r>
      <w:r w:rsidRPr="00E22DDE">
        <w:rPr>
          <w:b/>
          <w:bCs/>
          <w:i/>
          <w:iCs/>
          <w:lang w:val="lt-LT"/>
        </w:rPr>
        <w:t>diskriminuojami</w:t>
      </w:r>
      <w:r w:rsidRPr="00E22DDE">
        <w:rPr>
          <w:lang w:val="lt-LT"/>
        </w:rPr>
        <w:t>, o potencialiam pirkėjui nesuteikiama jokio pranašumo;</w:t>
      </w:r>
    </w:p>
    <w:p w:rsidR="000B604B" w:rsidRPr="00E22DDE" w:rsidRDefault="000B604B" w:rsidP="004226A9">
      <w:pPr>
        <w:pStyle w:val="Point1"/>
        <w:spacing w:line="360" w:lineRule="auto"/>
        <w:rPr>
          <w:lang w:val="lt-LT"/>
        </w:rPr>
      </w:pPr>
      <w:r w:rsidRPr="00E22DDE">
        <w:rPr>
          <w:lang w:val="lt-LT"/>
        </w:rPr>
        <w:t>c)</w:t>
      </w:r>
      <w:r w:rsidRPr="00E22DDE">
        <w:rPr>
          <w:lang w:val="lt-LT"/>
        </w:rPr>
        <w:tab/>
        <w:t>vykdant pardavimą nekyla interesų konfliktas;</w:t>
      </w:r>
    </w:p>
    <w:p w:rsidR="000B604B" w:rsidRPr="00E22DDE" w:rsidRDefault="000B604B" w:rsidP="004226A9">
      <w:pPr>
        <w:pStyle w:val="Point1"/>
        <w:spacing w:line="360" w:lineRule="auto"/>
        <w:rPr>
          <w:lang w:val="lt-LT"/>
        </w:rPr>
      </w:pPr>
      <w:r w:rsidRPr="00E22DDE">
        <w:rPr>
          <w:lang w:val="lt-LT"/>
        </w:rPr>
        <w:t>d)</w:t>
      </w:r>
      <w:r w:rsidRPr="00E22DDE">
        <w:rPr>
          <w:lang w:val="lt-LT"/>
        </w:rPr>
        <w:tab/>
        <w:t xml:space="preserve">vykdant pardavimą atsižvelgiama į poreikį greitai įgyvendinti sprendimą, atsižvelgiant į 3 straipsnio 2 dalies antroje pastraipoje nustatytą sprendimo, nurodyto 2 straipsnio 1 dalies 8 punkto a papunktyje, priėmimo terminą; </w:t>
      </w:r>
    </w:p>
    <w:p w:rsidR="000B604B" w:rsidRPr="00E22DDE" w:rsidRDefault="000B604B" w:rsidP="004226A9">
      <w:pPr>
        <w:pStyle w:val="Point1"/>
        <w:spacing w:line="360" w:lineRule="auto"/>
        <w:rPr>
          <w:lang w:val="lt-LT"/>
        </w:rPr>
      </w:pPr>
      <w:r w:rsidRPr="00E22DDE">
        <w:rPr>
          <w:lang w:val="lt-LT"/>
        </w:rPr>
        <w:t>e)</w:t>
      </w:r>
      <w:r w:rsidRPr="00E22DDE">
        <w:rPr>
          <w:lang w:val="lt-LT"/>
        </w:rPr>
        <w:tab/>
        <w:t>vykdant pardavimą siekiama kuo labiau padidinti atitinkamo turto, teisių ir įsipareigojimų pardavimo kainą.</w:t>
      </w:r>
    </w:p>
    <w:p w:rsidR="000B604B" w:rsidRPr="00E22DDE" w:rsidRDefault="000B604B" w:rsidP="004226A9">
      <w:pPr>
        <w:pStyle w:val="Text1"/>
        <w:spacing w:line="360" w:lineRule="auto"/>
        <w:rPr>
          <w:b/>
          <w:i/>
          <w:lang w:val="lt-LT"/>
        </w:rPr>
      </w:pPr>
      <w:r w:rsidRPr="00E22DDE">
        <w:rPr>
          <w:b/>
          <w:i/>
          <w:lang w:val="lt-LT"/>
        </w:rPr>
        <w:t>1a. Valstybės narės užtikrina, kad tais atvejais, kai kredito įstaigos atžvilgiu IGS taikoma pagal 11 straipsnio 5 dalį ir jei tokiais veiksmais užtikrinama, kad fiziniai asmenys ir labai mažos, mažosios ir vidutinės įmonės ir toliau turėtų galimybę naudotis savo indėliais, siekiant, kad jie nepatirtų nuostolių, IGS, su kuria susijusi ta kredito įstaiga, mokėtų šias sumas:</w:t>
      </w:r>
    </w:p>
    <w:p w:rsidR="000B604B" w:rsidRPr="00E22DDE" w:rsidRDefault="000B604B" w:rsidP="004226A9">
      <w:pPr>
        <w:pStyle w:val="Text1"/>
        <w:spacing w:line="360" w:lineRule="auto"/>
        <w:ind w:left="1418" w:hanging="568"/>
        <w:rPr>
          <w:b/>
          <w:i/>
          <w:lang w:val="lt-LT"/>
        </w:rPr>
      </w:pPr>
      <w:r w:rsidRPr="00E22DDE">
        <w:rPr>
          <w:b/>
          <w:i/>
          <w:lang w:val="lt-LT"/>
        </w:rPr>
        <w:t>i)</w:t>
      </w:r>
      <w:r w:rsidRPr="00E22DDE">
        <w:rPr>
          <w:b/>
          <w:i/>
          <w:lang w:val="lt-LT"/>
        </w:rPr>
        <w:tab/>
        <w:t>sumą, reikalingą skirtumui tarp apdraustųjų indėlių ir tokio paties ar aukštesnio prioriteto įsipareigojimų vertės ir visos turto, kuris turi būti perduotas gavėjui, vertės padengti; ir</w:t>
      </w:r>
    </w:p>
    <w:p w:rsidR="000B604B" w:rsidRPr="00E22DDE" w:rsidRDefault="000B604B" w:rsidP="004226A9">
      <w:pPr>
        <w:pStyle w:val="Point1"/>
        <w:spacing w:line="360" w:lineRule="auto"/>
        <w:ind w:left="1418"/>
        <w:rPr>
          <w:b/>
          <w:i/>
          <w:lang w:val="lt-LT"/>
        </w:rPr>
      </w:pPr>
      <w:r w:rsidRPr="00E22DDE">
        <w:rPr>
          <w:b/>
          <w:i/>
          <w:lang w:val="lt-LT"/>
        </w:rPr>
        <w:lastRenderedPageBreak/>
        <w:t>ii)</w:t>
      </w:r>
      <w:r w:rsidRPr="00E22DDE">
        <w:rPr>
          <w:b/>
          <w:i/>
          <w:lang w:val="lt-LT"/>
        </w:rPr>
        <w:tab/>
        <w:t>kai aktualu, sumą, būtiną siekiant užtikrinti gavėjo kapitalo neutralumą po perdavimo.</w:t>
      </w:r>
    </w:p>
    <w:p w:rsidR="000B604B" w:rsidRPr="00E22DDE" w:rsidRDefault="000B604B" w:rsidP="004226A9">
      <w:pPr>
        <w:pStyle w:val="Text1"/>
        <w:spacing w:line="360" w:lineRule="auto"/>
        <w:jc w:val="center"/>
        <w:rPr>
          <w:i/>
          <w:iCs/>
          <w:lang w:val="lt-LT"/>
        </w:rPr>
      </w:pPr>
      <w:r w:rsidRPr="00E22DDE">
        <w:rPr>
          <w:i/>
          <w:lang w:val="lt-LT"/>
        </w:rPr>
        <w:t>11e straipsnis</w:t>
      </w:r>
    </w:p>
    <w:p w:rsidR="000B604B" w:rsidRPr="00E22DDE" w:rsidRDefault="000B604B" w:rsidP="004226A9">
      <w:pPr>
        <w:pStyle w:val="Text1"/>
        <w:spacing w:line="360" w:lineRule="auto"/>
        <w:jc w:val="center"/>
        <w:rPr>
          <w:b/>
          <w:iCs/>
          <w:lang w:val="lt-LT"/>
        </w:rPr>
      </w:pPr>
      <w:r w:rsidRPr="00E22DDE">
        <w:rPr>
          <w:b/>
          <w:lang w:val="lt-LT"/>
        </w:rPr>
        <w:t>Mažiausių išlaidų vertinimas</w:t>
      </w:r>
    </w:p>
    <w:p w:rsidR="000B604B" w:rsidRPr="00E22DDE" w:rsidRDefault="000B604B" w:rsidP="004226A9">
      <w:pPr>
        <w:pStyle w:val="Text1"/>
        <w:spacing w:line="360" w:lineRule="auto"/>
        <w:rPr>
          <w:lang w:val="lt-LT"/>
        </w:rPr>
      </w:pPr>
      <w:r w:rsidRPr="00E22DDE">
        <w:rPr>
          <w:lang w:val="lt-LT"/>
        </w:rPr>
        <w:t>1. Svarstydamos IGS lėšų panaudojimą 11 straipsnio 2, 3 arba 5 dalyje nurodytoms priemonėms, valstybės narės užtikrina, kad IGS palygintų:</w:t>
      </w:r>
    </w:p>
    <w:p w:rsidR="000B604B" w:rsidRPr="00E22DDE" w:rsidRDefault="000B604B" w:rsidP="004226A9">
      <w:pPr>
        <w:pStyle w:val="Point1"/>
        <w:spacing w:line="360" w:lineRule="auto"/>
        <w:rPr>
          <w:lang w:val="lt-LT"/>
        </w:rPr>
      </w:pPr>
      <w:r w:rsidRPr="00E22DDE">
        <w:rPr>
          <w:lang w:val="lt-LT"/>
        </w:rPr>
        <w:t>a)</w:t>
      </w:r>
      <w:r w:rsidRPr="00E22DDE">
        <w:rPr>
          <w:lang w:val="lt-LT"/>
        </w:rPr>
        <w:tab/>
        <w:t>numatomas IGS išlaidas 11 straipsnio 2, 3 arba 5 dalyje nurodytoms priemonėms finansuoti;</w:t>
      </w:r>
    </w:p>
    <w:p w:rsidR="000B604B" w:rsidRPr="00E22DDE" w:rsidRDefault="000B604B" w:rsidP="004226A9">
      <w:pPr>
        <w:pStyle w:val="Point1"/>
        <w:spacing w:line="360" w:lineRule="auto"/>
        <w:rPr>
          <w:lang w:val="lt-LT"/>
        </w:rPr>
      </w:pPr>
      <w:r w:rsidRPr="00E22DDE">
        <w:rPr>
          <w:lang w:val="lt-LT"/>
        </w:rPr>
        <w:t>b)</w:t>
      </w:r>
      <w:r w:rsidRPr="00E22DDE">
        <w:rPr>
          <w:lang w:val="lt-LT"/>
        </w:rPr>
        <w:tab/>
        <w:t>numatomas lėšų grąžinimo indėlininkams išlaidas pagal 8 straipsnio 1 dalį.</w:t>
      </w:r>
    </w:p>
    <w:p w:rsidR="000B604B" w:rsidRPr="00E22DDE" w:rsidRDefault="000B604B" w:rsidP="004226A9">
      <w:pPr>
        <w:pStyle w:val="Text1"/>
        <w:spacing w:line="360" w:lineRule="auto"/>
        <w:rPr>
          <w:lang w:val="lt-LT"/>
        </w:rPr>
      </w:pPr>
      <w:r w:rsidRPr="00E22DDE">
        <w:rPr>
          <w:lang w:val="lt-LT"/>
        </w:rPr>
        <w:t xml:space="preserve">2. 1 dalyje nurodytam palyginimui taikomos šios sąlygos: </w:t>
      </w:r>
    </w:p>
    <w:p w:rsidR="000B604B" w:rsidRPr="00E22DDE" w:rsidRDefault="000B604B" w:rsidP="004226A9">
      <w:pPr>
        <w:pStyle w:val="Point1"/>
        <w:spacing w:line="360" w:lineRule="auto"/>
        <w:rPr>
          <w:lang w:val="lt-LT"/>
        </w:rPr>
      </w:pPr>
      <w:r w:rsidRPr="00E22DDE">
        <w:rPr>
          <w:lang w:val="lt-LT"/>
        </w:rPr>
        <w:t>a)</w:t>
      </w:r>
      <w:r w:rsidRPr="00E22DDE">
        <w:rPr>
          <w:lang w:val="lt-LT"/>
        </w:rPr>
        <w:tab/>
        <w:t>apskaičiuodama 1 dalies a punkte nurodytas išlaidas, IGS atsižvelgia į tikėtiną pelną, veiklos išlaidas ir galimus nuostolius, susijusius su priemone;</w:t>
      </w:r>
    </w:p>
    <w:p w:rsidR="000B604B" w:rsidRPr="00E22DDE" w:rsidRDefault="000B604B" w:rsidP="004226A9">
      <w:pPr>
        <w:pStyle w:val="Point1"/>
        <w:spacing w:line="360" w:lineRule="auto"/>
        <w:rPr>
          <w:lang w:val="lt-LT"/>
        </w:rPr>
      </w:pPr>
      <w:r w:rsidRPr="00E22DDE">
        <w:rPr>
          <w:lang w:val="lt-LT"/>
        </w:rPr>
        <w:t>b)</w:t>
      </w:r>
      <w:r w:rsidRPr="00E22DDE">
        <w:rPr>
          <w:lang w:val="lt-LT"/>
        </w:rPr>
        <w:tab/>
        <w:t xml:space="preserve">11 straipsnio 2 ir 5 dalyse nurodytų priemonių atveju IGS savo indėlių grąžinimo išlaidų vertinimą, nurodytą 1 dalies b punkte, grindžia Direktyvos 2014/59/ES 36 straipsnio 1 dalyje nurodytu kredito įstaigos turto ir įsipareigojimų vertinimu ir tos direktyvos 36 straipsnio 8 dalyje nurodytu vertinimu; </w:t>
      </w:r>
    </w:p>
    <w:p w:rsidR="000B604B" w:rsidRPr="00E22DDE" w:rsidRDefault="000B604B" w:rsidP="004226A9">
      <w:pPr>
        <w:pStyle w:val="Point1"/>
        <w:spacing w:line="360" w:lineRule="auto"/>
        <w:rPr>
          <w:lang w:val="lt-LT"/>
        </w:rPr>
      </w:pPr>
      <w:r w:rsidRPr="00E22DDE">
        <w:rPr>
          <w:lang w:val="lt-LT"/>
        </w:rPr>
        <w:t>c)</w:t>
      </w:r>
      <w:r w:rsidRPr="00E22DDE">
        <w:rPr>
          <w:lang w:val="lt-LT"/>
        </w:rPr>
        <w:tab/>
      </w:r>
      <w:bookmarkStart w:id="19" w:name="_Hlk130299997"/>
      <w:r w:rsidRPr="00E22DDE">
        <w:rPr>
          <w:lang w:val="lt-LT"/>
        </w:rPr>
        <w:t xml:space="preserve">11 straipsnio 2, 3 ir 5 dalyse nurodytų priemonių atveju, vertindama indėlių grąžinimo išlaidas, nurodytas 1 dalies b punkte, IGS atsižvelgia į tikėtiną lėšų susigrąžinimo rodiklį, ▌ galimas </w:t>
      </w:r>
      <w:r w:rsidRPr="00E22DDE">
        <w:rPr>
          <w:b/>
          <w:bCs/>
          <w:i/>
          <w:iCs/>
          <w:lang w:val="lt-LT"/>
        </w:rPr>
        <w:t>papildomas</w:t>
      </w:r>
      <w:r w:rsidRPr="00E22DDE">
        <w:rPr>
          <w:lang w:val="lt-LT"/>
        </w:rPr>
        <w:t xml:space="preserve"> IGS finansavimo išlaidas </w:t>
      </w:r>
      <w:r w:rsidRPr="00E22DDE">
        <w:rPr>
          <w:rStyle w:val="normaltextrun"/>
          <w:b/>
          <w:bCs/>
          <w:i/>
          <w:iCs/>
          <w:lang w:val="lt-LT"/>
        </w:rPr>
        <w:t>ir</w:t>
      </w:r>
      <w:r w:rsidRPr="00E22DDE">
        <w:rPr>
          <w:rStyle w:val="normaltextrun"/>
          <w:lang w:val="lt-LT"/>
        </w:rPr>
        <w:t xml:space="preserve"> </w:t>
      </w:r>
      <w:r w:rsidRPr="00E22DDE">
        <w:rPr>
          <w:b/>
          <w:bCs/>
          <w:i/>
          <w:iCs/>
          <w:lang w:val="lt-LT"/>
        </w:rPr>
        <w:t>galimas IGS išlaidas, patiriamas dėl galimo ekonominio ir finansinio nestabilumo, įskaitant poreikį naudoti papildomas lėšas pagal IGS įgaliojimus siekiant apsaugoti indėlininkus ir finansinį stabilumą, taip pat užkirsti kelią plintančiam neigiamam poveikiui</w:t>
      </w:r>
      <w:r w:rsidRPr="00E22DDE">
        <w:rPr>
          <w:lang w:val="lt-LT"/>
        </w:rPr>
        <w:t>;</w:t>
      </w:r>
    </w:p>
    <w:bookmarkEnd w:id="19"/>
    <w:p w:rsidR="000B604B" w:rsidRPr="00E22DDE" w:rsidRDefault="000B604B" w:rsidP="004226A9">
      <w:pPr>
        <w:pStyle w:val="Point1"/>
        <w:spacing w:line="360" w:lineRule="auto"/>
        <w:rPr>
          <w:lang w:val="lt-LT"/>
        </w:rPr>
      </w:pPr>
      <w:r w:rsidRPr="00E22DDE">
        <w:rPr>
          <w:lang w:val="lt-LT"/>
        </w:rPr>
        <w:t>d)</w:t>
      </w:r>
      <w:r w:rsidRPr="00E22DDE">
        <w:rPr>
          <w:lang w:val="lt-LT"/>
        </w:rPr>
        <w:tab/>
        <w:t>11 straipsnio 3 dalyje nurodytų priemonių atveju, vertindama indėlių grąžinimo išlaidas, IGS numatomą lėšų susigrąžinimo rodiklį, apskaičiuotą pagal 5 dalies b punkte nurodytą metodiką, padaugina iš 85 %.</w:t>
      </w:r>
    </w:p>
    <w:p w:rsidR="000B604B" w:rsidRPr="00E22DDE" w:rsidRDefault="000B604B" w:rsidP="004226A9">
      <w:pPr>
        <w:pStyle w:val="Text1"/>
        <w:spacing w:line="360" w:lineRule="auto"/>
        <w:rPr>
          <w:lang w:val="lt-LT"/>
        </w:rPr>
      </w:pPr>
      <w:r w:rsidRPr="00E22DDE">
        <w:rPr>
          <w:lang w:val="lt-LT"/>
        </w:rPr>
        <w:t>3. Valstybės narės užtikrina, kad suma, naudojama kredito įstaigų pertvarkymui finansuoti, kaip nurodyta 11 straipsnio 2 dalyje, 11 straipsnio 3 dalyje nurodytoms prevencinėms priemonėms arba 11 straipsnio 5 dalyje nurodytoms alternatyvioms priemonėms finansuoti, neviršytų kredito įstaigos apdraustųjų indėlių sumos.</w:t>
      </w:r>
    </w:p>
    <w:p w:rsidR="000B604B" w:rsidRPr="00E22DDE" w:rsidRDefault="000B604B" w:rsidP="004226A9">
      <w:pPr>
        <w:pStyle w:val="Text1"/>
        <w:spacing w:line="360" w:lineRule="auto"/>
        <w:rPr>
          <w:lang w:val="lt-LT"/>
        </w:rPr>
      </w:pPr>
      <w:r w:rsidRPr="00E22DDE">
        <w:rPr>
          <w:lang w:val="lt-LT"/>
        </w:rPr>
        <w:lastRenderedPageBreak/>
        <w:t>4. Valstybės narės užtikrina, kad kompetentingos valdžios ir pertvarkymo institucijos pateiktų IGS visą informaciją, būtiną 1 dalyje nurodytam palyginimui atlikti. Valstybės narės užtikrina, kad pertvarkymo institucija IGS pateiktų apskaičiuotas IGS įnašo, skirto kredito įstaigos pertvarkymui, kaip nurodyta 11 straipsnio 2 dalyje, išlaidas.</w:t>
      </w:r>
    </w:p>
    <w:p w:rsidR="000B604B" w:rsidRPr="00E22DDE" w:rsidRDefault="000B604B" w:rsidP="004226A9">
      <w:pPr>
        <w:pStyle w:val="Text1"/>
        <w:spacing w:line="360" w:lineRule="auto"/>
        <w:rPr>
          <w:lang w:val="lt-LT"/>
        </w:rPr>
      </w:pPr>
      <w:r w:rsidRPr="00E22DDE">
        <w:rPr>
          <w:b/>
          <w:i/>
          <w:lang w:val="lt-LT"/>
        </w:rPr>
        <w:t>4a.</w:t>
      </w:r>
      <w:r w:rsidRPr="00E22DDE">
        <w:rPr>
          <w:b/>
          <w:i/>
          <w:lang w:val="lt-LT"/>
        </w:rPr>
        <w:tab/>
        <w:t>Įgyvendinus alternatyvias priemones, valstybės narės užtikrina, kad IGS kuo skubiau kompetentingai valdžios institucijai, pertvarkymo institucijai ir paskirtai valdžios institucijai pateiktų pagal šį straipsnį atlikto skaičiavimo pagrindinių elementų santrauką. Ši santrauka visų pirma apima grynąją lėšų susigrąžinimo normą, nustatytą apskaičiavus numatomas IGS išlaidas indėlių grąžinimui, ir išsamų susijusių pagrindinių prielaidų pagrindimą.</w:t>
      </w:r>
    </w:p>
    <w:p w:rsidR="000B604B" w:rsidRPr="00E22DDE" w:rsidRDefault="000B604B" w:rsidP="004226A9">
      <w:pPr>
        <w:pStyle w:val="Text1"/>
        <w:spacing w:line="360" w:lineRule="auto"/>
        <w:rPr>
          <w:lang w:val="lt-LT"/>
        </w:rPr>
      </w:pPr>
      <w:r w:rsidRPr="00E22DDE">
        <w:rPr>
          <w:lang w:val="lt-LT"/>
        </w:rPr>
        <w:t xml:space="preserve">5. </w:t>
      </w:r>
      <w:r w:rsidRPr="00E22DDE">
        <w:rPr>
          <w:b/>
          <w:bCs/>
          <w:i/>
          <w:iCs/>
          <w:lang w:val="lt-LT"/>
        </w:rPr>
        <w:t>Atsižvelgdama į techninius reguliavimo standartus, priimtus pagal Direktyvos 2014/59/ES 36 straipsnio 16 dalį,</w:t>
      </w:r>
      <w:r w:rsidRPr="00E22DDE">
        <w:rPr>
          <w:lang w:val="lt-LT"/>
        </w:rPr>
        <w:t xml:space="preserve"> EBI parengia techninių reguliavimo standartų projektus, kuriuose aiškiai apibrėžia: </w:t>
      </w:r>
    </w:p>
    <w:p w:rsidR="000B604B" w:rsidRPr="00E22DDE" w:rsidRDefault="000B604B" w:rsidP="004226A9">
      <w:pPr>
        <w:pStyle w:val="Point1"/>
        <w:spacing w:line="360" w:lineRule="auto"/>
        <w:rPr>
          <w:lang w:val="lt-LT"/>
        </w:rPr>
      </w:pPr>
      <w:r w:rsidRPr="00E22DDE">
        <w:rPr>
          <w:lang w:val="lt-LT"/>
        </w:rPr>
        <w:t>a)</w:t>
      </w:r>
      <w:r w:rsidRPr="00E22DDE">
        <w:rPr>
          <w:lang w:val="lt-LT"/>
        </w:rPr>
        <w:tab/>
        <w:t>1 dalies a punkte nurodytų numatomų išlaidų apskaičiavimo metodiką, kurioje atsižvelgiama į konkrečius atitinkamos priemonės ypatumus;</w:t>
      </w:r>
    </w:p>
    <w:p w:rsidR="000B604B" w:rsidRPr="00E22DDE" w:rsidRDefault="000B604B" w:rsidP="004226A9">
      <w:pPr>
        <w:pStyle w:val="Point1"/>
        <w:spacing w:line="360" w:lineRule="auto"/>
        <w:ind w:left="1418" w:hanging="568"/>
        <w:rPr>
          <w:lang w:val="lt-LT"/>
        </w:rPr>
      </w:pPr>
      <w:r w:rsidRPr="00E22DDE">
        <w:rPr>
          <w:lang w:val="lt-LT"/>
        </w:rPr>
        <w:t>b)</w:t>
      </w:r>
      <w:r w:rsidRPr="00E22DDE">
        <w:rPr>
          <w:lang w:val="lt-LT"/>
        </w:rPr>
        <w:tab/>
        <w:t xml:space="preserve">1 dalies b punkte nurodytų numatomų grąžinimo indėlininkams išlaidų apskaičiavimo metodiką, įskaitant 2 dalies c punkte nurodytą </w:t>
      </w:r>
      <w:r w:rsidRPr="00E22DDE">
        <w:rPr>
          <w:b/>
          <w:bCs/>
          <w:i/>
          <w:iCs/>
          <w:lang w:val="lt-LT"/>
        </w:rPr>
        <w:t>tikėtiną</w:t>
      </w:r>
      <w:r w:rsidRPr="00E22DDE">
        <w:rPr>
          <w:lang w:val="lt-LT"/>
        </w:rPr>
        <w:t xml:space="preserve"> lėšų susigrąžinimo rodiklį</w:t>
      </w:r>
      <w:r w:rsidRPr="00E22DDE">
        <w:rPr>
          <w:rStyle w:val="normaltextrun"/>
          <w:lang w:val="lt-LT"/>
        </w:rPr>
        <w:t>,</w:t>
      </w:r>
      <w:r w:rsidRPr="00E22DDE">
        <w:rPr>
          <w:rStyle w:val="normaltextrun"/>
          <w:b/>
          <w:bCs/>
          <w:i/>
          <w:iCs/>
          <w:lang w:val="lt-LT"/>
        </w:rPr>
        <w:t xml:space="preserve"> galimas papildomas IGS finansavimo išlaidas ir</w:t>
      </w:r>
      <w:r w:rsidRPr="00E22DDE">
        <w:rPr>
          <w:rStyle w:val="normaltextrun"/>
          <w:lang w:val="lt-LT"/>
        </w:rPr>
        <w:t xml:space="preserve"> </w:t>
      </w:r>
      <w:r w:rsidRPr="00E22DDE">
        <w:rPr>
          <w:b/>
          <w:bCs/>
          <w:i/>
          <w:iCs/>
          <w:lang w:val="lt-LT"/>
        </w:rPr>
        <w:t>galimas IGS išlaidas, patiriamas dėl galimo ekonominio ir finansinio nestabilumo, įskaitant poreikį naudoti papildomas lėšas pagal IGS įgaliojimus siekiant apsaugoti indėlininkus ir finansinį stabilumą, taip pat užkirsti kelią plintančiam neigiamam poveikiui;</w:t>
      </w:r>
      <w:r w:rsidRPr="00E22DDE">
        <w:rPr>
          <w:lang w:val="lt-LT"/>
        </w:rPr>
        <w:t xml:space="preserve"> </w:t>
      </w:r>
    </w:p>
    <w:p w:rsidR="000B604B" w:rsidRPr="00E22DDE" w:rsidRDefault="000B604B" w:rsidP="004226A9">
      <w:pPr>
        <w:pStyle w:val="Point1"/>
        <w:spacing w:line="360" w:lineRule="auto"/>
        <w:rPr>
          <w:lang w:val="lt-LT"/>
        </w:rPr>
      </w:pPr>
      <w:r w:rsidRPr="00E22DDE">
        <w:rPr>
          <w:lang w:val="lt-LT"/>
        </w:rPr>
        <w:t>c)</w:t>
      </w:r>
      <w:r w:rsidRPr="00E22DDE">
        <w:rPr>
          <w:lang w:val="lt-LT"/>
        </w:rPr>
        <w:tab/>
        <w:t>būdą, kai aktualu, į a, b ir c punktuose nurodytas metodikas įtraukti pinigų vertės pokytį dėl galimo per tam tikrą laikotarpį sukaupto pelno.</w:t>
      </w:r>
    </w:p>
    <w:p w:rsidR="000B604B" w:rsidRPr="00E22DDE" w:rsidRDefault="000B604B" w:rsidP="004226A9">
      <w:pPr>
        <w:pStyle w:val="paragraph"/>
        <w:spacing w:before="0" w:beforeAutospacing="0" w:after="0" w:afterAutospacing="0" w:line="360" w:lineRule="auto"/>
        <w:ind w:left="850"/>
        <w:jc w:val="both"/>
        <w:textAlignment w:val="baseline"/>
        <w:rPr>
          <w:rStyle w:val="normaltextrun"/>
          <w:rFonts w:eastAsiaTheme="majorEastAsia"/>
          <w:iCs/>
          <w:color w:val="000000" w:themeColor="text1"/>
          <w:szCs w:val="20"/>
          <w:lang w:val="lt-LT" w:eastAsia="en-GB"/>
        </w:rPr>
      </w:pPr>
      <w:r w:rsidRPr="00E22DDE">
        <w:rPr>
          <w:rStyle w:val="normaltextrun"/>
          <w:b/>
          <w:i/>
          <w:color w:val="000000" w:themeColor="text1"/>
          <w:lang w:val="lt-LT"/>
        </w:rPr>
        <w:t>Apskaičiuojant pirmos pastraipos b punkte nurodytas galimas papildomas IGS išlaidas, taikant metodiką atsižvelgiama į:</w:t>
      </w:r>
    </w:p>
    <w:p w:rsidR="000B604B" w:rsidRPr="00E22DDE" w:rsidRDefault="000B604B" w:rsidP="004226A9">
      <w:pPr>
        <w:pStyle w:val="paragraph"/>
        <w:spacing w:before="0" w:beforeAutospacing="0" w:after="0" w:afterAutospacing="0" w:line="360" w:lineRule="auto"/>
        <w:ind w:left="850"/>
        <w:jc w:val="both"/>
        <w:textAlignment w:val="baseline"/>
        <w:rPr>
          <w:rStyle w:val="normaltextrun"/>
          <w:rFonts w:eastAsiaTheme="majorEastAsia"/>
          <w:iCs/>
          <w:color w:val="000000" w:themeColor="text1"/>
          <w:szCs w:val="20"/>
          <w:lang w:val="lt-LT" w:eastAsia="en-GB"/>
        </w:rPr>
      </w:pPr>
    </w:p>
    <w:p w:rsidR="000B604B" w:rsidRPr="00E22DDE" w:rsidRDefault="000B604B" w:rsidP="004226A9">
      <w:pPr>
        <w:pStyle w:val="Point1"/>
        <w:spacing w:line="360" w:lineRule="auto"/>
        <w:rPr>
          <w:rStyle w:val="normaltextrun"/>
          <w:rFonts w:eastAsiaTheme="majorEastAsia"/>
          <w:iCs/>
          <w:color w:val="000000" w:themeColor="text1"/>
          <w:szCs w:val="20"/>
          <w:lang w:val="lt-LT" w:eastAsia="en-GB"/>
        </w:rPr>
      </w:pPr>
      <w:r w:rsidRPr="00E22DDE">
        <w:rPr>
          <w:rStyle w:val="normaltextrun"/>
          <w:b/>
          <w:i/>
          <w:color w:val="000000" w:themeColor="text1"/>
          <w:lang w:val="lt-LT"/>
        </w:rPr>
        <w:t>a)</w:t>
      </w:r>
      <w:r w:rsidRPr="00E22DDE">
        <w:rPr>
          <w:rStyle w:val="normaltextrun"/>
          <w:b/>
          <w:i/>
          <w:color w:val="000000" w:themeColor="text1"/>
          <w:lang w:val="lt-LT"/>
        </w:rPr>
        <w:tab/>
        <w:t>administracines išlaidas, susijusias su grąžinimo procesu;</w:t>
      </w:r>
    </w:p>
    <w:p w:rsidR="000B604B" w:rsidRPr="00E22DDE" w:rsidRDefault="000B604B" w:rsidP="004226A9">
      <w:pPr>
        <w:pStyle w:val="Point1"/>
        <w:spacing w:line="360" w:lineRule="auto"/>
        <w:ind w:left="1418" w:hanging="568"/>
        <w:rPr>
          <w:szCs w:val="24"/>
          <w:lang w:val="lt-LT"/>
        </w:rPr>
      </w:pPr>
      <w:r w:rsidRPr="00E22DDE">
        <w:rPr>
          <w:rStyle w:val="normaltextrun"/>
          <w:b/>
          <w:i/>
          <w:color w:val="000000" w:themeColor="text1"/>
          <w:lang w:val="lt-LT"/>
        </w:rPr>
        <w:t>b)</w:t>
      </w:r>
      <w:r w:rsidRPr="00E22DDE">
        <w:rPr>
          <w:rStyle w:val="normaltextrun"/>
          <w:b/>
          <w:i/>
          <w:color w:val="000000" w:themeColor="text1"/>
          <w:lang w:val="lt-LT"/>
        </w:rPr>
        <w:tab/>
        <w:t xml:space="preserve">administracines išlaidas, patiriamas renkant 10 straipsnio 8 dalyje nurodytus įnašus, jei tokių įnašų prireiktų indėlių grąžinimui finansuoti, ir </w:t>
      </w:r>
      <w:r w:rsidRPr="00E22DDE">
        <w:rPr>
          <w:rStyle w:val="normaltextrun"/>
          <w:b/>
          <w:i/>
          <w:color w:val="000000" w:themeColor="text1"/>
          <w:lang w:val="lt-LT"/>
        </w:rPr>
        <w:lastRenderedPageBreak/>
        <w:t>administracines išlaidas, patiriamas mobilizuojant 10 straipsnio 9 dalyje nurodytas alternatyvaus finansavimo struktūras, jei šios struktūros būtų mobilizuojamos. </w:t>
      </w:r>
    </w:p>
    <w:p w:rsidR="000B604B" w:rsidRPr="00E22DDE" w:rsidRDefault="000B604B" w:rsidP="004226A9">
      <w:pPr>
        <w:pStyle w:val="Text1"/>
        <w:spacing w:line="360" w:lineRule="auto"/>
        <w:rPr>
          <w:lang w:val="lt-LT"/>
        </w:rPr>
      </w:pPr>
      <w:r w:rsidRPr="00E22DDE">
        <w:rPr>
          <w:lang w:val="lt-LT"/>
        </w:rPr>
        <w:t>Apskaičiuojant numatomas lėšų grąžinimo indėlininkams išlaidas, kaip nurodyta 1 dalies b punkte, ▌</w:t>
      </w:r>
      <w:r w:rsidRPr="00E22DDE">
        <w:rPr>
          <w:b/>
          <w:bCs/>
          <w:i/>
          <w:iCs/>
          <w:lang w:val="lt-LT"/>
        </w:rPr>
        <w:t>11 straipsnio 2, 3 arba 5 dalyje nurodytų</w:t>
      </w:r>
      <w:r w:rsidRPr="00E22DDE">
        <w:rPr>
          <w:lang w:val="lt-LT"/>
        </w:rPr>
        <w:t xml:space="preserve"> priemonių atveju, taikant b punkte nurodytą metodiką atsižvelgiama į </w:t>
      </w:r>
      <w:r w:rsidRPr="00E22DDE">
        <w:rPr>
          <w:b/>
          <w:bCs/>
          <w:i/>
          <w:iCs/>
          <w:lang w:val="lt-LT"/>
        </w:rPr>
        <w:t xml:space="preserve">plintančio neigiamo poveikio riziką, ekonominę ir finansinę riziką, bet kokią žalą bankų sistemos reputacijai, įskaitant, kai aktualu, bendro prekės ženklo apsaugą, ir </w:t>
      </w:r>
      <w:r w:rsidRPr="00E22DDE">
        <w:rPr>
          <w:lang w:val="lt-LT"/>
        </w:rPr>
        <w:t>prevencinių priemonių svarbą IGS, įskaitant IUS, nurodytą 1 straipsnio 2 dalies c punkte, teisės aktų nustatytiems ar sutartiniams įgaliojimams.</w:t>
      </w:r>
    </w:p>
    <w:p w:rsidR="000B604B" w:rsidRPr="00E22DDE" w:rsidRDefault="000B604B" w:rsidP="004226A9">
      <w:pPr>
        <w:pStyle w:val="Text1"/>
        <w:spacing w:line="360" w:lineRule="auto"/>
        <w:rPr>
          <w:lang w:val="lt-LT"/>
        </w:rPr>
      </w:pPr>
      <w:r w:rsidRPr="00E22DDE">
        <w:rPr>
          <w:lang w:val="lt-LT"/>
        </w:rPr>
        <w:t>EBI tuos techninių reguliavimo standartų projektus Komisijai pateikia iki [Leidinių biuro prašoma įrašyti datą – 12 mėnesių po šios direktyvos įsigaliojimo dienos].</w:t>
      </w:r>
    </w:p>
    <w:p w:rsidR="000B604B" w:rsidRPr="00E22DDE" w:rsidRDefault="000B604B" w:rsidP="004226A9">
      <w:pPr>
        <w:pStyle w:val="Text1"/>
        <w:spacing w:line="360" w:lineRule="auto"/>
        <w:rPr>
          <w:lang w:val="lt-LT"/>
        </w:rPr>
      </w:pPr>
      <w:r w:rsidRPr="00E22DDE">
        <w:rPr>
          <w:lang w:val="lt-LT"/>
        </w:rPr>
        <w:t>Komisijai deleguojami įgaliojimai papildyti šią direktyvą priimant pirmoje pastraipoje nurodytus techninius reguliavimo standartus pagal Reglamento (ES) Nr. 1093/2010 10–14 straipsnius.“;</w:t>
      </w:r>
    </w:p>
    <w:p w:rsidR="000B604B" w:rsidRPr="00E22DDE" w:rsidRDefault="000B604B" w:rsidP="004226A9">
      <w:pPr>
        <w:pStyle w:val="Point0"/>
        <w:spacing w:line="360" w:lineRule="auto"/>
        <w:rPr>
          <w:lang w:val="lt-LT"/>
        </w:rPr>
      </w:pPr>
      <w:r w:rsidRPr="00E22DDE">
        <w:rPr>
          <w:b/>
          <w:i/>
          <w:lang w:val="lt-LT"/>
        </w:rPr>
        <w:t>13a)</w:t>
      </w:r>
      <w:r w:rsidRPr="00E22DDE">
        <w:rPr>
          <w:b/>
          <w:i/>
          <w:lang w:val="lt-LT"/>
        </w:rPr>
        <w:tab/>
        <w:t>13 straipsnis pakeičiamas taip:</w:t>
      </w:r>
    </w:p>
    <w:p w:rsidR="000B604B" w:rsidRPr="00E22DDE" w:rsidRDefault="000B604B" w:rsidP="004226A9">
      <w:pPr>
        <w:pStyle w:val="Point0"/>
        <w:spacing w:line="360" w:lineRule="auto"/>
        <w:ind w:firstLine="1"/>
        <w:rPr>
          <w:b/>
          <w:i/>
          <w:lang w:val="lt-LT"/>
        </w:rPr>
      </w:pPr>
      <w:r w:rsidRPr="00E22DDE">
        <w:rPr>
          <w:b/>
          <w:i/>
          <w:lang w:val="lt-LT"/>
        </w:rPr>
        <w:t>„1. 10 straipsnyje nurodyti įnašai į IGS grindžiami apdraustųjų indėlių suma ir atitinkamų bet kurios vienos IGS narių patiriamos rizikos laipsniu.</w:t>
      </w:r>
    </w:p>
    <w:p w:rsidR="000B604B" w:rsidRPr="00E22DDE" w:rsidRDefault="000B604B" w:rsidP="004226A9">
      <w:pPr>
        <w:pStyle w:val="Point0"/>
        <w:spacing w:line="360" w:lineRule="auto"/>
        <w:ind w:firstLine="1"/>
        <w:rPr>
          <w:b/>
          <w:i/>
          <w:lang w:val="lt-LT"/>
        </w:rPr>
      </w:pPr>
      <w:r w:rsidRPr="00E22DDE">
        <w:rPr>
          <w:b/>
          <w:i/>
          <w:lang w:val="lt-LT"/>
        </w:rPr>
        <w:t>Valstybės narės gali numatyti mažesnius įnašus mažos rizikos sektoriams priklausančioms kredito įstaigoms, dalyvaujančioms IGS, kurias reglamentuoja nacionalinė teisė.</w:t>
      </w:r>
    </w:p>
    <w:p w:rsidR="000B604B" w:rsidRPr="00E22DDE" w:rsidRDefault="000B604B" w:rsidP="004226A9">
      <w:pPr>
        <w:pStyle w:val="Point0"/>
        <w:spacing w:line="360" w:lineRule="auto"/>
        <w:ind w:firstLine="1"/>
        <w:rPr>
          <w:b/>
          <w:i/>
          <w:lang w:val="lt-LT"/>
        </w:rPr>
      </w:pPr>
      <w:r w:rsidRPr="00E22DDE">
        <w:rPr>
          <w:b/>
          <w:i/>
          <w:lang w:val="lt-LT"/>
        </w:rPr>
        <w:t xml:space="preserve">Valstybės narės gali nuspręsti, kad IUS nariai mokėtų mažesnius įnašus į IGS. </w:t>
      </w:r>
    </w:p>
    <w:p w:rsidR="000B604B" w:rsidRPr="00E22DDE" w:rsidRDefault="000B604B" w:rsidP="004226A9">
      <w:pPr>
        <w:pStyle w:val="Point0"/>
        <w:spacing w:line="360" w:lineRule="auto"/>
        <w:ind w:firstLine="1"/>
        <w:rPr>
          <w:b/>
          <w:i/>
          <w:lang w:val="lt-LT"/>
        </w:rPr>
      </w:pPr>
      <w:r w:rsidRPr="00E22DDE">
        <w:rPr>
          <w:b/>
          <w:i/>
          <w:lang w:val="lt-LT"/>
        </w:rPr>
        <w:t>Valstybės narės gali leisti, kad centrinei įstaigai ir visoms centrinės įstaigos nuolat kontroliuojamoms kredito įstaigoms, kaip nurodyta Reglamento (ES) Nr. 575/2013 10 straipsnio 1 dalyje, būtų bendrai taikomas rizikos koeficientas, konsoliduotai nustatytas tai centrinei įstaigai ir jos kontroliuojamoms įstaigoms.</w:t>
      </w:r>
    </w:p>
    <w:p w:rsidR="000B604B" w:rsidRPr="00E22DDE" w:rsidRDefault="000B604B" w:rsidP="004226A9">
      <w:pPr>
        <w:pStyle w:val="Point0"/>
        <w:spacing w:line="360" w:lineRule="auto"/>
        <w:ind w:firstLine="1"/>
        <w:rPr>
          <w:b/>
          <w:i/>
          <w:lang w:val="lt-LT"/>
        </w:rPr>
      </w:pPr>
      <w:r w:rsidRPr="00E22DDE">
        <w:rPr>
          <w:b/>
          <w:i/>
          <w:lang w:val="lt-LT"/>
        </w:rPr>
        <w:t>Valstybės narės gali nuspręsti, kad kredito įstaigos, neatsižvelgiant į jų apdraustųjų indėlių sumą, mokėtų minimalų įnašą.</w:t>
      </w:r>
    </w:p>
    <w:p w:rsidR="000B604B" w:rsidRPr="00E22DDE" w:rsidRDefault="000B604B" w:rsidP="004226A9">
      <w:pPr>
        <w:pStyle w:val="Point0"/>
        <w:spacing w:line="360" w:lineRule="auto"/>
        <w:ind w:firstLine="1"/>
        <w:rPr>
          <w:b/>
          <w:i/>
          <w:lang w:val="lt-LT"/>
        </w:rPr>
      </w:pPr>
      <w:r w:rsidRPr="00E22DDE">
        <w:rPr>
          <w:b/>
          <w:i/>
          <w:lang w:val="lt-LT"/>
        </w:rPr>
        <w:t>2</w:t>
      </w:r>
      <w:r w:rsidRPr="00E22DDE">
        <w:rPr>
          <w:b/>
          <w:lang w:val="lt-LT"/>
        </w:rPr>
        <w:t>.</w:t>
      </w:r>
      <w:r w:rsidRPr="00E22DDE">
        <w:rPr>
          <w:lang w:val="lt-LT"/>
        </w:rPr>
        <w:t xml:space="preserve"> </w:t>
      </w:r>
      <w:r w:rsidRPr="00E22DDE">
        <w:rPr>
          <w:b/>
          <w:i/>
          <w:lang w:val="lt-LT"/>
        </w:rPr>
        <w:t xml:space="preserve">IGS gali naudoti savus rizika grindžiamus metodus, skirtus rizika pagrįstiems jų narių įnašams nustatyti ir apskaičiuoti. Įnašai apskaičiuojami proporcingai pagal narių riziką, tinkamai įvertinus įvairių verslo modelių rizikos pobūdį. Taikant tuos </w:t>
      </w:r>
      <w:r w:rsidRPr="00E22DDE">
        <w:rPr>
          <w:b/>
          <w:i/>
          <w:lang w:val="lt-LT"/>
        </w:rPr>
        <w:lastRenderedPageBreak/>
        <w:t>metodus taip pat galima atsižvelgti į balanse nurodytą turtą ir rizikos rodiklius, pavyzdžiui, kapitalo pakankamumą, turto kokybę ir likvidumą.</w:t>
      </w:r>
    </w:p>
    <w:p w:rsidR="000B604B" w:rsidRPr="00E22DDE" w:rsidRDefault="000B604B" w:rsidP="004226A9">
      <w:pPr>
        <w:pStyle w:val="Point0"/>
        <w:spacing w:line="360" w:lineRule="auto"/>
        <w:ind w:firstLine="1"/>
        <w:rPr>
          <w:b/>
          <w:i/>
          <w:lang w:val="lt-LT"/>
        </w:rPr>
      </w:pPr>
      <w:r w:rsidRPr="00E22DDE">
        <w:rPr>
          <w:b/>
          <w:i/>
          <w:lang w:val="lt-LT"/>
        </w:rPr>
        <w:t>Kiekvieną metodą patvirtina kompetentinga valdžios institucija, bendradarbiaudama su paskirta valdžios institucija. Apie patvirtintus metodus informuojama EBI.</w:t>
      </w:r>
    </w:p>
    <w:p w:rsidR="000B604B" w:rsidRPr="00E22DDE" w:rsidRDefault="000B604B" w:rsidP="004226A9">
      <w:pPr>
        <w:pStyle w:val="Point0"/>
        <w:spacing w:line="360" w:lineRule="auto"/>
        <w:ind w:firstLine="1"/>
        <w:rPr>
          <w:b/>
          <w:i/>
          <w:lang w:val="lt-LT"/>
        </w:rPr>
      </w:pPr>
      <w:r w:rsidRPr="00E22DDE">
        <w:rPr>
          <w:b/>
          <w:i/>
          <w:lang w:val="lt-LT"/>
        </w:rPr>
        <w:t>3. Siekiant užtikrinti nuoseklų šios direktyvos taikymą, EBI parengia techninių reguliavimo standartų projektus, kuriuose nustato įnašų į IGS apskaičiavimo metodus pagal šio straipsnio 1 ir 2 dalis.</w:t>
      </w:r>
    </w:p>
    <w:p w:rsidR="000B604B" w:rsidRPr="00E22DDE" w:rsidRDefault="000B604B" w:rsidP="004226A9">
      <w:pPr>
        <w:pStyle w:val="Point0"/>
        <w:spacing w:line="360" w:lineRule="auto"/>
        <w:ind w:firstLine="1"/>
        <w:rPr>
          <w:b/>
          <w:i/>
          <w:lang w:val="lt-LT"/>
        </w:rPr>
      </w:pPr>
      <w:r w:rsidRPr="00E22DDE">
        <w:rPr>
          <w:b/>
          <w:i/>
          <w:lang w:val="lt-LT"/>
        </w:rPr>
        <w:t>EBI tuos techninių reguliavimo standartų projektus pateikia Komisijai ne vėliau kaip [12 mėnesių nuo šios iš dalies keičiančios direktyvos įsigaliojimo dienos].</w:t>
      </w:r>
    </w:p>
    <w:p w:rsidR="000B604B" w:rsidRPr="00E22DDE" w:rsidRDefault="000B604B" w:rsidP="004226A9">
      <w:pPr>
        <w:pStyle w:val="Point0"/>
        <w:spacing w:line="360" w:lineRule="auto"/>
        <w:ind w:firstLine="1"/>
        <w:rPr>
          <w:b/>
          <w:i/>
          <w:lang w:val="lt-LT"/>
        </w:rPr>
      </w:pPr>
      <w:r w:rsidRPr="00E22DDE">
        <w:rPr>
          <w:b/>
          <w:bCs/>
          <w:i/>
          <w:lang w:val="lt-LT"/>
        </w:rPr>
        <w:t>Komisijai deleguojami įgaliojimai papildyti šią direktyvą priimant šios dalies pirmoje pastraipoje nurodytus techninius reguliavimo standartus pagal Reglamento (ES) Nr. 1093/2010 10–14 straipsnius.“;</w:t>
      </w:r>
    </w:p>
    <w:p w:rsidR="000B604B" w:rsidRPr="00E22DDE" w:rsidRDefault="000B604B" w:rsidP="004226A9">
      <w:pPr>
        <w:pStyle w:val="Point0"/>
        <w:spacing w:line="360" w:lineRule="auto"/>
        <w:rPr>
          <w:lang w:val="lt-LT"/>
        </w:rPr>
      </w:pPr>
      <w:r w:rsidRPr="00E22DDE">
        <w:rPr>
          <w:lang w:val="lt-LT"/>
        </w:rPr>
        <w:t>14)</w:t>
      </w:r>
      <w:r w:rsidRPr="00E22DDE">
        <w:rPr>
          <w:lang w:val="lt-LT"/>
        </w:rPr>
        <w:tab/>
        <w:t>14 straipsnis iš dalies keičiamas taip:</w:t>
      </w:r>
    </w:p>
    <w:p w:rsidR="000B604B" w:rsidRPr="00E22DDE" w:rsidRDefault="000B604B" w:rsidP="004226A9">
      <w:pPr>
        <w:pStyle w:val="Point1"/>
        <w:spacing w:line="360" w:lineRule="auto"/>
        <w:rPr>
          <w:lang w:val="lt-LT"/>
        </w:rPr>
      </w:pPr>
      <w:r w:rsidRPr="00E22DDE">
        <w:rPr>
          <w:lang w:val="lt-LT"/>
        </w:rPr>
        <w:t>a)</w:t>
      </w:r>
      <w:r w:rsidRPr="00E22DDE">
        <w:rPr>
          <w:lang w:val="lt-LT"/>
        </w:rPr>
        <w:tab/>
        <w:t>1 dalis pakeičiama taip:</w:t>
      </w:r>
    </w:p>
    <w:p w:rsidR="000B604B" w:rsidRPr="00E22DDE" w:rsidRDefault="000B604B" w:rsidP="004226A9">
      <w:pPr>
        <w:pStyle w:val="Text2"/>
        <w:spacing w:line="360" w:lineRule="auto"/>
        <w:rPr>
          <w:lang w:val="lt-LT"/>
        </w:rPr>
      </w:pPr>
      <w:r w:rsidRPr="00E22DDE">
        <w:rPr>
          <w:lang w:val="lt-LT"/>
        </w:rPr>
        <w:t>„1. Valstybės narės užtikrina, kad IGS apdraustų savo kredito įstaigų narių kitose valstybėse narėse įsteigtų filialų indėlininkus ir indėlininkus, esančius valstybėse narėse, kuriose jų kredito įstaigos narės naudojasi laisve teikti paslaugas, kaip nurodyta Direktyvos 2013/36/ES V antraštinės dalies 3 skyriuje.“;</w:t>
      </w:r>
    </w:p>
    <w:p w:rsidR="000B604B" w:rsidRPr="00E22DDE" w:rsidRDefault="000B604B" w:rsidP="004226A9">
      <w:pPr>
        <w:pStyle w:val="Point1"/>
        <w:spacing w:line="360" w:lineRule="auto"/>
        <w:rPr>
          <w:lang w:val="lt-LT"/>
        </w:rPr>
      </w:pPr>
      <w:r w:rsidRPr="00E22DDE">
        <w:rPr>
          <w:lang w:val="lt-LT"/>
        </w:rPr>
        <w:t>b)</w:t>
      </w:r>
      <w:r w:rsidRPr="00E22DDE">
        <w:rPr>
          <w:lang w:val="lt-LT"/>
        </w:rPr>
        <w:tab/>
        <w:t>2 dalis papildoma šia pastraipa:</w:t>
      </w:r>
    </w:p>
    <w:p w:rsidR="000B604B" w:rsidRPr="00E22DDE" w:rsidRDefault="000B604B" w:rsidP="004226A9">
      <w:pPr>
        <w:pStyle w:val="Text2"/>
        <w:spacing w:line="360" w:lineRule="auto"/>
        <w:rPr>
          <w:lang w:val="lt-LT"/>
        </w:rPr>
      </w:pPr>
      <w:r w:rsidRPr="00E22DDE">
        <w:rPr>
          <w:lang w:val="lt-LT"/>
        </w:rPr>
        <w:t>„Nukrypstant nuo pirmos pastraipos, valstybės narės užtikrina, kad buveinės valstybės narės IGS galėtų nuspręsti grąžinti indėlius filialų indėlininkams tiesiogiai, kai taikomos visos šios sąlygos:</w:t>
      </w:r>
    </w:p>
    <w:p w:rsidR="000B604B" w:rsidRPr="00E22DDE" w:rsidRDefault="000B604B" w:rsidP="004226A9">
      <w:pPr>
        <w:pStyle w:val="Point2"/>
        <w:spacing w:line="360" w:lineRule="auto"/>
        <w:rPr>
          <w:lang w:val="lt-LT"/>
        </w:rPr>
      </w:pPr>
      <w:r w:rsidRPr="00E22DDE">
        <w:rPr>
          <w:lang w:val="lt-LT"/>
        </w:rPr>
        <w:t>i)</w:t>
      </w:r>
      <w:r w:rsidRPr="00E22DDE">
        <w:rPr>
          <w:lang w:val="lt-LT"/>
        </w:rPr>
        <w:tab/>
        <w:t>tokio grąžinimo administracinė našta ir išlaidos yra mažesnės nei priimančiosios valstybės narės IGS grąžinant indėlius;</w:t>
      </w:r>
    </w:p>
    <w:p w:rsidR="000B604B" w:rsidRPr="00E22DDE" w:rsidRDefault="000B604B" w:rsidP="004226A9">
      <w:pPr>
        <w:pStyle w:val="Point2"/>
        <w:spacing w:line="360" w:lineRule="auto"/>
        <w:rPr>
          <w:lang w:val="lt-LT"/>
        </w:rPr>
      </w:pPr>
      <w:r w:rsidRPr="00E22DDE">
        <w:rPr>
          <w:lang w:val="lt-LT"/>
        </w:rPr>
        <w:t>ii)</w:t>
      </w:r>
      <w:r w:rsidRPr="00E22DDE">
        <w:rPr>
          <w:lang w:val="lt-LT"/>
        </w:rPr>
        <w:tab/>
        <w:t>buveinės valstybės narės IGS užtikrina, kad indėlininkai neatsidurtų blogesnėje padėtyje nei ta, kurioje indėliai jiems būtų buvę grąžinti pagal pirmą pastraipą</w:t>
      </w:r>
      <w:r w:rsidRPr="00E22DDE">
        <w:rPr>
          <w:b/>
          <w:bCs/>
          <w:i/>
          <w:iCs/>
          <w:lang w:val="lt-LT"/>
        </w:rPr>
        <w:t>;</w:t>
      </w:r>
    </w:p>
    <w:p w:rsidR="000B604B" w:rsidRPr="00E22DDE" w:rsidRDefault="000B604B" w:rsidP="004226A9">
      <w:pPr>
        <w:pStyle w:val="Point2"/>
        <w:spacing w:line="360" w:lineRule="auto"/>
        <w:rPr>
          <w:lang w:val="lt-LT"/>
        </w:rPr>
      </w:pPr>
      <w:r w:rsidRPr="00E22DDE">
        <w:rPr>
          <w:b/>
          <w:i/>
          <w:lang w:val="lt-LT"/>
        </w:rPr>
        <w:t>iia)</w:t>
      </w:r>
      <w:r w:rsidRPr="00E22DDE">
        <w:rPr>
          <w:b/>
          <w:i/>
          <w:lang w:val="lt-LT"/>
        </w:rPr>
        <w:tab/>
      </w:r>
      <w:r w:rsidRPr="00E22DDE">
        <w:rPr>
          <w:b/>
          <w:bCs/>
          <w:i/>
          <w:iCs/>
          <w:lang w:val="lt-LT"/>
        </w:rPr>
        <w:t>lėšos grąžinamos ta pačia valiuta, kokia būtų atliktas mokėjimas, jei grąžinimas būtų atliktas pagal pirmą pastraipą.“</w:t>
      </w:r>
      <w:r w:rsidRPr="00E22DDE">
        <w:rPr>
          <w:b/>
          <w:bCs/>
          <w:lang w:val="lt-LT"/>
        </w:rPr>
        <w:t>;</w:t>
      </w:r>
    </w:p>
    <w:p w:rsidR="000B604B" w:rsidRPr="00E22DDE" w:rsidRDefault="000B604B" w:rsidP="004226A9">
      <w:pPr>
        <w:pStyle w:val="Point1"/>
        <w:spacing w:line="360" w:lineRule="auto"/>
        <w:rPr>
          <w:lang w:val="lt-LT"/>
        </w:rPr>
      </w:pPr>
      <w:r w:rsidRPr="00E22DDE">
        <w:rPr>
          <w:lang w:val="lt-LT"/>
        </w:rPr>
        <w:lastRenderedPageBreak/>
        <w:t>c)</w:t>
      </w:r>
      <w:r w:rsidRPr="00E22DDE">
        <w:rPr>
          <w:lang w:val="lt-LT"/>
        </w:rPr>
        <w:tab/>
        <w:t>įterpiamos šios 2a ir 2b dalys:</w:t>
      </w:r>
    </w:p>
    <w:p w:rsidR="000B604B" w:rsidRPr="00E22DDE" w:rsidRDefault="000B604B" w:rsidP="004226A9">
      <w:pPr>
        <w:pStyle w:val="Text2"/>
        <w:spacing w:line="360" w:lineRule="auto"/>
        <w:rPr>
          <w:lang w:val="lt-LT"/>
        </w:rPr>
      </w:pPr>
      <w:r w:rsidRPr="00E22DDE">
        <w:rPr>
          <w:lang w:val="lt-LT"/>
        </w:rPr>
        <w:t xml:space="preserve">„2a. Valstybės narės užtikrina, kad priimančiosios valstybės narės IGS, susitarusi su buveinės valstybės narės IGS, galėtų veikti kaip kredito įstaigų, kurios naudojasi laisve teikti paslaugas, kaip nurodyta Direktyvos 2013/36/ES V antraštinės dalies 3 skyriuje, indėlininkų kontaktinis punktas ir jai bus kompensuojamos patirtos išlaidos. </w:t>
      </w:r>
    </w:p>
    <w:p w:rsidR="000B604B" w:rsidRPr="00E22DDE" w:rsidRDefault="000B604B" w:rsidP="004226A9">
      <w:pPr>
        <w:pStyle w:val="Text2"/>
        <w:spacing w:line="360" w:lineRule="auto"/>
        <w:rPr>
          <w:lang w:val="lt-LT"/>
        </w:rPr>
      </w:pPr>
      <w:r w:rsidRPr="00E22DDE">
        <w:rPr>
          <w:lang w:val="lt-LT"/>
        </w:rPr>
        <w:t xml:space="preserve">2b. 2 ir 2a dalyse nurodytais atvejais valstybės narės užtikrina, kad buveinės valstybės narės IGS ir atitinkamos priimančiosios valstybės narės IGS būtų sudariusios susitarimą dėl išmokėjimo sąlygų, įskaitant susitarimą dėl patirtų išlaidų kompensavimo, indėlininkų kontaktinio punkto, terminų ir mokėjimo būdo. </w:t>
      </w:r>
      <w:r w:rsidRPr="00E22DDE">
        <w:rPr>
          <w:b/>
          <w:bCs/>
          <w:i/>
          <w:iCs/>
          <w:lang w:val="lt-LT"/>
        </w:rPr>
        <w:t>Buveinės valstybės narės IGS pateikia priimančiosios valstybės narės IGS informaciją apie indėlininkų skaičių, apdraustųjų indėlių sumą ir galimus atitinkamus su šia informacija susijusius pokyčius.“;</w:t>
      </w:r>
    </w:p>
    <w:p w:rsidR="000B604B" w:rsidRPr="00E22DDE" w:rsidRDefault="000B604B" w:rsidP="004226A9">
      <w:pPr>
        <w:pStyle w:val="Point1"/>
        <w:spacing w:line="360" w:lineRule="auto"/>
        <w:rPr>
          <w:lang w:val="lt-LT"/>
        </w:rPr>
      </w:pPr>
      <w:r w:rsidRPr="00E22DDE">
        <w:rPr>
          <w:lang w:val="lt-LT"/>
        </w:rPr>
        <w:t>d)</w:t>
      </w:r>
      <w:r w:rsidRPr="00E22DDE">
        <w:rPr>
          <w:lang w:val="lt-LT"/>
        </w:rPr>
        <w:tab/>
        <w:t>3 dalis pakeičiama taip:</w:t>
      </w:r>
    </w:p>
    <w:p w:rsidR="000B604B" w:rsidRPr="00E22DDE" w:rsidRDefault="000B604B" w:rsidP="004226A9">
      <w:pPr>
        <w:pStyle w:val="Text2"/>
        <w:spacing w:line="360" w:lineRule="auto"/>
        <w:rPr>
          <w:lang w:val="lt-LT"/>
        </w:rPr>
      </w:pPr>
      <w:r w:rsidRPr="00E22DDE">
        <w:rPr>
          <w:lang w:val="lt-LT"/>
        </w:rPr>
        <w:t xml:space="preserve">„3. Valstybės narės užtikrina, kad tais atvejais, kai kredito įstaiga nustoja būti IGS nare ir prisijungia prie kitos valstybės narės IGS, arba jeigu tam tikra kredito įstaigos veikla perkeliama į kitos valstybės narės IGS, pradinė IGS perveda gaunančiajai IGS </w:t>
      </w:r>
      <w:r w:rsidRPr="00E22DDE">
        <w:rPr>
          <w:b/>
          <w:bCs/>
          <w:i/>
          <w:iCs/>
          <w:lang w:val="lt-LT"/>
        </w:rPr>
        <w:t>sumą, kuri atitinka papildomus galimus įsipareigojimus, kuriuos gaunančioji IGS prisiėmė dėl perkėlimo, atsižvelgdama į perkėlimo poveikį tiek gaunančiosios IGS, tiek pradinės IGS finansinei padėčiai, palyginti su rizika, kurią jos dengia.</w:t>
      </w:r>
      <w:r w:rsidRPr="00E22DDE">
        <w:rPr>
          <w:rFonts w:ascii="Arial" w:hAnsi="Arial"/>
          <w:lang w:val="lt-LT"/>
        </w:rPr>
        <w:t xml:space="preserve"> ▌</w:t>
      </w:r>
    </w:p>
    <w:p w:rsidR="000B604B" w:rsidRPr="00E22DDE" w:rsidRDefault="000B604B" w:rsidP="004226A9">
      <w:pPr>
        <w:pStyle w:val="Point0"/>
        <w:spacing w:line="360" w:lineRule="auto"/>
        <w:ind w:left="1418" w:firstLine="0"/>
        <w:rPr>
          <w:b/>
          <w:i/>
          <w:lang w:val="lt-LT"/>
        </w:rPr>
      </w:pPr>
      <w:r w:rsidRPr="00E22DDE">
        <w:rPr>
          <w:b/>
          <w:i/>
          <w:lang w:val="lt-LT"/>
        </w:rPr>
        <w:t>EBI parengia techninių reguliavimo standartų projektus, kuriuose nustato perkeltinos sumos apskaičiavimo metodiką, kad būtų užtikrintas neutralus perkėlimo poveikis abiejų IGS finansinei padėčiai, palyginti su rizika, kurią jos dengia.</w:t>
      </w:r>
    </w:p>
    <w:p w:rsidR="000B604B" w:rsidRPr="00E22DDE" w:rsidRDefault="000B604B" w:rsidP="004226A9">
      <w:pPr>
        <w:pStyle w:val="Point0"/>
        <w:spacing w:line="360" w:lineRule="auto"/>
        <w:ind w:left="1418" w:firstLine="0"/>
        <w:rPr>
          <w:b/>
          <w:i/>
          <w:lang w:val="lt-LT"/>
        </w:rPr>
      </w:pPr>
      <w:r w:rsidRPr="00E22DDE">
        <w:rPr>
          <w:b/>
          <w:i/>
          <w:lang w:val="lt-LT"/>
        </w:rPr>
        <w:t>EBI tuos techninių reguliavimo standartų projektus pateikia Komisijai ne vėliau kaip [12 mėnesių nuo šios iš dalies keičiančios direktyvos įsigaliojimo dienos].</w:t>
      </w:r>
    </w:p>
    <w:p w:rsidR="000B604B" w:rsidRPr="00E22DDE" w:rsidRDefault="000B604B" w:rsidP="004226A9">
      <w:pPr>
        <w:pStyle w:val="Text2"/>
        <w:spacing w:line="360" w:lineRule="auto"/>
        <w:rPr>
          <w:lang w:val="lt-LT"/>
        </w:rPr>
      </w:pPr>
      <w:r w:rsidRPr="00E22DDE">
        <w:rPr>
          <w:b/>
          <w:bCs/>
          <w:i/>
          <w:iCs/>
          <w:lang w:val="lt-LT"/>
        </w:rPr>
        <w:t>Komisijai deleguojami įgaliojimai papildyti šią direktyvą priimant šios dalies antroje pastraipoje nurodytus techninius reguliavimo standartus pagal Europos Parlamento ir Tarybos reglamento (ES) Nr. 1093/2010 10–14 straipsnius.</w:t>
      </w:r>
      <w:r w:rsidRPr="00E22DDE">
        <w:rPr>
          <w:b/>
          <w:bCs/>
          <w:lang w:val="lt-LT"/>
        </w:rPr>
        <w:t>“;</w:t>
      </w:r>
    </w:p>
    <w:p w:rsidR="000B604B" w:rsidRPr="00E22DDE" w:rsidRDefault="000B604B" w:rsidP="004226A9">
      <w:pPr>
        <w:pStyle w:val="Point1"/>
        <w:spacing w:line="360" w:lineRule="auto"/>
        <w:rPr>
          <w:lang w:val="lt-LT"/>
        </w:rPr>
      </w:pPr>
      <w:r w:rsidRPr="00E22DDE">
        <w:rPr>
          <w:lang w:val="lt-LT"/>
        </w:rPr>
        <w:lastRenderedPageBreak/>
        <w:t>e)</w:t>
      </w:r>
      <w:r w:rsidRPr="00E22DDE">
        <w:rPr>
          <w:lang w:val="lt-LT"/>
        </w:rPr>
        <w:tab/>
        <w:t>įterpiama 3a dalis:</w:t>
      </w:r>
    </w:p>
    <w:p w:rsidR="000B604B" w:rsidRPr="00E22DDE" w:rsidRDefault="000B604B" w:rsidP="004226A9">
      <w:pPr>
        <w:pStyle w:val="Text2"/>
        <w:spacing w:line="360" w:lineRule="auto"/>
        <w:rPr>
          <w:lang w:val="lt-LT"/>
        </w:rPr>
      </w:pPr>
      <w:r w:rsidRPr="00E22DDE">
        <w:rPr>
          <w:lang w:val="lt-LT"/>
        </w:rPr>
        <w:t>„3a. 3 dalies tikslais valstybės narės užtikrina, kad pradinė IGS pervestų toje dalyje nurodytą sumą per vieną mėnesį nuo narystės IGS pasikeitimo.“;</w:t>
      </w:r>
    </w:p>
    <w:p w:rsidR="000B604B" w:rsidRPr="00E22DDE" w:rsidRDefault="000B604B" w:rsidP="004226A9">
      <w:pPr>
        <w:pStyle w:val="Point1"/>
        <w:spacing w:line="360" w:lineRule="auto"/>
        <w:rPr>
          <w:lang w:val="lt-LT"/>
        </w:rPr>
      </w:pPr>
      <w:r w:rsidRPr="00E22DDE">
        <w:rPr>
          <w:lang w:val="lt-LT"/>
        </w:rPr>
        <w:t>f)</w:t>
      </w:r>
      <w:r w:rsidRPr="00E22DDE">
        <w:rPr>
          <w:lang w:val="lt-LT"/>
        </w:rPr>
        <w:tab/>
        <w:t>įterpiama 9 dalis:</w:t>
      </w:r>
    </w:p>
    <w:p w:rsidR="000B604B" w:rsidRPr="00E22DDE" w:rsidRDefault="000B604B" w:rsidP="004226A9">
      <w:pPr>
        <w:pStyle w:val="Text2"/>
        <w:spacing w:line="360" w:lineRule="auto"/>
        <w:rPr>
          <w:lang w:val="lt-LT"/>
        </w:rPr>
      </w:pPr>
      <w:r w:rsidRPr="00E22DDE">
        <w:rPr>
          <w:lang w:val="lt-LT"/>
        </w:rPr>
        <w:t xml:space="preserve">„9. </w:t>
      </w:r>
      <w:r w:rsidRPr="00E22DDE">
        <w:rPr>
          <w:b/>
          <w:bCs/>
          <w:i/>
          <w:iCs/>
          <w:lang w:val="lt-LT"/>
        </w:rPr>
        <w:t>Ne vėliau kaip [24 mėnesiai nuo šios iš dalies keičiančios direktyvos įsigaliojimo dienos]</w:t>
      </w:r>
      <w:r w:rsidRPr="00E22DDE">
        <w:rPr>
          <w:lang w:val="lt-LT"/>
        </w:rPr>
        <w:t xml:space="preserve"> EBI paskelbia gaires</w:t>
      </w:r>
      <w:r w:rsidRPr="00E22DDE">
        <w:rPr>
          <w:rFonts w:ascii="Arial" w:hAnsi="Arial"/>
          <w:lang w:val="lt-LT"/>
        </w:rPr>
        <w:t xml:space="preserve"> </w:t>
      </w:r>
      <w:r w:rsidRPr="00E22DDE">
        <w:rPr>
          <w:b/>
          <w:bCs/>
          <w:i/>
          <w:iCs/>
          <w:lang w:val="lt-LT"/>
        </w:rPr>
        <w:t>dėl atitinkamų</w:t>
      </w:r>
      <w:r w:rsidRPr="00E22DDE">
        <w:rPr>
          <w:lang w:val="lt-LT"/>
        </w:rPr>
        <w:t xml:space="preserve"> buveinės ir priimančiosios valstybės narės IGS </w:t>
      </w:r>
      <w:r w:rsidRPr="00E22DDE">
        <w:rPr>
          <w:b/>
          <w:bCs/>
          <w:i/>
          <w:iCs/>
          <w:lang w:val="lt-LT"/>
        </w:rPr>
        <w:t>vaidmenų, nurodytų</w:t>
      </w:r>
      <w:r w:rsidRPr="00E22DDE">
        <w:rPr>
          <w:lang w:val="lt-LT"/>
        </w:rPr>
        <w:t xml:space="preserve"> 2 </w:t>
      </w:r>
      <w:r w:rsidRPr="00E22DDE">
        <w:rPr>
          <w:b/>
          <w:bCs/>
          <w:i/>
          <w:iCs/>
          <w:lang w:val="lt-LT"/>
        </w:rPr>
        <w:t>dalyje</w:t>
      </w:r>
      <w:r w:rsidRPr="00E22DDE">
        <w:rPr>
          <w:lang w:val="lt-LT"/>
        </w:rPr>
        <w:t xml:space="preserve">, </w:t>
      </w:r>
      <w:r w:rsidRPr="00E22DDE">
        <w:rPr>
          <w:b/>
          <w:bCs/>
          <w:i/>
          <w:iCs/>
          <w:lang w:val="lt-LT"/>
        </w:rPr>
        <w:t>įskaitant</w:t>
      </w:r>
      <w:r w:rsidRPr="00E22DDE">
        <w:rPr>
          <w:lang w:val="lt-LT"/>
        </w:rPr>
        <w:t xml:space="preserve"> aplinkybių ir sąlygų, kuriomis buveinės valstybės narės IGS turėtų </w:t>
      </w:r>
      <w:r w:rsidRPr="00E22DDE">
        <w:rPr>
          <w:rFonts w:ascii="Arial" w:hAnsi="Arial"/>
          <w:lang w:val="lt-LT"/>
        </w:rPr>
        <w:t>▌</w:t>
      </w:r>
      <w:r w:rsidRPr="00E22DDE">
        <w:rPr>
          <w:lang w:val="lt-LT"/>
        </w:rPr>
        <w:t>išmokėti išmokas kitos valstybės narės filialų indėlininkams, kaip nustatyta 2 dalies trečioje pastraipoje, sąrašą.“;</w:t>
      </w:r>
    </w:p>
    <w:p w:rsidR="000B604B" w:rsidRPr="00E22DDE" w:rsidRDefault="000B604B" w:rsidP="004226A9">
      <w:pPr>
        <w:pStyle w:val="Point0"/>
        <w:spacing w:line="360" w:lineRule="auto"/>
        <w:rPr>
          <w:lang w:val="lt-LT"/>
        </w:rPr>
      </w:pPr>
      <w:r w:rsidRPr="00E22DDE">
        <w:rPr>
          <w:lang w:val="lt-LT"/>
        </w:rPr>
        <w:t>15)</w:t>
      </w:r>
      <w:r w:rsidRPr="00E22DDE">
        <w:rPr>
          <w:lang w:val="lt-LT"/>
        </w:rPr>
        <w:tab/>
        <w:t>15 straipsnis pakeičiamas taip:</w:t>
      </w:r>
    </w:p>
    <w:p w:rsidR="000B604B" w:rsidRPr="00E22DDE" w:rsidRDefault="000B604B" w:rsidP="004226A9">
      <w:pPr>
        <w:pStyle w:val="Text1"/>
        <w:spacing w:line="360" w:lineRule="auto"/>
        <w:jc w:val="center"/>
        <w:rPr>
          <w:lang w:val="lt-LT"/>
        </w:rPr>
      </w:pPr>
      <w:r w:rsidRPr="00E22DDE">
        <w:rPr>
          <w:i/>
          <w:lang w:val="lt-LT"/>
        </w:rPr>
        <w:t>„15 straipsnis</w:t>
      </w:r>
    </w:p>
    <w:p w:rsidR="000B604B" w:rsidRPr="00E22DDE" w:rsidRDefault="000B604B" w:rsidP="004226A9">
      <w:pPr>
        <w:pStyle w:val="Text1"/>
        <w:spacing w:line="360" w:lineRule="auto"/>
        <w:jc w:val="center"/>
        <w:rPr>
          <w:b/>
          <w:bCs/>
          <w:lang w:val="lt-LT"/>
        </w:rPr>
      </w:pPr>
      <w:r w:rsidRPr="00E22DDE">
        <w:rPr>
          <w:b/>
          <w:lang w:val="lt-LT"/>
        </w:rPr>
        <w:t>Trečiosiose šalyse įsisteigusių kredito įstaigų filialai</w:t>
      </w:r>
    </w:p>
    <w:p w:rsidR="000B604B" w:rsidRPr="00E22DDE" w:rsidRDefault="000B604B" w:rsidP="004226A9">
      <w:pPr>
        <w:pStyle w:val="Text1"/>
        <w:spacing w:line="360" w:lineRule="auto"/>
        <w:rPr>
          <w:lang w:val="lt-LT"/>
        </w:rPr>
      </w:pPr>
      <w:r w:rsidRPr="00E22DDE">
        <w:rPr>
          <w:lang w:val="lt-LT"/>
        </w:rPr>
        <w:t>Valstybės narės reikalauja, kad kredito įstaigų, kurių pagrindinė buveinė yra ne Sąjungoje, filialai prisijungtų prie jų teritorijoje esančios IGS prieš leisdama tokiems filialams priimti reikalavimus atitinkančius indėlius tose valstybėse narėse.</w:t>
      </w:r>
    </w:p>
    <w:p w:rsidR="000B604B" w:rsidRPr="00E22DDE" w:rsidRDefault="000B604B" w:rsidP="004226A9">
      <w:pPr>
        <w:pStyle w:val="Text1"/>
        <w:spacing w:line="360" w:lineRule="auto"/>
        <w:rPr>
          <w:lang w:val="lt-LT"/>
        </w:rPr>
      </w:pPr>
      <w:r w:rsidRPr="00E22DDE">
        <w:rPr>
          <w:b/>
          <w:bCs/>
          <w:i/>
          <w:iCs/>
          <w:lang w:val="lt-LT"/>
        </w:rPr>
        <w:t>Valstybės narės užtikrina, kad šie filialai mokėtų įnašus IGS pagal 13 straipsnį.“;</w:t>
      </w:r>
      <w:r w:rsidRPr="00E22DDE">
        <w:rPr>
          <w:lang w:val="lt-LT"/>
        </w:rPr>
        <w:t xml:space="preserve"> </w:t>
      </w:r>
    </w:p>
    <w:p w:rsidR="000B604B" w:rsidRPr="00E22DDE" w:rsidRDefault="000B604B" w:rsidP="004226A9">
      <w:pPr>
        <w:pStyle w:val="Point0"/>
        <w:spacing w:line="360" w:lineRule="auto"/>
        <w:rPr>
          <w:lang w:val="lt-LT"/>
        </w:rPr>
      </w:pPr>
      <w:r w:rsidRPr="00E22DDE">
        <w:rPr>
          <w:lang w:val="lt-LT"/>
        </w:rPr>
        <w:t>16)</w:t>
      </w:r>
      <w:r w:rsidRPr="00E22DDE">
        <w:rPr>
          <w:lang w:val="lt-LT"/>
        </w:rPr>
        <w:tab/>
        <w:t>įterpiamas 15a straipsnis:</w:t>
      </w:r>
    </w:p>
    <w:p w:rsidR="000B604B" w:rsidRPr="00E22DDE" w:rsidRDefault="000B604B" w:rsidP="004226A9">
      <w:pPr>
        <w:pStyle w:val="Text1"/>
        <w:spacing w:line="360" w:lineRule="auto"/>
        <w:jc w:val="center"/>
        <w:rPr>
          <w:i/>
          <w:iCs/>
          <w:lang w:val="lt-LT"/>
        </w:rPr>
      </w:pPr>
      <w:r w:rsidRPr="00E22DDE">
        <w:rPr>
          <w:i/>
          <w:lang w:val="lt-LT"/>
        </w:rPr>
        <w:t>„15a straipsnis</w:t>
      </w:r>
    </w:p>
    <w:p w:rsidR="000B604B" w:rsidRPr="00E22DDE" w:rsidRDefault="000B604B" w:rsidP="004226A9">
      <w:pPr>
        <w:pStyle w:val="Text1"/>
        <w:spacing w:line="360" w:lineRule="auto"/>
        <w:jc w:val="center"/>
        <w:rPr>
          <w:b/>
          <w:lang w:val="lt-LT"/>
        </w:rPr>
      </w:pPr>
      <w:r w:rsidRPr="00E22DDE">
        <w:rPr>
          <w:b/>
          <w:lang w:val="lt-LT"/>
        </w:rPr>
        <w:t>Kredito įstaigos narės, turinčios filialus trečiosiose šalyse</w:t>
      </w:r>
    </w:p>
    <w:p w:rsidR="000B604B" w:rsidRPr="00E22DDE" w:rsidRDefault="000B604B" w:rsidP="004226A9">
      <w:pPr>
        <w:pStyle w:val="Text1"/>
        <w:spacing w:line="360" w:lineRule="auto"/>
        <w:rPr>
          <w:lang w:val="lt-LT"/>
        </w:rPr>
      </w:pPr>
      <w:r w:rsidRPr="00E22DDE">
        <w:rPr>
          <w:lang w:val="lt-LT"/>
        </w:rPr>
        <w:t>Valstybės narės užtikrina, kad IGS neapdraustų savo kredito įstaigų narių trečiosiose šalyse įsteigtų filialų indėlininkų, išskyrus atvejus, kai, gavusios paskirtos valdžios institucijos patvirtinimą, tos IGS renka atitinkamus įnašus iš atitinkamų kredito įstaigų.</w:t>
      </w:r>
    </w:p>
    <w:p w:rsidR="000B604B" w:rsidRPr="00E22DDE" w:rsidRDefault="000B604B" w:rsidP="004226A9">
      <w:pPr>
        <w:pStyle w:val="Text1"/>
        <w:spacing w:line="360" w:lineRule="auto"/>
        <w:rPr>
          <w:lang w:val="lt-LT"/>
        </w:rPr>
      </w:pPr>
      <w:r w:rsidRPr="00E22DDE">
        <w:rPr>
          <w:b/>
          <w:bCs/>
          <w:i/>
          <w:iCs/>
          <w:lang w:val="lt-LT"/>
        </w:rPr>
        <w:t>EBI paskelbia gaires, kuriose nurodomos aplinkybes, kuriomis paskirtos valdžios institucijos turėtų patvirtinti kredito įstaigų, kurios yra IGS narės, trečiosiose šalyse įsteigtų filialų indėlininkų draudimą.“;</w:t>
      </w:r>
    </w:p>
    <w:p w:rsidR="000B604B" w:rsidRPr="00E22DDE" w:rsidRDefault="000B604B" w:rsidP="004226A9">
      <w:pPr>
        <w:pStyle w:val="Point0"/>
        <w:spacing w:line="360" w:lineRule="auto"/>
        <w:rPr>
          <w:lang w:val="lt-LT"/>
        </w:rPr>
      </w:pPr>
      <w:r w:rsidRPr="00E22DDE">
        <w:rPr>
          <w:lang w:val="lt-LT"/>
        </w:rPr>
        <w:t>17)</w:t>
      </w:r>
      <w:r w:rsidRPr="00E22DDE">
        <w:rPr>
          <w:lang w:val="lt-LT"/>
        </w:rPr>
        <w:tab/>
        <w:t>16 straipsnis iš dalies keičiamas taip:</w:t>
      </w:r>
    </w:p>
    <w:p w:rsidR="000B604B" w:rsidRPr="00E22DDE" w:rsidRDefault="000B604B" w:rsidP="004226A9">
      <w:pPr>
        <w:pStyle w:val="Point1"/>
        <w:spacing w:line="360" w:lineRule="auto"/>
        <w:rPr>
          <w:lang w:val="lt-LT"/>
        </w:rPr>
      </w:pPr>
      <w:r w:rsidRPr="00E22DDE">
        <w:rPr>
          <w:lang w:val="lt-LT"/>
        </w:rPr>
        <w:t>a)</w:t>
      </w:r>
      <w:r w:rsidRPr="00E22DDE">
        <w:rPr>
          <w:lang w:val="lt-LT"/>
        </w:rPr>
        <w:tab/>
        <w:t>1 dalis pakeičiama taip:</w:t>
      </w:r>
    </w:p>
    <w:p w:rsidR="000B604B" w:rsidRPr="00E22DDE" w:rsidRDefault="000B604B" w:rsidP="004226A9">
      <w:pPr>
        <w:pStyle w:val="Text2"/>
        <w:spacing w:line="360" w:lineRule="auto"/>
        <w:rPr>
          <w:lang w:val="lt-LT"/>
        </w:rPr>
      </w:pPr>
      <w:r w:rsidRPr="00E22DDE">
        <w:rPr>
          <w:lang w:val="lt-LT"/>
        </w:rPr>
        <w:lastRenderedPageBreak/>
        <w:t>„1. Valstybės narės užtikrina, kad kredito įstaigos esamiems ir būsimiems indėlininkams suteiktų informaciją, būtiną, kad tie indėlininkai galėtų nustatyti IGS, kurios narės Sąjungoje yra įstaiga ir jos filialai. Kredito įstaigos tą informaciją pateikia kaip informacijos dokumentą, parengtą nuskaitomuoju formatu, kaip apibrėžta Europos Parlamento ir Tarybos reglamento (ES) XX/XXXX [ESAP reglamentas]*** 2 straipsnio 3 punkte.</w:t>
      </w:r>
    </w:p>
    <w:p w:rsidR="000B604B" w:rsidRPr="00E22DDE" w:rsidRDefault="000B604B" w:rsidP="004226A9">
      <w:pPr>
        <w:pStyle w:val="Text2"/>
        <w:spacing w:line="360" w:lineRule="auto"/>
        <w:rPr>
          <w:lang w:val="lt-LT"/>
        </w:rPr>
      </w:pPr>
      <w:r w:rsidRPr="00E22DDE">
        <w:rPr>
          <w:lang w:val="lt-LT"/>
        </w:rPr>
        <w:t>_______________________________________________</w:t>
      </w:r>
    </w:p>
    <w:p w:rsidR="000B604B" w:rsidRPr="00E22DDE" w:rsidRDefault="000B604B" w:rsidP="004226A9">
      <w:pPr>
        <w:pStyle w:val="Text2"/>
        <w:spacing w:line="360" w:lineRule="auto"/>
        <w:rPr>
          <w:szCs w:val="24"/>
          <w:lang w:val="lt-LT"/>
        </w:rPr>
      </w:pPr>
      <w:r w:rsidRPr="00E22DDE">
        <w:rPr>
          <w:lang w:val="lt-LT"/>
        </w:rPr>
        <w:t>***</w:t>
      </w:r>
      <w:r w:rsidRPr="00E22DDE">
        <w:rPr>
          <w:lang w:val="lt-LT"/>
        </w:rPr>
        <w:tab/>
        <w:t>m. … .. d. Europos Parlamento ir Tarybos reglamentas (ES) XX/XXXX, kuriuo sukuriamas Europos bendras prieigos punktas, kuriuo užtikrinama centralizuota prieiga prie viešai skelbiamos informacijos, aktualios finansinių paslaugų, kapitalo rinkų ir tvarumo sritims.“;</w:t>
      </w:r>
    </w:p>
    <w:p w:rsidR="000B604B" w:rsidRPr="00E22DDE" w:rsidRDefault="000B604B" w:rsidP="004226A9">
      <w:pPr>
        <w:pStyle w:val="Point1"/>
        <w:spacing w:line="360" w:lineRule="auto"/>
        <w:rPr>
          <w:lang w:val="lt-LT"/>
        </w:rPr>
      </w:pPr>
      <w:r w:rsidRPr="00E22DDE">
        <w:rPr>
          <w:lang w:val="lt-LT"/>
        </w:rPr>
        <w:t>b)</w:t>
      </w:r>
      <w:r w:rsidRPr="00E22DDE">
        <w:rPr>
          <w:lang w:val="lt-LT"/>
        </w:rPr>
        <w:tab/>
        <w:t>įterpiama 1a dalis:</w:t>
      </w:r>
    </w:p>
    <w:p w:rsidR="000B604B" w:rsidRPr="00E22DDE" w:rsidRDefault="000B604B" w:rsidP="004226A9">
      <w:pPr>
        <w:pStyle w:val="Text2"/>
        <w:spacing w:line="360" w:lineRule="auto"/>
        <w:rPr>
          <w:lang w:val="lt-LT"/>
        </w:rPr>
      </w:pPr>
      <w:r w:rsidRPr="00E22DDE">
        <w:rPr>
          <w:lang w:val="lt-LT"/>
        </w:rPr>
        <w:t xml:space="preserve">„1a. Valstybės narės užtikrina, kad 1 dalyje nurodytame informacijos dokumente būtų pateikta visa ši informacija: </w:t>
      </w:r>
    </w:p>
    <w:p w:rsidR="000B604B" w:rsidRPr="00E22DDE" w:rsidRDefault="000B604B" w:rsidP="004226A9">
      <w:pPr>
        <w:pStyle w:val="Point2"/>
        <w:spacing w:line="360" w:lineRule="auto"/>
        <w:rPr>
          <w:lang w:val="lt-LT"/>
        </w:rPr>
      </w:pPr>
      <w:r w:rsidRPr="00E22DDE">
        <w:rPr>
          <w:lang w:val="lt-LT"/>
        </w:rPr>
        <w:t>i)</w:t>
      </w:r>
      <w:r w:rsidRPr="00E22DDE">
        <w:rPr>
          <w:lang w:val="lt-LT"/>
        </w:rPr>
        <w:tab/>
        <w:t>pagrindinė informacija apie indėlių apsaugą;</w:t>
      </w:r>
    </w:p>
    <w:p w:rsidR="000B604B" w:rsidRPr="00E22DDE" w:rsidRDefault="000B604B" w:rsidP="004226A9">
      <w:pPr>
        <w:pStyle w:val="Point2"/>
        <w:spacing w:line="360" w:lineRule="auto"/>
        <w:rPr>
          <w:lang w:val="lt-LT"/>
        </w:rPr>
      </w:pPr>
      <w:r w:rsidRPr="00E22DDE">
        <w:rPr>
          <w:lang w:val="lt-LT"/>
        </w:rPr>
        <w:t>ii)</w:t>
      </w:r>
      <w:r w:rsidRPr="00E22DDE">
        <w:rPr>
          <w:lang w:val="lt-LT"/>
        </w:rPr>
        <w:tab/>
        <w:t xml:space="preserve">kredito įstaigos, į kurią pirmąją reikėtų kreiptis norint gauti informacijos apie informacinio dokumento turinį, kontaktiniai duomenys; </w:t>
      </w:r>
    </w:p>
    <w:p w:rsidR="000B604B" w:rsidRPr="00E22DDE" w:rsidRDefault="000B604B" w:rsidP="004226A9">
      <w:pPr>
        <w:pStyle w:val="Point2"/>
        <w:spacing w:line="360" w:lineRule="auto"/>
        <w:rPr>
          <w:lang w:val="lt-LT"/>
        </w:rPr>
      </w:pPr>
      <w:r w:rsidRPr="00E22DDE">
        <w:rPr>
          <w:lang w:val="lt-LT"/>
        </w:rPr>
        <w:t>iii)</w:t>
      </w:r>
      <w:r w:rsidRPr="00E22DDE">
        <w:rPr>
          <w:lang w:val="lt-LT"/>
        </w:rPr>
        <w:tab/>
        <w:t>indėlių draudimo suma, nurodyta 6 straipsnio 1 ir 2 dalyse, eurais arba, kai tinkama, kita valiuta;</w:t>
      </w:r>
    </w:p>
    <w:p w:rsidR="000B604B" w:rsidRPr="00E22DDE" w:rsidRDefault="000B604B" w:rsidP="004226A9">
      <w:pPr>
        <w:pStyle w:val="Point2"/>
        <w:spacing w:line="360" w:lineRule="auto"/>
        <w:rPr>
          <w:lang w:val="lt-LT"/>
        </w:rPr>
      </w:pPr>
      <w:r w:rsidRPr="00E22DDE">
        <w:rPr>
          <w:lang w:val="lt-LT"/>
        </w:rPr>
        <w:t>iv)</w:t>
      </w:r>
      <w:r w:rsidRPr="00E22DDE">
        <w:rPr>
          <w:lang w:val="lt-LT"/>
        </w:rPr>
        <w:tab/>
        <w:t>taikomos IGS apsaugos išimtys;</w:t>
      </w:r>
    </w:p>
    <w:p w:rsidR="000B604B" w:rsidRPr="00E22DDE" w:rsidRDefault="000B604B" w:rsidP="004226A9">
      <w:pPr>
        <w:pStyle w:val="Point2"/>
        <w:spacing w:line="360" w:lineRule="auto"/>
        <w:rPr>
          <w:lang w:val="lt-LT"/>
        </w:rPr>
      </w:pPr>
      <w:r w:rsidRPr="00E22DDE">
        <w:rPr>
          <w:lang w:val="lt-LT"/>
        </w:rPr>
        <w:t>v)</w:t>
      </w:r>
      <w:r w:rsidRPr="00E22DDE">
        <w:rPr>
          <w:lang w:val="lt-LT"/>
        </w:rPr>
        <w:tab/>
        <w:t>bendrų sąskaitų apsaugos riba;</w:t>
      </w:r>
    </w:p>
    <w:p w:rsidR="000B604B" w:rsidRPr="00E22DDE" w:rsidRDefault="000B604B" w:rsidP="004226A9">
      <w:pPr>
        <w:pStyle w:val="Point2"/>
        <w:spacing w:line="360" w:lineRule="auto"/>
        <w:rPr>
          <w:lang w:val="lt-LT"/>
        </w:rPr>
      </w:pPr>
      <w:r w:rsidRPr="00E22DDE">
        <w:rPr>
          <w:lang w:val="lt-LT"/>
        </w:rPr>
        <w:t>vi)</w:t>
      </w:r>
      <w:r w:rsidRPr="00E22DDE">
        <w:rPr>
          <w:lang w:val="lt-LT"/>
        </w:rPr>
        <w:tab/>
        <w:t xml:space="preserve">išmokėjimo terminas, jei kredito įstaiga žlunga; </w:t>
      </w:r>
    </w:p>
    <w:p w:rsidR="000B604B" w:rsidRPr="00E22DDE" w:rsidRDefault="000B604B" w:rsidP="004226A9">
      <w:pPr>
        <w:pStyle w:val="Point2"/>
        <w:spacing w:line="360" w:lineRule="auto"/>
        <w:rPr>
          <w:lang w:val="lt-LT"/>
        </w:rPr>
      </w:pPr>
      <w:r w:rsidRPr="00E22DDE">
        <w:rPr>
          <w:lang w:val="lt-LT"/>
        </w:rPr>
        <w:t>vii)</w:t>
      </w:r>
      <w:r w:rsidRPr="00E22DDE">
        <w:rPr>
          <w:lang w:val="lt-LT"/>
        </w:rPr>
        <w:tab/>
        <w:t>išmokėjimo valiuta;</w:t>
      </w:r>
    </w:p>
    <w:p w:rsidR="000B604B" w:rsidRPr="00E22DDE" w:rsidRDefault="000B604B" w:rsidP="004226A9">
      <w:pPr>
        <w:pStyle w:val="Point2"/>
        <w:spacing w:line="360" w:lineRule="auto"/>
        <w:rPr>
          <w:lang w:val="lt-LT"/>
        </w:rPr>
      </w:pPr>
      <w:r w:rsidRPr="00E22DDE">
        <w:rPr>
          <w:lang w:val="lt-LT"/>
        </w:rPr>
        <w:t>viii)</w:t>
      </w:r>
      <w:r w:rsidRPr="00E22DDE">
        <w:rPr>
          <w:lang w:val="lt-LT"/>
        </w:rPr>
        <w:tab/>
        <w:t>IGS, atsakingos už indėlio apsaugą, informacija, įskaitant nuorodą į jos interneto svetainę.“;</w:t>
      </w:r>
    </w:p>
    <w:p w:rsidR="000B604B" w:rsidRPr="00E22DDE" w:rsidRDefault="000B604B" w:rsidP="004226A9">
      <w:pPr>
        <w:pStyle w:val="Point1"/>
        <w:spacing w:line="360" w:lineRule="auto"/>
        <w:rPr>
          <w:lang w:val="lt-LT"/>
        </w:rPr>
      </w:pPr>
      <w:r w:rsidRPr="00E22DDE">
        <w:rPr>
          <w:lang w:val="lt-LT"/>
        </w:rPr>
        <w:t>c)</w:t>
      </w:r>
      <w:r w:rsidRPr="00E22DDE">
        <w:rPr>
          <w:lang w:val="lt-LT"/>
        </w:rPr>
        <w:tab/>
        <w:t>2 dalis pakeičiama taip:</w:t>
      </w:r>
    </w:p>
    <w:p w:rsidR="000B604B" w:rsidRPr="00E22DDE" w:rsidRDefault="000B604B" w:rsidP="004226A9">
      <w:pPr>
        <w:pStyle w:val="Text2"/>
        <w:spacing w:line="360" w:lineRule="auto"/>
        <w:rPr>
          <w:lang w:val="lt-LT"/>
        </w:rPr>
      </w:pPr>
      <w:r w:rsidRPr="00E22DDE">
        <w:rPr>
          <w:lang w:val="lt-LT"/>
        </w:rPr>
        <w:t>„2. Valstybės narės užtikrina, kad kredito įstaigos pateiktų 1 dalyje nurodytą informacijos dokumentą prieš sudarydamos indėlių priėmimo sutartį</w:t>
      </w:r>
      <w:r w:rsidRPr="00E22DDE">
        <w:rPr>
          <w:b/>
          <w:bCs/>
          <w:i/>
          <w:iCs/>
          <w:lang w:val="lt-LT"/>
        </w:rPr>
        <w:t>, o vėliau kiekvieną kartą atsiradus bet kokiems pateiktos informacijos pasikeitimams</w:t>
      </w:r>
      <w:r w:rsidRPr="00E22DDE">
        <w:rPr>
          <w:lang w:val="lt-LT"/>
        </w:rPr>
        <w:t xml:space="preserve">. </w:t>
      </w:r>
      <w:r w:rsidRPr="00E22DDE">
        <w:rPr>
          <w:lang w:val="lt-LT"/>
        </w:rPr>
        <w:lastRenderedPageBreak/>
        <w:t>Indėlininkai patvirtina, kad gavo tokį informacijos dokumentą,</w:t>
      </w:r>
      <w:r w:rsidRPr="00E22DDE">
        <w:rPr>
          <w:b/>
          <w:bCs/>
          <w:i/>
          <w:iCs/>
          <w:lang w:val="lt-LT"/>
        </w:rPr>
        <w:t xml:space="preserve"> išskyrus atvejus, kai informacija paskelbiama viešai</w:t>
      </w:r>
      <w:r w:rsidRPr="00E22DDE">
        <w:rPr>
          <w:lang w:val="lt-LT"/>
        </w:rPr>
        <w:t>.“;</w:t>
      </w:r>
    </w:p>
    <w:p w:rsidR="000B604B" w:rsidRPr="00E22DDE" w:rsidRDefault="000B604B" w:rsidP="004226A9">
      <w:pPr>
        <w:pStyle w:val="Point1"/>
        <w:spacing w:line="360" w:lineRule="auto"/>
        <w:rPr>
          <w:lang w:val="lt-LT"/>
        </w:rPr>
      </w:pPr>
      <w:r w:rsidRPr="00E22DDE">
        <w:rPr>
          <w:lang w:val="lt-LT"/>
        </w:rPr>
        <w:t>d)</w:t>
      </w:r>
      <w:r w:rsidRPr="00E22DDE">
        <w:rPr>
          <w:lang w:val="lt-LT"/>
        </w:rPr>
        <w:tab/>
        <w:t>3 dalies pirma pastraipa pakeičiama taip:</w:t>
      </w:r>
    </w:p>
    <w:p w:rsidR="000B604B" w:rsidRPr="00E22DDE" w:rsidRDefault="000B604B" w:rsidP="004226A9">
      <w:pPr>
        <w:pStyle w:val="Text2"/>
        <w:spacing w:line="360" w:lineRule="auto"/>
        <w:rPr>
          <w:lang w:val="lt-LT"/>
        </w:rPr>
      </w:pPr>
      <w:r w:rsidRPr="00E22DDE">
        <w:rPr>
          <w:lang w:val="lt-LT"/>
        </w:rPr>
        <w:t>„Valstybės narės užtikrina, kad kredito įstaigos savo indėlininkų sąskaitų išrašuose patvirtintų, kad indėliai yra reikalavimus atitinkantys indėliai, taip pat nurodytų tai 1 dalyje nurodytame informacijos dokumente.“;</w:t>
      </w:r>
    </w:p>
    <w:p w:rsidR="000B604B" w:rsidRPr="00E22DDE" w:rsidRDefault="000B604B" w:rsidP="004226A9">
      <w:pPr>
        <w:pStyle w:val="Point1"/>
        <w:spacing w:line="360" w:lineRule="auto"/>
        <w:rPr>
          <w:lang w:val="lt-LT"/>
        </w:rPr>
      </w:pPr>
      <w:r w:rsidRPr="00E22DDE">
        <w:rPr>
          <w:lang w:val="lt-LT"/>
        </w:rPr>
        <w:t>e)</w:t>
      </w:r>
      <w:r w:rsidRPr="00E22DDE">
        <w:rPr>
          <w:lang w:val="lt-LT"/>
        </w:rPr>
        <w:tab/>
        <w:t xml:space="preserve">4 dalis pakeičiama taip: </w:t>
      </w:r>
    </w:p>
    <w:p w:rsidR="000B604B" w:rsidRPr="00E22DDE" w:rsidRDefault="000B604B" w:rsidP="004226A9">
      <w:pPr>
        <w:pStyle w:val="Text2"/>
        <w:spacing w:line="360" w:lineRule="auto"/>
        <w:rPr>
          <w:lang w:val="lt-LT"/>
        </w:rPr>
      </w:pPr>
      <w:r w:rsidRPr="00E22DDE">
        <w:rPr>
          <w:lang w:val="lt-LT"/>
        </w:rPr>
        <w:t>„4. Valstybės narės užtikrina, kad kredito įstaigos pateiktų 1 dalyje nurodytą informaciją ta kalba, dėl kurios indėlininkas ir kredito įstaiga susitarė atidarant sąskaitą, arba valstybės narės, kurioje yra įsteigtas filialas, valstybine kalba arba kalbomis.“;</w:t>
      </w:r>
    </w:p>
    <w:p w:rsidR="000B604B" w:rsidRPr="00E22DDE" w:rsidRDefault="000B604B" w:rsidP="004226A9">
      <w:pPr>
        <w:pStyle w:val="Point1"/>
        <w:spacing w:line="360" w:lineRule="auto"/>
        <w:rPr>
          <w:lang w:val="lt-LT"/>
        </w:rPr>
      </w:pPr>
      <w:r w:rsidRPr="00E22DDE">
        <w:rPr>
          <w:lang w:val="lt-LT"/>
        </w:rPr>
        <w:t>f)</w:t>
      </w:r>
      <w:r w:rsidRPr="00E22DDE">
        <w:rPr>
          <w:lang w:val="lt-LT"/>
        </w:rPr>
        <w:tab/>
        <w:t>6 ir 7 dalys pakeičiamos taip:</w:t>
      </w:r>
    </w:p>
    <w:p w:rsidR="000B604B" w:rsidRPr="00E22DDE" w:rsidRDefault="000B604B" w:rsidP="004226A9">
      <w:pPr>
        <w:pStyle w:val="Text2"/>
        <w:spacing w:line="360" w:lineRule="auto"/>
        <w:rPr>
          <w:lang w:val="lt-LT"/>
        </w:rPr>
      </w:pPr>
      <w:r w:rsidRPr="00E22DDE">
        <w:rPr>
          <w:lang w:val="lt-LT"/>
        </w:rPr>
        <w:t xml:space="preserve">„6. Valstybės narės užtikrina, kad kredito įstaigų susijungimo, kredito įstaigos patronuojamųjų įmonių reorganizavimo į filialus ar panašaus veiksmo atveju kredito įstaiga apie tai informuotų savo indėlininkus likus ne mažiau kaip vienam mėnesiui iki operacijos įsiteisėjimo, nebent kompetentinga valdžios institucija dėl komercinės paslapties arba siekdama finansinio stabilumo leidžia taikyti trumpesnį terminą. Tame pranešime paaiškinamas operacijos poveikis indėlininkų apsaugai. </w:t>
      </w:r>
    </w:p>
    <w:p w:rsidR="000B604B" w:rsidRPr="00E22DDE" w:rsidRDefault="000B604B" w:rsidP="004226A9">
      <w:pPr>
        <w:pStyle w:val="Text2"/>
        <w:spacing w:line="360" w:lineRule="auto"/>
        <w:rPr>
          <w:lang w:val="lt-LT"/>
        </w:rPr>
      </w:pPr>
      <w:r w:rsidRPr="00E22DDE">
        <w:rPr>
          <w:lang w:val="lt-LT"/>
        </w:rPr>
        <w:t>Valstybės narės užtikrina, kad tais atvejais, kai dėl pirmoje pastraipoje nurodytų operacijų tose kredito įstaigose indėlių turintiems indėlininkams bus taikoma sumažinta indėlių apsauga, atitinkamos kredito įstaigos tiems indėlininkams praneštų, kad jie per tris mėnesius nuo pirmoje pastraipoje nurodyto pranešimo gali atsiimti savo reikalavimus atitinkančius indėlius, įskaitant visas sukauptas palūkanas ir išmokas, arba juos perkelti į kitą kredito įstaigą ir jiems nebus taikomos jokios nuobaudos, kai atsiimama indėlio suma yra lygi prarasto jų indėlių draudimo sumai.</w:t>
      </w:r>
    </w:p>
    <w:p w:rsidR="000B604B" w:rsidRPr="00E22DDE" w:rsidRDefault="000B604B" w:rsidP="004226A9">
      <w:pPr>
        <w:pStyle w:val="Text2"/>
        <w:spacing w:line="360" w:lineRule="auto"/>
        <w:rPr>
          <w:lang w:val="lt-LT"/>
        </w:rPr>
      </w:pPr>
      <w:r w:rsidRPr="00E22DDE">
        <w:rPr>
          <w:lang w:val="lt-LT"/>
        </w:rPr>
        <w:t xml:space="preserve">7. Valstybės narės užtikrina, kad kredito įstaigos, kurios nutraukia savo narystę IGS, apie tai informuotų savo indėlininkus likus bent vienam mėnesiui iki tokios narystės nutraukimo. </w:t>
      </w:r>
      <w:r w:rsidRPr="00E22DDE">
        <w:rPr>
          <w:b/>
          <w:i/>
          <w:lang w:val="lt-LT"/>
        </w:rPr>
        <w:t xml:space="preserve">Ši informacija apimtų ir narystės nutraukimo poveikio indėlininkų apsaugai paaiškinimą. </w:t>
      </w:r>
      <w:r w:rsidRPr="00E22DDE">
        <w:rPr>
          <w:b/>
          <w:bCs/>
          <w:i/>
          <w:iCs/>
          <w:lang w:val="lt-LT"/>
        </w:rPr>
        <w:t xml:space="preserve">Valstybės narės užtikrina, kad kredito </w:t>
      </w:r>
      <w:r w:rsidRPr="00E22DDE">
        <w:rPr>
          <w:b/>
          <w:bCs/>
          <w:i/>
          <w:iCs/>
          <w:lang w:val="lt-LT"/>
        </w:rPr>
        <w:lastRenderedPageBreak/>
        <w:t>įstaigos, kuri nustojo būti IGS narė, indėlininkai galėtų pervesti savo indėlius kitai įstaigai, priklausančiai tai pačiai IGS, nepatirdami jokių pervedimo išlaidų.“;</w:t>
      </w:r>
    </w:p>
    <w:p w:rsidR="000B604B" w:rsidRPr="00E22DDE" w:rsidRDefault="000B604B" w:rsidP="004226A9">
      <w:pPr>
        <w:pStyle w:val="Point1"/>
        <w:spacing w:line="360" w:lineRule="auto"/>
        <w:rPr>
          <w:lang w:val="lt-LT"/>
        </w:rPr>
      </w:pPr>
      <w:r w:rsidRPr="00E22DDE">
        <w:rPr>
          <w:lang w:val="lt-LT"/>
        </w:rPr>
        <w:t>g)</w:t>
      </w:r>
      <w:r w:rsidRPr="00E22DDE">
        <w:rPr>
          <w:lang w:val="lt-LT"/>
        </w:rPr>
        <w:tab/>
        <w:t>įterpiama 7a dalis:</w:t>
      </w:r>
    </w:p>
    <w:p w:rsidR="000B604B" w:rsidRPr="00E22DDE" w:rsidRDefault="000B604B" w:rsidP="004226A9">
      <w:pPr>
        <w:pStyle w:val="Text2"/>
        <w:spacing w:line="360" w:lineRule="auto"/>
        <w:rPr>
          <w:lang w:val="lt-LT"/>
        </w:rPr>
      </w:pPr>
      <w:r w:rsidRPr="00E22DDE">
        <w:rPr>
          <w:lang w:val="lt-LT"/>
        </w:rPr>
        <w:t>„7a. Valstybės narės užtikrina, kad paskirtos valdžios institucijos, IGS ir atitinkamos kredito įstaigos informuotų indėlininkus apie tai, kad atitinkama administracinė institucija priėmė sprendimą, nurodytą 2 straipsnio 1 dalies 8 punkto a papunktyje, arba kad teisminė institucija priėmė sprendimą, nurodytą 2 straipsnio 1 dalies 8 punkto b papunktyje, be kita ko, paskelbdamos šią informaciją savo interneto svetainėse.“;</w:t>
      </w:r>
    </w:p>
    <w:p w:rsidR="000B604B" w:rsidRPr="00E22DDE" w:rsidRDefault="000B604B" w:rsidP="004226A9">
      <w:pPr>
        <w:pStyle w:val="Point1"/>
        <w:spacing w:line="360" w:lineRule="auto"/>
        <w:rPr>
          <w:lang w:val="lt-LT"/>
        </w:rPr>
      </w:pPr>
      <w:r w:rsidRPr="00E22DDE">
        <w:rPr>
          <w:lang w:val="lt-LT"/>
        </w:rPr>
        <w:t>h)</w:t>
      </w:r>
      <w:r w:rsidRPr="00E22DDE">
        <w:rPr>
          <w:lang w:val="lt-LT"/>
        </w:rPr>
        <w:tab/>
        <w:t>8 dalis pakeičiama taip:</w:t>
      </w:r>
    </w:p>
    <w:p w:rsidR="000B604B" w:rsidRPr="00E22DDE" w:rsidRDefault="000B604B" w:rsidP="004226A9">
      <w:pPr>
        <w:pStyle w:val="Text2"/>
        <w:spacing w:line="360" w:lineRule="auto"/>
        <w:rPr>
          <w:lang w:val="lt-LT"/>
        </w:rPr>
      </w:pPr>
      <w:r w:rsidRPr="00E22DDE">
        <w:rPr>
          <w:lang w:val="lt-LT"/>
        </w:rPr>
        <w:t>„8. Valstybės narės užtikrina, kad tais atvejais, kai indėlininkas naudojasi elektronine bankininkyste, kredito įstaigos informaciją, kurią jos turi pateikti savo indėlininkams pagal šią direktyvą, teiktų elektroninėmis priemonėmis, išskyrus atvejus, kai indėlininkas paprašo tą informaciją jam pateikti popieriuje.“;</w:t>
      </w:r>
    </w:p>
    <w:p w:rsidR="000B604B" w:rsidRPr="00E22DDE" w:rsidRDefault="000B604B" w:rsidP="004226A9">
      <w:pPr>
        <w:pStyle w:val="Point1"/>
        <w:spacing w:line="360" w:lineRule="auto"/>
        <w:rPr>
          <w:lang w:val="lt-LT"/>
        </w:rPr>
      </w:pPr>
      <w:r w:rsidRPr="00E22DDE">
        <w:rPr>
          <w:lang w:val="lt-LT"/>
        </w:rPr>
        <w:t>i)</w:t>
      </w:r>
      <w:r w:rsidRPr="00E22DDE">
        <w:rPr>
          <w:lang w:val="lt-LT"/>
        </w:rPr>
        <w:tab/>
        <w:t>įterpiama 9 dalis:</w:t>
      </w:r>
    </w:p>
    <w:p w:rsidR="000B604B" w:rsidRPr="00E22DDE" w:rsidRDefault="000B604B" w:rsidP="004226A9">
      <w:pPr>
        <w:pStyle w:val="Text2"/>
        <w:spacing w:line="360" w:lineRule="auto"/>
        <w:rPr>
          <w:lang w:val="lt-LT"/>
        </w:rPr>
      </w:pPr>
      <w:r w:rsidRPr="00E22DDE">
        <w:rPr>
          <w:lang w:val="lt-LT"/>
        </w:rPr>
        <w:t>„9. EBI parengia techninių įgyvendinimo standartų projektus, kuriuose aiškiai apibrėžia:</w:t>
      </w:r>
    </w:p>
    <w:p w:rsidR="000B604B" w:rsidRPr="00E22DDE" w:rsidRDefault="000B604B" w:rsidP="004226A9">
      <w:pPr>
        <w:pStyle w:val="Point2"/>
        <w:spacing w:line="360" w:lineRule="auto"/>
        <w:rPr>
          <w:lang w:val="lt-LT"/>
        </w:rPr>
      </w:pPr>
      <w:r w:rsidRPr="00E22DDE">
        <w:rPr>
          <w:lang w:val="lt-LT"/>
        </w:rPr>
        <w:t>a)</w:t>
      </w:r>
      <w:r w:rsidRPr="00E22DDE">
        <w:rPr>
          <w:lang w:val="lt-LT"/>
        </w:rPr>
        <w:tab/>
        <w:t>1a dalyje nurodyto informacinio dokumento turinį ir formatą;</w:t>
      </w:r>
    </w:p>
    <w:p w:rsidR="000B604B" w:rsidRPr="00E22DDE" w:rsidRDefault="000B604B" w:rsidP="004226A9">
      <w:pPr>
        <w:pStyle w:val="Point2"/>
        <w:spacing w:line="360" w:lineRule="auto"/>
        <w:rPr>
          <w:lang w:val="lt-LT"/>
        </w:rPr>
      </w:pPr>
      <w:r w:rsidRPr="00E22DDE">
        <w:rPr>
          <w:lang w:val="lt-LT"/>
        </w:rPr>
        <w:t>b)</w:t>
      </w:r>
      <w:r w:rsidRPr="00E22DDE">
        <w:rPr>
          <w:lang w:val="lt-LT"/>
        </w:rPr>
        <w:tab/>
        <w:t>tvarką, kurios turi laikytis paskirtos valdžios institucijos, IGS ar kredito įstaigos teikdamos informaciją savo pranešimuose indėlininkams 8b ir 8c straipsniuose ir šio straipsnio 6, 7 ir 7a dalyse nurodytais atvejais, ir tos informacijos turinį.</w:t>
      </w:r>
    </w:p>
    <w:p w:rsidR="000B604B" w:rsidRPr="00E22DDE" w:rsidRDefault="000B604B" w:rsidP="004226A9">
      <w:pPr>
        <w:pStyle w:val="Text2"/>
        <w:spacing w:line="360" w:lineRule="auto"/>
        <w:rPr>
          <w:lang w:val="lt-LT"/>
        </w:rPr>
      </w:pPr>
      <w:r w:rsidRPr="00E22DDE">
        <w:rPr>
          <w:lang w:val="lt-LT"/>
        </w:rPr>
        <w:t xml:space="preserve">EBI tų įgyvendinimo standartų projektus pateikia Komisijai [Leidinių biuro prašoma įrašyti datą – 12 mėnesių po šios direktyvos įsigaliojimo dienos]. </w:t>
      </w:r>
    </w:p>
    <w:p w:rsidR="000B604B" w:rsidRPr="00E22DDE" w:rsidRDefault="000B604B" w:rsidP="004226A9">
      <w:pPr>
        <w:pStyle w:val="Text2"/>
        <w:spacing w:line="360" w:lineRule="auto"/>
        <w:rPr>
          <w:lang w:val="lt-LT"/>
        </w:rPr>
      </w:pPr>
      <w:r w:rsidRPr="00E22DDE">
        <w:rPr>
          <w:lang w:val="lt-LT"/>
        </w:rPr>
        <w:t>Komisijai pagal Reglamento (ES) Nr. 1093/2010 15 straipsnį suteikiami įgaliojimai priimti pirmoje pastraipoje nurodytus techninius įgyvendinimo standartus.“;</w:t>
      </w:r>
    </w:p>
    <w:p w:rsidR="000B604B" w:rsidRPr="00E22DDE" w:rsidRDefault="000B604B" w:rsidP="004226A9">
      <w:pPr>
        <w:pStyle w:val="Point0"/>
        <w:spacing w:line="360" w:lineRule="auto"/>
        <w:rPr>
          <w:lang w:val="lt-LT"/>
        </w:rPr>
      </w:pPr>
      <w:r w:rsidRPr="00E22DDE">
        <w:rPr>
          <w:lang w:val="lt-LT"/>
        </w:rPr>
        <w:t>18)</w:t>
      </w:r>
      <w:r w:rsidRPr="00E22DDE">
        <w:rPr>
          <w:lang w:val="lt-LT"/>
        </w:rPr>
        <w:tab/>
        <w:t>įterpiamas 16a straipsnis:</w:t>
      </w:r>
    </w:p>
    <w:p w:rsidR="000B604B" w:rsidRPr="00E22DDE" w:rsidRDefault="000B604B" w:rsidP="004226A9">
      <w:pPr>
        <w:pStyle w:val="Text1"/>
        <w:spacing w:line="360" w:lineRule="auto"/>
        <w:jc w:val="center"/>
        <w:rPr>
          <w:i/>
          <w:iCs/>
          <w:lang w:val="lt-LT"/>
        </w:rPr>
      </w:pPr>
      <w:r w:rsidRPr="00E22DDE">
        <w:rPr>
          <w:i/>
          <w:lang w:val="lt-LT"/>
        </w:rPr>
        <w:lastRenderedPageBreak/>
        <w:t>„16a straipsnis</w:t>
      </w:r>
    </w:p>
    <w:p w:rsidR="000B604B" w:rsidRPr="00E22DDE" w:rsidRDefault="000B604B" w:rsidP="004226A9">
      <w:pPr>
        <w:pStyle w:val="Text1"/>
        <w:spacing w:line="360" w:lineRule="auto"/>
        <w:jc w:val="center"/>
        <w:rPr>
          <w:b/>
          <w:lang w:val="lt-LT"/>
        </w:rPr>
      </w:pPr>
      <w:r w:rsidRPr="00E22DDE">
        <w:rPr>
          <w:b/>
          <w:lang w:val="lt-LT"/>
        </w:rPr>
        <w:t>Kredito įstaigų ir IGS keitimasis informacija ir valdžios institucijų teikiamos ataskaitos</w:t>
      </w:r>
    </w:p>
    <w:p w:rsidR="000B604B" w:rsidRPr="00E22DDE" w:rsidRDefault="000B604B" w:rsidP="004226A9">
      <w:pPr>
        <w:pStyle w:val="Text1"/>
        <w:spacing w:line="360" w:lineRule="auto"/>
        <w:rPr>
          <w:lang w:val="lt-LT"/>
        </w:rPr>
      </w:pPr>
      <w:r w:rsidRPr="00E22DDE">
        <w:rPr>
          <w:lang w:val="lt-LT"/>
        </w:rPr>
        <w:t xml:space="preserve">1. Valstybės narės užtikrina, kad IGS </w:t>
      </w:r>
      <w:r w:rsidRPr="00E22DDE">
        <w:rPr>
          <w:b/>
          <w:bCs/>
          <w:i/>
          <w:iCs/>
          <w:lang w:val="lt-LT"/>
        </w:rPr>
        <w:t>ne rečiau kaip kartą per metus ir</w:t>
      </w:r>
      <w:r w:rsidRPr="00E22DDE">
        <w:rPr>
          <w:lang w:val="lt-LT"/>
        </w:rPr>
        <w:t xml:space="preserve"> bet kuriuo metu pateikusios prašymą gautų iš savo dalyvaujančių kredito įstaigų visą informaciją, reikalingą pasirengti indėlių grąžinimui, laikantis 5 straipsnio 4 dalyje nustatyto indėlių nustatymo reikalavimo, įskaitant informaciją 8 straipsnio 5 dalies ir 8b bei 8c straipsnių tikslais. </w:t>
      </w:r>
    </w:p>
    <w:p w:rsidR="000B604B" w:rsidRPr="00E22DDE" w:rsidRDefault="000B604B" w:rsidP="004226A9">
      <w:pPr>
        <w:pStyle w:val="Text1"/>
        <w:spacing w:line="360" w:lineRule="auto"/>
        <w:rPr>
          <w:lang w:val="lt-LT"/>
        </w:rPr>
      </w:pPr>
      <w:r w:rsidRPr="00E22DDE">
        <w:rPr>
          <w:lang w:val="lt-LT"/>
        </w:rPr>
        <w:t xml:space="preserve">2. Valstybės narės užtikrina, kad kredito įstaigos </w:t>
      </w:r>
      <w:r w:rsidRPr="00E22DDE">
        <w:rPr>
          <w:b/>
          <w:bCs/>
          <w:i/>
          <w:iCs/>
          <w:lang w:val="lt-LT"/>
        </w:rPr>
        <w:t>bent kartą per metus ir bet kuriuo metu gavusios prašymą</w:t>
      </w:r>
      <w:r w:rsidRPr="00E22DDE">
        <w:rPr>
          <w:lang w:val="lt-LT"/>
        </w:rPr>
        <w:t xml:space="preserve"> teiktų IGS, kurios narės jos yra, informaciją apie:</w:t>
      </w:r>
    </w:p>
    <w:p w:rsidR="000B604B" w:rsidRPr="00E22DDE" w:rsidRDefault="000B604B" w:rsidP="004226A9">
      <w:pPr>
        <w:pStyle w:val="Point1"/>
        <w:spacing w:line="360" w:lineRule="auto"/>
        <w:rPr>
          <w:lang w:val="lt-LT"/>
        </w:rPr>
      </w:pPr>
      <w:r w:rsidRPr="00E22DDE">
        <w:rPr>
          <w:lang w:val="lt-LT"/>
        </w:rPr>
        <w:t>a)</w:t>
      </w:r>
      <w:r w:rsidRPr="00E22DDE">
        <w:rPr>
          <w:lang w:val="lt-LT"/>
        </w:rPr>
        <w:tab/>
        <w:t xml:space="preserve">tų kredito įstaigų filialų indėlininkus; </w:t>
      </w:r>
    </w:p>
    <w:p w:rsidR="000B604B" w:rsidRPr="00E22DDE" w:rsidRDefault="000B604B" w:rsidP="004226A9">
      <w:pPr>
        <w:pStyle w:val="Point1"/>
        <w:spacing w:line="360" w:lineRule="auto"/>
        <w:rPr>
          <w:lang w:val="lt-LT"/>
        </w:rPr>
      </w:pPr>
      <w:r w:rsidRPr="00E22DDE">
        <w:rPr>
          <w:lang w:val="lt-LT"/>
        </w:rPr>
        <w:t>b)</w:t>
      </w:r>
      <w:r w:rsidRPr="00E22DDE">
        <w:rPr>
          <w:lang w:val="lt-LT"/>
        </w:rPr>
        <w:tab/>
        <w:t>indėlininkus, kurie remiantis laisve teikti paslaugas yra įstaigų narių teikiamų paslaugų gavėjai.</w:t>
      </w:r>
    </w:p>
    <w:p w:rsidR="000B604B" w:rsidRPr="00E22DDE" w:rsidRDefault="000B604B" w:rsidP="004226A9">
      <w:pPr>
        <w:pStyle w:val="Text1"/>
        <w:spacing w:line="360" w:lineRule="auto"/>
        <w:rPr>
          <w:lang w:val="lt-LT"/>
        </w:rPr>
      </w:pPr>
      <w:r w:rsidRPr="00E22DDE">
        <w:rPr>
          <w:lang w:val="lt-LT"/>
        </w:rPr>
        <w:t>Informacijoje, nurodytoje a ir b punktuose, nurodomos valstybės narės, kuriose tie filialai arba indėlininkai yra.</w:t>
      </w:r>
    </w:p>
    <w:p w:rsidR="000B604B" w:rsidRPr="00E22DDE" w:rsidRDefault="000B604B" w:rsidP="004226A9">
      <w:pPr>
        <w:pStyle w:val="Text1"/>
        <w:spacing w:line="360" w:lineRule="auto"/>
        <w:rPr>
          <w:lang w:val="lt-LT"/>
        </w:rPr>
      </w:pPr>
      <w:r w:rsidRPr="00E22DDE">
        <w:rPr>
          <w:lang w:val="lt-LT"/>
        </w:rPr>
        <w:t>3. Valstybės narės užtikrina, kad kasmet iki kovo 31 d. IGS informuotų EBI apie apdraustųjų indėlių sumą jų valstybėje narėje praėjusių metų gruodžio 31 d. Taip pat iki tos pačios dienos IGS praneša EBI apie savo turimų finansinių išteklių sumą, įskaitant pasiskolintų išteklių dalį, mokėjimo įsipareigojimus ir tikslinio lygio pasiekimo</w:t>
      </w:r>
      <w:r w:rsidRPr="00E22DDE">
        <w:rPr>
          <w:b/>
          <w:bCs/>
          <w:i/>
          <w:iCs/>
          <w:lang w:val="lt-LT"/>
        </w:rPr>
        <w:t>, išmokėjus 10 straipsnio 2 dalyje nurodytas IGS lėšas,</w:t>
      </w:r>
      <w:r w:rsidRPr="00E22DDE">
        <w:rPr>
          <w:lang w:val="lt-LT"/>
        </w:rPr>
        <w:t xml:space="preserve"> tvarkaraštį. </w:t>
      </w:r>
    </w:p>
    <w:p w:rsidR="000B604B" w:rsidRPr="00E22DDE" w:rsidRDefault="000B604B" w:rsidP="004226A9">
      <w:pPr>
        <w:pStyle w:val="Text1"/>
        <w:spacing w:line="360" w:lineRule="auto"/>
        <w:rPr>
          <w:lang w:val="lt-LT"/>
        </w:rPr>
      </w:pPr>
      <w:r w:rsidRPr="00E22DDE">
        <w:rPr>
          <w:lang w:val="lt-LT"/>
        </w:rPr>
        <w:t xml:space="preserve">4. Valstybės narės užtikrina, kad paskirtos valdžios institucijos nepagrįstai nedelsdamos praneštų EBI </w:t>
      </w:r>
      <w:r w:rsidRPr="00E22DDE">
        <w:rPr>
          <w:b/>
          <w:bCs/>
          <w:i/>
          <w:iCs/>
          <w:lang w:val="lt-LT"/>
        </w:rPr>
        <w:t>ir Bendrai pertvarkymo valdybai (BPV)</w:t>
      </w:r>
      <w:r w:rsidRPr="00E22DDE">
        <w:rPr>
          <w:lang w:val="lt-LT"/>
        </w:rPr>
        <w:t xml:space="preserve"> apie:</w:t>
      </w:r>
    </w:p>
    <w:p w:rsidR="000B604B" w:rsidRPr="00E22DDE" w:rsidRDefault="000B604B" w:rsidP="004226A9">
      <w:pPr>
        <w:pStyle w:val="Point1"/>
        <w:spacing w:line="360" w:lineRule="auto"/>
        <w:rPr>
          <w:lang w:val="lt-LT"/>
        </w:rPr>
      </w:pPr>
      <w:r w:rsidRPr="00E22DDE">
        <w:rPr>
          <w:lang w:val="lt-LT"/>
        </w:rPr>
        <w:t>a)</w:t>
      </w:r>
      <w:r w:rsidRPr="00E22DDE">
        <w:rPr>
          <w:lang w:val="lt-LT"/>
        </w:rPr>
        <w:tab/>
        <w:t>nustatytus negrąžinamus indėlius 2 straipsnio 1 dalies 8 punkte nurodytomis aplinkybėmis;</w:t>
      </w:r>
    </w:p>
    <w:p w:rsidR="000B604B" w:rsidRPr="00E22DDE" w:rsidRDefault="000B604B" w:rsidP="004226A9">
      <w:pPr>
        <w:pStyle w:val="Point1"/>
        <w:spacing w:line="360" w:lineRule="auto"/>
        <w:rPr>
          <w:lang w:val="lt-LT"/>
        </w:rPr>
      </w:pPr>
      <w:r w:rsidRPr="00E22DDE">
        <w:rPr>
          <w:lang w:val="lt-LT"/>
        </w:rPr>
        <w:t>b)</w:t>
      </w:r>
      <w:r w:rsidRPr="00E22DDE">
        <w:rPr>
          <w:lang w:val="lt-LT"/>
        </w:rPr>
        <w:tab/>
        <w:t>tai, ar buvo taikyta kuri nors iš 11 straipsnio 2, 3 ir 5 dalyse nurodytų priemonių, ir apie pagal 8 straipsnio 1 dalį ir 11 straipsnio 2, 3 ir 5 dalis panaudotą lėšų sumą, taip pat, kai taikytina ir kai bus gauta informacija, apie susigrąžintų lėšų sumą, dėl to IGS patirtas išlaidas ir susigrąžinimo proceso trukmę;</w:t>
      </w:r>
    </w:p>
    <w:p w:rsidR="000B604B" w:rsidRPr="00E22DDE" w:rsidRDefault="000B604B" w:rsidP="004226A9">
      <w:pPr>
        <w:pStyle w:val="Point1"/>
        <w:spacing w:line="360" w:lineRule="auto"/>
        <w:rPr>
          <w:lang w:val="lt-LT"/>
        </w:rPr>
      </w:pPr>
      <w:r w:rsidRPr="00E22DDE">
        <w:rPr>
          <w:lang w:val="lt-LT"/>
        </w:rPr>
        <w:t>c)</w:t>
      </w:r>
      <w:r w:rsidRPr="00E22DDE">
        <w:rPr>
          <w:lang w:val="lt-LT"/>
        </w:rPr>
        <w:tab/>
        <w:t>alternatyvių finansavimo priemonių prieinamumą ir naudojimą, kaip nurodyta 10 straipsnio 3 dalyje;</w:t>
      </w:r>
    </w:p>
    <w:p w:rsidR="000B604B" w:rsidRPr="00E22DDE" w:rsidRDefault="000B604B" w:rsidP="004226A9">
      <w:pPr>
        <w:pStyle w:val="Point1"/>
        <w:spacing w:line="360" w:lineRule="auto"/>
        <w:rPr>
          <w:lang w:val="lt-LT"/>
        </w:rPr>
      </w:pPr>
      <w:r w:rsidRPr="00E22DDE">
        <w:rPr>
          <w:lang w:val="lt-LT"/>
        </w:rPr>
        <w:lastRenderedPageBreak/>
        <w:t>d)</w:t>
      </w:r>
      <w:r w:rsidRPr="00E22DDE">
        <w:rPr>
          <w:lang w:val="lt-LT"/>
        </w:rPr>
        <w:tab/>
        <w:t>visas IGS, nutraukusias veiklą, arba įsteigtas naujas IGS, be kita ko, dėl susijungimo arba dėl to, kad IGS pradėjo veikti tarpvalstybiniu mastu.</w:t>
      </w:r>
    </w:p>
    <w:p w:rsidR="000B604B" w:rsidRPr="00E22DDE" w:rsidRDefault="000B604B" w:rsidP="004226A9">
      <w:pPr>
        <w:pStyle w:val="Text1"/>
        <w:spacing w:line="360" w:lineRule="auto"/>
        <w:rPr>
          <w:lang w:val="lt-LT"/>
        </w:rPr>
      </w:pPr>
      <w:r w:rsidRPr="00E22DDE">
        <w:rPr>
          <w:lang w:val="lt-LT"/>
        </w:rPr>
        <w:t>Pirmoje pastraipoje nurodytame pranešime pateikiama santrauka, kurioje aprašoma:</w:t>
      </w:r>
    </w:p>
    <w:p w:rsidR="000B604B" w:rsidRPr="00E22DDE" w:rsidRDefault="000B604B" w:rsidP="004226A9">
      <w:pPr>
        <w:pStyle w:val="Point1"/>
        <w:spacing w:line="360" w:lineRule="auto"/>
        <w:rPr>
          <w:lang w:val="lt-LT"/>
        </w:rPr>
      </w:pPr>
      <w:r w:rsidRPr="00E22DDE">
        <w:rPr>
          <w:lang w:val="lt-LT"/>
        </w:rPr>
        <w:t>a)</w:t>
      </w:r>
      <w:r w:rsidRPr="00E22DDE">
        <w:rPr>
          <w:lang w:val="lt-LT"/>
        </w:rPr>
        <w:tab/>
        <w:t>pradinė kredito įstaigos padėtis;</w:t>
      </w:r>
    </w:p>
    <w:p w:rsidR="000B604B" w:rsidRPr="00E22DDE" w:rsidRDefault="000B604B" w:rsidP="004226A9">
      <w:pPr>
        <w:pStyle w:val="Point1"/>
        <w:spacing w:line="360" w:lineRule="auto"/>
        <w:rPr>
          <w:lang w:val="lt-LT"/>
        </w:rPr>
      </w:pPr>
      <w:r w:rsidRPr="00E22DDE">
        <w:rPr>
          <w:lang w:val="lt-LT"/>
        </w:rPr>
        <w:t>b)</w:t>
      </w:r>
      <w:r w:rsidRPr="00E22DDE">
        <w:rPr>
          <w:lang w:val="lt-LT"/>
        </w:rPr>
        <w:tab/>
        <w:t>priemonės, kurioms buvo panaudotos IGS lėšos</w:t>
      </w:r>
      <w:r w:rsidRPr="00E22DDE">
        <w:rPr>
          <w:b/>
          <w:bCs/>
          <w:i/>
          <w:iCs/>
          <w:lang w:val="lt-LT"/>
        </w:rPr>
        <w:t>, įskaitant konkrečias priemones, kurios buvo naudojamos 11 straipsnio 2, 3 ir 5 dalyse nurodytoms priemonėms</w:t>
      </w:r>
      <w:r w:rsidRPr="00E22DDE">
        <w:rPr>
          <w:lang w:val="lt-LT"/>
        </w:rPr>
        <w:t>;</w:t>
      </w:r>
    </w:p>
    <w:p w:rsidR="000B604B" w:rsidRPr="00E22DDE" w:rsidRDefault="000B604B" w:rsidP="004226A9">
      <w:pPr>
        <w:pStyle w:val="Point1"/>
        <w:spacing w:line="360" w:lineRule="auto"/>
        <w:rPr>
          <w:lang w:val="lt-LT"/>
        </w:rPr>
      </w:pPr>
      <w:r w:rsidRPr="00E22DDE">
        <w:rPr>
          <w:lang w:val="lt-LT"/>
        </w:rPr>
        <w:t>c)</w:t>
      </w:r>
      <w:r w:rsidRPr="00E22DDE">
        <w:rPr>
          <w:lang w:val="lt-LT"/>
        </w:rPr>
        <w:tab/>
        <w:t>numatoma turimų finansinių išteklių suma.</w:t>
      </w:r>
    </w:p>
    <w:p w:rsidR="000B604B" w:rsidRPr="00E22DDE" w:rsidRDefault="000B604B" w:rsidP="004226A9">
      <w:pPr>
        <w:pStyle w:val="Text1"/>
        <w:spacing w:line="360" w:lineRule="auto"/>
        <w:rPr>
          <w:lang w:val="lt-LT"/>
        </w:rPr>
      </w:pPr>
      <w:r w:rsidRPr="00E22DDE">
        <w:rPr>
          <w:lang w:val="lt-LT"/>
        </w:rPr>
        <w:t>5. EBI nepagrįstai nedelsdama paskelbia pagal 2 ir 3 dalis gautą informaciją ir 4 dalyje nurodytą santrauką.</w:t>
      </w:r>
    </w:p>
    <w:p w:rsidR="000B604B" w:rsidRPr="00E22DDE" w:rsidRDefault="000B604B" w:rsidP="004226A9">
      <w:pPr>
        <w:pStyle w:val="Text1"/>
        <w:spacing w:line="360" w:lineRule="auto"/>
        <w:rPr>
          <w:lang w:val="lt-LT"/>
        </w:rPr>
      </w:pPr>
      <w:r w:rsidRPr="00E22DDE">
        <w:rPr>
          <w:lang w:val="lt-LT"/>
        </w:rPr>
        <w:t xml:space="preserve">6. Valstybės narės užtikrina, kad kredito įstaigų, kurios yra IGS narės, pertvarkymo institucijos </w:t>
      </w:r>
      <w:r w:rsidRPr="00E22DDE">
        <w:rPr>
          <w:b/>
          <w:bCs/>
          <w:i/>
          <w:iCs/>
          <w:lang w:val="lt-LT"/>
        </w:rPr>
        <w:t>kasmet</w:t>
      </w:r>
      <w:r w:rsidRPr="00E22DDE">
        <w:rPr>
          <w:lang w:val="lt-LT"/>
        </w:rPr>
        <w:t xml:space="preserve"> pateiktų tai IGS pertvarkymo planų pagrindinių elementų santrauką, kaip nurodyta Direktyvos 2014/59/ES 10 straipsnio 7 dalies a punkte</w:t>
      </w:r>
      <w:r w:rsidR="003D0DE8" w:rsidRPr="00E22DDE">
        <w:rPr>
          <w:lang w:val="lt-LT"/>
        </w:rPr>
        <w:t xml:space="preserve"> ▌</w:t>
      </w:r>
      <w:r w:rsidRPr="00E22DDE">
        <w:rPr>
          <w:lang w:val="lt-LT"/>
        </w:rPr>
        <w:t>.</w:t>
      </w:r>
      <w:r w:rsidR="003D0DE8" w:rsidRPr="00E22DDE">
        <w:rPr>
          <w:lang w:val="lt-LT"/>
        </w:rPr>
        <w:t xml:space="preserve"> </w:t>
      </w:r>
    </w:p>
    <w:p w:rsidR="000B604B" w:rsidRPr="00E22DDE" w:rsidRDefault="000B604B" w:rsidP="004226A9">
      <w:pPr>
        <w:pStyle w:val="Text1"/>
        <w:spacing w:line="360" w:lineRule="auto"/>
        <w:rPr>
          <w:lang w:val="lt-LT"/>
        </w:rPr>
      </w:pPr>
      <w:r w:rsidRPr="00E22DDE">
        <w:rPr>
          <w:lang w:val="lt-LT"/>
        </w:rPr>
        <w:t xml:space="preserve">7. EBI parengia techninių įgyvendinimo standartų, kuriais nustato procedūras, kurių reikia laikytis teikiant 1–4 dalyse nurodytą informaciją, tos informacijos teikimo šablonus ir tos informacijos turinį, projektus, atsižvelgdama į indėlininkų rūšis. </w:t>
      </w:r>
    </w:p>
    <w:p w:rsidR="000B604B" w:rsidRPr="00E22DDE" w:rsidRDefault="000B604B" w:rsidP="004226A9">
      <w:pPr>
        <w:pStyle w:val="Text1"/>
        <w:spacing w:line="360" w:lineRule="auto"/>
        <w:rPr>
          <w:lang w:val="lt-LT"/>
        </w:rPr>
      </w:pPr>
      <w:r w:rsidRPr="00E22DDE">
        <w:rPr>
          <w:lang w:val="lt-LT"/>
        </w:rPr>
        <w:t>EBI tų techninių įgyvendinimo standartų projektus Komisijai pateikia ne vėliau kaip [Leidinių biuro prašoma įrašyti datą – 12 mėnesių po šios direktyvos įsigaliojimo dienos].</w:t>
      </w:r>
    </w:p>
    <w:p w:rsidR="000B604B" w:rsidRPr="00E22DDE" w:rsidRDefault="000B604B" w:rsidP="004226A9">
      <w:pPr>
        <w:pStyle w:val="Text1"/>
        <w:spacing w:line="360" w:lineRule="auto"/>
        <w:rPr>
          <w:lang w:val="lt-LT"/>
        </w:rPr>
      </w:pPr>
      <w:r w:rsidRPr="00E22DDE">
        <w:rPr>
          <w:lang w:val="lt-LT"/>
        </w:rPr>
        <w:t>Komisijai pagal Reglamento (ES) Nr. 1093/2010 15 straipsnį suteikiami įgaliojimai priimti pirmoje pastraipoje nurodytus techninius įgyvendinimo standartus.“;</w:t>
      </w:r>
    </w:p>
    <w:p w:rsidR="000B604B" w:rsidRPr="00E22DDE" w:rsidRDefault="000B604B" w:rsidP="004226A9">
      <w:pPr>
        <w:pStyle w:val="Point0"/>
        <w:spacing w:line="360" w:lineRule="auto"/>
        <w:rPr>
          <w:lang w:val="lt-LT"/>
        </w:rPr>
      </w:pPr>
      <w:r w:rsidRPr="00E22DDE">
        <w:rPr>
          <w:lang w:val="lt-LT"/>
        </w:rPr>
        <w:t>19)</w:t>
      </w:r>
      <w:r w:rsidRPr="00E22DDE">
        <w:rPr>
          <w:lang w:val="lt-LT"/>
        </w:rPr>
        <w:tab/>
        <w:t>I priedas išbraukiamas.</w:t>
      </w:r>
    </w:p>
    <w:p w:rsidR="000B604B" w:rsidRPr="00E22DDE" w:rsidRDefault="000B604B" w:rsidP="004226A9">
      <w:pPr>
        <w:pStyle w:val="Titrearticle"/>
        <w:keepLines/>
        <w:spacing w:line="360" w:lineRule="auto"/>
        <w:rPr>
          <w:lang w:val="lt-LT"/>
        </w:rPr>
      </w:pPr>
      <w:r w:rsidRPr="00E22DDE">
        <w:rPr>
          <w:lang w:val="lt-LT"/>
        </w:rPr>
        <w:t>2 straipsnis</w:t>
      </w:r>
    </w:p>
    <w:p w:rsidR="000B604B" w:rsidRPr="00E22DDE" w:rsidRDefault="000B604B" w:rsidP="004226A9">
      <w:pPr>
        <w:keepLines/>
        <w:spacing w:line="360" w:lineRule="auto"/>
        <w:jc w:val="center"/>
        <w:rPr>
          <w:b/>
          <w:bCs/>
          <w:szCs w:val="24"/>
        </w:rPr>
      </w:pPr>
      <w:r w:rsidRPr="00E22DDE">
        <w:rPr>
          <w:b/>
        </w:rPr>
        <w:t>Pereinamojo laikotarpio nuostatos</w:t>
      </w:r>
    </w:p>
    <w:p w:rsidR="000B604B" w:rsidRPr="00E22DDE" w:rsidRDefault="000B604B" w:rsidP="004226A9">
      <w:pPr>
        <w:pStyle w:val="ManualNumPar1"/>
        <w:spacing w:line="360" w:lineRule="auto"/>
        <w:rPr>
          <w:lang w:val="lt-LT"/>
        </w:rPr>
      </w:pPr>
      <w:r w:rsidRPr="00E22DDE">
        <w:rPr>
          <w:lang w:val="lt-LT"/>
        </w:rPr>
        <w:t>1.</w:t>
      </w:r>
      <w:r w:rsidRPr="00E22DDE">
        <w:rPr>
          <w:lang w:val="lt-LT"/>
        </w:rPr>
        <w:tab/>
        <w:t xml:space="preserve">Valstybės narės užtikrina, kad kredito įstaigų, kurių pagrindinė buveinė yra ne Sąjungoje ir kurios priima reikalavimus atitinkančius indėlius valstybėje narėje [Leidinių biuro prašoma įrašyti datą – įsigaliojimo data], filialai, kurie tą dieną nėra IGS nariai, iki [Leidinių biuro prašoma įrašyti datą – 3 mėnesiai po įsigaliojimo dienos] prisijungtų prie jų teritorijoje veikiančios IGS. 1 straipsnio 15 dalis tiems </w:t>
      </w:r>
      <w:r w:rsidRPr="00E22DDE">
        <w:rPr>
          <w:lang w:val="lt-LT"/>
        </w:rPr>
        <w:lastRenderedPageBreak/>
        <w:t>filialams netaikoma iki [Leidinių biuro prašoma įrašyti datą – 3 mėnesiai po įsigaliojimo].</w:t>
      </w:r>
    </w:p>
    <w:p w:rsidR="000B604B" w:rsidRPr="00E22DDE" w:rsidRDefault="000B604B" w:rsidP="004226A9">
      <w:pPr>
        <w:pStyle w:val="ManualNumPar1"/>
        <w:spacing w:line="360" w:lineRule="auto"/>
        <w:rPr>
          <w:rFonts w:eastAsia="Times New Roman"/>
          <w:lang w:val="lt-LT"/>
        </w:rPr>
      </w:pPr>
      <w:r w:rsidRPr="00E22DDE">
        <w:rPr>
          <w:lang w:val="lt-LT"/>
        </w:rPr>
        <w:t>2.</w:t>
      </w:r>
      <w:r w:rsidRPr="00E22DDE">
        <w:rPr>
          <w:lang w:val="lt-LT"/>
        </w:rPr>
        <w:tab/>
        <w:t xml:space="preserve">Nukrypstant nuo Direktyvos 2014/49/ES su pakeitimais, padarytais šia direktyva, 11 straipsnio 3 dalies ir 11a, 11b, 11c ir 11e straipsnių, susijusių su prevencinėmis priemonėmis, valstybės narės gali leisti iki [Leidinių biuro prašoma įrašyti datą – </w:t>
      </w:r>
      <w:r w:rsidRPr="00E22DDE">
        <w:rPr>
          <w:b/>
          <w:bCs/>
          <w:i/>
          <w:iCs/>
          <w:lang w:val="lt-LT"/>
        </w:rPr>
        <w:t>36</w:t>
      </w:r>
      <w:r w:rsidRPr="00E22DDE">
        <w:rPr>
          <w:lang w:val="lt-LT"/>
        </w:rPr>
        <w:t xml:space="preserve"> mėnesiai po šios direktyvos įsigaliojimo dienos] 1 straipsnio 1 dalies c punkte nurodytai IUS laikytis nacionalinių nuostatų, kuriomis įgyvendinama Direktyvos 2014/49/ES 11 straipsnio 3 dalis, taikoma [Leidinių biuro prašoma įrašyti šios direktyvos įsigaliojimo datą].</w:t>
      </w:r>
    </w:p>
    <w:p w:rsidR="000B604B" w:rsidRPr="00E22DDE" w:rsidRDefault="000B604B" w:rsidP="004226A9">
      <w:pPr>
        <w:pStyle w:val="Titrearticle"/>
        <w:keepLines/>
        <w:spacing w:line="360" w:lineRule="auto"/>
        <w:rPr>
          <w:lang w:val="lt-LT"/>
        </w:rPr>
      </w:pPr>
      <w:bookmarkStart w:id="20" w:name="_Hlk125725253"/>
      <w:r w:rsidRPr="00E22DDE">
        <w:rPr>
          <w:lang w:val="lt-LT"/>
        </w:rPr>
        <w:t>3 straipsnis</w:t>
      </w:r>
    </w:p>
    <w:p w:rsidR="000B604B" w:rsidRPr="00E22DDE" w:rsidRDefault="000B604B" w:rsidP="004226A9">
      <w:pPr>
        <w:pStyle w:val="Titrearticle"/>
        <w:spacing w:line="360" w:lineRule="auto"/>
        <w:rPr>
          <w:b/>
          <w:i w:val="0"/>
          <w:lang w:val="lt-LT"/>
        </w:rPr>
      </w:pPr>
      <w:r w:rsidRPr="00E22DDE">
        <w:rPr>
          <w:b/>
          <w:i w:val="0"/>
          <w:lang w:val="lt-LT"/>
        </w:rPr>
        <w:t>Perkėlimas į nacionalinę teisę</w:t>
      </w:r>
    </w:p>
    <w:p w:rsidR="000B604B" w:rsidRPr="00E22DDE" w:rsidRDefault="000B604B" w:rsidP="004226A9">
      <w:pPr>
        <w:pStyle w:val="ManualNumPar1"/>
        <w:spacing w:line="360" w:lineRule="auto"/>
        <w:rPr>
          <w:lang w:val="lt-LT"/>
        </w:rPr>
      </w:pPr>
      <w:r w:rsidRPr="00E22DDE">
        <w:rPr>
          <w:lang w:val="lt-LT"/>
        </w:rPr>
        <w:t>1.</w:t>
      </w:r>
      <w:r w:rsidRPr="00E22DDE">
        <w:rPr>
          <w:lang w:val="lt-LT"/>
        </w:rPr>
        <w:tab/>
        <w:t>Valstybės narės ne vėliau kaip [Leidinių biuro prašoma įrašyti datą – 24 mėnesiai po šios direktyvos įsigaliojimo dienos] priima ir paskelbia įstatymus ir kitus teisės aktus, būtinus, kad būtų laikomasi šios direktyvos. Jos nedelsdamos pateikia Komisijai tų teisės aktų nuostatų tekstą.</w:t>
      </w:r>
    </w:p>
    <w:p w:rsidR="000B604B" w:rsidRPr="00E22DDE" w:rsidRDefault="000B604B" w:rsidP="004226A9">
      <w:pPr>
        <w:pStyle w:val="Text1"/>
        <w:spacing w:line="360" w:lineRule="auto"/>
        <w:rPr>
          <w:lang w:val="lt-LT"/>
        </w:rPr>
      </w:pPr>
      <w:r w:rsidRPr="00E22DDE">
        <w:rPr>
          <w:lang w:val="lt-LT"/>
        </w:rPr>
        <w:t xml:space="preserve">Tas nuostatas jos taiko nuo [Leidinių biuro prašoma įrašyti datą – 24 mėnesiai po šios direktyvos įsigaliojimo dienos]. Tačiau nuostatas, būtinas, kad būtų laikomasi 11 straipsnio 3 dalies su pakeitimais, padarytais šia direktyva, ir 11a, 11b, 11c ir 11e straipsnius, kiek tai susiję su prevencinėmis priemonėmis, jos taiko nuo ... [Leidinių biuro prašoma įrašyti datą – </w:t>
      </w:r>
      <w:r w:rsidRPr="00E22DDE">
        <w:rPr>
          <w:b/>
          <w:bCs/>
          <w:i/>
          <w:iCs/>
          <w:lang w:val="lt-LT"/>
        </w:rPr>
        <w:t>36</w:t>
      </w:r>
      <w:r w:rsidRPr="00E22DDE">
        <w:rPr>
          <w:lang w:val="lt-LT"/>
        </w:rPr>
        <w:t xml:space="preserve"> mėnesiai po šios direktyvos įsigaliojimo dienos].</w:t>
      </w:r>
    </w:p>
    <w:p w:rsidR="000B604B" w:rsidRPr="00E22DDE" w:rsidRDefault="000B604B" w:rsidP="004226A9">
      <w:pPr>
        <w:pStyle w:val="Text1"/>
        <w:spacing w:line="360" w:lineRule="auto"/>
        <w:rPr>
          <w:lang w:val="lt-LT"/>
        </w:rPr>
      </w:pPr>
      <w:r w:rsidRPr="00E22DDE">
        <w:rPr>
          <w:lang w:val="lt-LT"/>
        </w:rPr>
        <w:t>Valstybės narės, priimdamos tas nuostatas, daro jose nuorodą į šią direktyvą arba tokia nuoroda daroma jas oficialiai skelbiant. Nuorodos darymo tvarką nustato valstybės narės.</w:t>
      </w:r>
    </w:p>
    <w:p w:rsidR="000B604B" w:rsidRPr="00E22DDE" w:rsidRDefault="000B604B" w:rsidP="004226A9">
      <w:pPr>
        <w:pStyle w:val="ManualNumPar1"/>
        <w:spacing w:line="360" w:lineRule="auto"/>
        <w:rPr>
          <w:lang w:val="lt-LT"/>
        </w:rPr>
      </w:pPr>
      <w:r w:rsidRPr="00E22DDE">
        <w:rPr>
          <w:lang w:val="lt-LT"/>
        </w:rPr>
        <w:t>2.</w:t>
      </w:r>
      <w:r w:rsidRPr="00E22DDE">
        <w:rPr>
          <w:lang w:val="lt-LT"/>
        </w:rPr>
        <w:tab/>
        <w:t>Valstybės narės pateikia Komisijai šios direktyvos taikymo srityje priimtų nacionalinės teisės aktų pagrindinių nuostatų tekstus.</w:t>
      </w:r>
    </w:p>
    <w:bookmarkEnd w:id="20"/>
    <w:p w:rsidR="000B604B" w:rsidRPr="00E22DDE" w:rsidRDefault="000B604B" w:rsidP="004226A9">
      <w:pPr>
        <w:pStyle w:val="Titrearticle"/>
        <w:spacing w:line="360" w:lineRule="auto"/>
        <w:rPr>
          <w:lang w:val="lt-LT"/>
        </w:rPr>
      </w:pPr>
      <w:r w:rsidRPr="00E22DDE">
        <w:rPr>
          <w:lang w:val="lt-LT"/>
        </w:rPr>
        <w:lastRenderedPageBreak/>
        <w:t>4 straipsnis</w:t>
      </w:r>
    </w:p>
    <w:p w:rsidR="000B604B" w:rsidRPr="00E22DDE" w:rsidRDefault="000B604B" w:rsidP="004226A9">
      <w:pPr>
        <w:pStyle w:val="Titrearticle"/>
        <w:spacing w:line="360" w:lineRule="auto"/>
        <w:rPr>
          <w:b/>
          <w:i w:val="0"/>
          <w:lang w:val="lt-LT"/>
        </w:rPr>
      </w:pPr>
      <w:r w:rsidRPr="00E22DDE">
        <w:rPr>
          <w:b/>
          <w:i w:val="0"/>
          <w:lang w:val="lt-LT"/>
        </w:rPr>
        <w:t>Įsigaliojimas</w:t>
      </w:r>
    </w:p>
    <w:p w:rsidR="000B604B" w:rsidRPr="00E22DDE" w:rsidRDefault="000B604B" w:rsidP="004226A9">
      <w:pPr>
        <w:spacing w:line="360" w:lineRule="auto"/>
      </w:pPr>
      <w:r w:rsidRPr="00E22DDE">
        <w:t xml:space="preserve">Ši direktyva įsigalioja dvidešimtą dieną po jos paskelbimo </w:t>
      </w:r>
      <w:r w:rsidRPr="00E22DDE">
        <w:rPr>
          <w:i/>
          <w:iCs/>
        </w:rPr>
        <w:t>Europos Sąjungos oficialiajame leidinyje</w:t>
      </w:r>
      <w:r w:rsidRPr="00E22DDE">
        <w:t>.</w:t>
      </w:r>
    </w:p>
    <w:p w:rsidR="000B604B" w:rsidRPr="00E22DDE" w:rsidRDefault="000B604B" w:rsidP="004226A9">
      <w:pPr>
        <w:pStyle w:val="Titrearticle"/>
        <w:spacing w:line="360" w:lineRule="auto"/>
        <w:rPr>
          <w:lang w:val="lt-LT"/>
        </w:rPr>
      </w:pPr>
      <w:r w:rsidRPr="00E22DDE">
        <w:rPr>
          <w:lang w:val="lt-LT"/>
        </w:rPr>
        <w:t>5 straipsnis</w:t>
      </w:r>
    </w:p>
    <w:p w:rsidR="000B604B" w:rsidRPr="00E22DDE" w:rsidRDefault="000B604B" w:rsidP="004226A9">
      <w:pPr>
        <w:spacing w:before="360" w:after="120" w:line="360" w:lineRule="auto"/>
        <w:jc w:val="center"/>
      </w:pPr>
      <w:r w:rsidRPr="00E22DDE">
        <w:rPr>
          <w:b/>
        </w:rPr>
        <w:t>Adresatai</w:t>
      </w:r>
    </w:p>
    <w:p w:rsidR="000B604B" w:rsidRPr="00E22DDE" w:rsidRDefault="000B604B" w:rsidP="004226A9">
      <w:pPr>
        <w:keepNext/>
        <w:keepLines/>
        <w:spacing w:line="360" w:lineRule="auto"/>
      </w:pPr>
      <w:r w:rsidRPr="00E22DDE">
        <w:t>Ši direktyva skirta valstybėms narėms.</w:t>
      </w:r>
    </w:p>
    <w:p w:rsidR="000B604B" w:rsidRPr="00E22DDE" w:rsidRDefault="000B604B" w:rsidP="004226A9">
      <w:pPr>
        <w:pStyle w:val="Fait"/>
        <w:spacing w:line="360" w:lineRule="auto"/>
        <w:rPr>
          <w:lang w:val="lt-LT"/>
        </w:rPr>
      </w:pPr>
      <w:r w:rsidRPr="00E22DDE">
        <w:rPr>
          <w:lang w:val="lt-LT"/>
        </w:rPr>
        <w:t xml:space="preserve">Priimta </w:t>
      </w:r>
      <w:r w:rsidR="0017050E">
        <w:rPr>
          <w:lang w:val="lt-LT"/>
        </w:rPr>
        <w:t>…</w:t>
      </w:r>
    </w:p>
    <w:p w:rsidR="000B604B" w:rsidRPr="00E22DDE" w:rsidRDefault="000B604B" w:rsidP="004226A9">
      <w:pPr>
        <w:pStyle w:val="Institutionquisigne"/>
        <w:spacing w:line="360" w:lineRule="auto"/>
        <w:rPr>
          <w:lang w:val="lt-LT"/>
        </w:rPr>
      </w:pPr>
      <w:r w:rsidRPr="00E22DDE">
        <w:rPr>
          <w:lang w:val="lt-LT"/>
        </w:rPr>
        <w:t>Europos Parlamento vardu</w:t>
      </w:r>
      <w:r w:rsidRPr="00E22DDE">
        <w:rPr>
          <w:lang w:val="lt-LT"/>
        </w:rPr>
        <w:tab/>
        <w:t>Tarybos vardu</w:t>
      </w:r>
    </w:p>
    <w:p w:rsidR="00E365E1" w:rsidRPr="00E22DDE" w:rsidRDefault="000B604B" w:rsidP="0017050E">
      <w:pPr>
        <w:spacing w:line="360" w:lineRule="auto"/>
      </w:pPr>
      <w:r w:rsidRPr="00E22DDE">
        <w:rPr>
          <w:i/>
        </w:rPr>
        <w:t>Pirmininkė</w:t>
      </w:r>
      <w:r w:rsidRPr="00E22DDE">
        <w:rPr>
          <w:i/>
        </w:rPr>
        <w:tab/>
      </w:r>
      <w:r w:rsidR="007D6D52" w:rsidRPr="00E22DDE">
        <w:rPr>
          <w:i/>
        </w:rPr>
        <w:tab/>
      </w:r>
      <w:r w:rsidR="007D6D52" w:rsidRPr="00E22DDE">
        <w:rPr>
          <w:i/>
        </w:rPr>
        <w:tab/>
      </w:r>
      <w:r w:rsidR="0017050E">
        <w:rPr>
          <w:i/>
        </w:rPr>
        <w:tab/>
      </w:r>
      <w:r w:rsidR="0017050E">
        <w:rPr>
          <w:i/>
        </w:rPr>
        <w:tab/>
      </w:r>
      <w:bookmarkStart w:id="21" w:name="_GoBack"/>
      <w:bookmarkEnd w:id="21"/>
      <w:r w:rsidRPr="00E22DDE">
        <w:rPr>
          <w:i/>
        </w:rPr>
        <w:t>Pirmininkas / Pirmininkė</w:t>
      </w:r>
      <w:bookmarkStart w:id="22" w:name="TextBodyEnd"/>
      <w:bookmarkEnd w:id="22"/>
    </w:p>
    <w:sectPr w:rsidR="00E365E1" w:rsidRPr="00E22DDE" w:rsidSect="00ED33B0">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02BA3" w:rsidRPr="00ED33B0" w:rsidRDefault="00002BA3">
      <w:r w:rsidRPr="00ED33B0">
        <w:separator/>
      </w:r>
    </w:p>
  </w:endnote>
  <w:endnote w:type="continuationSeparator" w:id="0">
    <w:p w:rsidR="00002BA3" w:rsidRPr="00ED33B0" w:rsidRDefault="00002BA3">
      <w:r w:rsidRPr="00ED33B0">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D33B0"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D33B0"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D33B0"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02BA3" w:rsidRPr="00ED33B0" w:rsidRDefault="00002BA3">
      <w:r w:rsidRPr="00ED33B0">
        <w:separator/>
      </w:r>
    </w:p>
  </w:footnote>
  <w:footnote w:type="continuationSeparator" w:id="0">
    <w:p w:rsidR="00002BA3" w:rsidRPr="00ED33B0" w:rsidRDefault="00002BA3">
      <w:r w:rsidRPr="00ED33B0">
        <w:continuationSeparator/>
      </w:r>
    </w:p>
  </w:footnote>
  <w:footnote w:id="1">
    <w:p w:rsidR="000B604B" w:rsidRPr="00ED33B0" w:rsidRDefault="000B604B" w:rsidP="00ED33B0">
      <w:pPr>
        <w:pStyle w:val="FootnoteText"/>
        <w:ind w:left="567" w:hanging="567"/>
        <w:rPr>
          <w:sz w:val="24"/>
          <w:lang w:val="lt-LT"/>
        </w:rPr>
      </w:pPr>
      <w:r w:rsidRPr="00ED33B0">
        <w:rPr>
          <w:rStyle w:val="FootnoteReference"/>
          <w:sz w:val="24"/>
          <w:lang w:val="lt-LT"/>
        </w:rPr>
        <w:footnoteRef/>
      </w:r>
      <w:r w:rsidR="00ED33B0" w:rsidRPr="00ED33B0">
        <w:rPr>
          <w:sz w:val="24"/>
          <w:lang w:val="lt-LT"/>
        </w:rPr>
        <w:t xml:space="preserve"> </w:t>
      </w:r>
      <w:r w:rsidR="00ED33B0" w:rsidRPr="00ED33B0">
        <w:rPr>
          <w:sz w:val="24"/>
          <w:lang w:val="lt-LT"/>
        </w:rPr>
        <w:tab/>
      </w:r>
      <w:r w:rsidRPr="00ED33B0">
        <w:rPr>
          <w:sz w:val="24"/>
          <w:lang w:val="lt-LT"/>
        </w:rPr>
        <w:t>OL C 307, 2023 8 31, p. 19.</w:t>
      </w:r>
    </w:p>
  </w:footnote>
  <w:footnote w:id="2">
    <w:p w:rsidR="00160850" w:rsidRPr="00ED33B0" w:rsidRDefault="00160850" w:rsidP="00160850">
      <w:pPr>
        <w:pStyle w:val="FootnoteText"/>
        <w:ind w:left="567" w:hanging="567"/>
        <w:rPr>
          <w:sz w:val="24"/>
          <w:lang w:val="lt-LT"/>
        </w:rPr>
      </w:pPr>
      <w:r w:rsidRPr="00ED33B0">
        <w:rPr>
          <w:rStyle w:val="FootnoteReference"/>
          <w:sz w:val="24"/>
          <w:lang w:val="lt-LT"/>
        </w:rPr>
        <w:t>*</w:t>
      </w:r>
      <w:r w:rsidRPr="00ED33B0">
        <w:rPr>
          <w:sz w:val="24"/>
          <w:lang w:val="lt-LT"/>
        </w:rPr>
        <w:t xml:space="preserve"> </w:t>
      </w:r>
      <w:r w:rsidRPr="00ED33B0">
        <w:rPr>
          <w:sz w:val="24"/>
          <w:lang w:val="lt-LT"/>
        </w:rPr>
        <w:tab/>
      </w:r>
      <w:r w:rsidR="00E22DDE" w:rsidRPr="00E22DDE">
        <w:rPr>
          <w:sz w:val="24"/>
          <w:lang w:val="lt-LT"/>
        </w:rPr>
        <w:t>Visame tekste padarytų pakeitimų pagrindas – 1 pakeitimo priėmimas</w:t>
      </w:r>
      <w:r w:rsidR="00E22DDE">
        <w:rPr>
          <w:sz w:val="24"/>
          <w:lang w:val="lt-LT"/>
        </w:rPr>
        <w:t>.</w:t>
      </w:r>
      <w:r w:rsidRPr="00ED33B0">
        <w:rPr>
          <w:sz w:val="24"/>
          <w:lang w:val="lt-LT"/>
        </w:rPr>
        <w:t xml:space="preserve"> </w:t>
      </w:r>
      <w:r>
        <w:rPr>
          <w:sz w:val="24"/>
          <w:lang w:val="lt-LT"/>
        </w:rPr>
        <w:t>N</w:t>
      </w:r>
      <w:r w:rsidRPr="00ED33B0">
        <w:rPr>
          <w:sz w:val="24"/>
          <w:lang w:val="lt-LT"/>
        </w:rPr>
        <w:t>aujos arba iš dalies pakeistos teksto dalys žymimos pusjuodžiu kursyvu; išbrauktas tekstas nurodomas simboliu ▌.</w:t>
      </w:r>
    </w:p>
  </w:footnote>
  <w:footnote w:id="3">
    <w:p w:rsidR="000B604B" w:rsidRPr="00ED33B0" w:rsidRDefault="000B604B" w:rsidP="00ED33B0">
      <w:pPr>
        <w:pStyle w:val="FootnoteText"/>
        <w:ind w:left="567" w:hanging="567"/>
        <w:rPr>
          <w:sz w:val="24"/>
          <w:lang w:val="lt-LT"/>
        </w:rPr>
      </w:pPr>
      <w:r w:rsidRPr="00ED33B0">
        <w:rPr>
          <w:rStyle w:val="FootnoteReference"/>
          <w:sz w:val="24"/>
          <w:lang w:val="lt-LT"/>
        </w:rPr>
        <w:footnoteRef/>
      </w:r>
      <w:r w:rsidR="00ED33B0" w:rsidRPr="00ED33B0">
        <w:rPr>
          <w:sz w:val="24"/>
          <w:lang w:val="lt-LT"/>
        </w:rPr>
        <w:t xml:space="preserve"> </w:t>
      </w:r>
      <w:r w:rsidR="00ED33B0" w:rsidRPr="00ED33B0">
        <w:rPr>
          <w:sz w:val="24"/>
          <w:lang w:val="lt-LT"/>
        </w:rPr>
        <w:tab/>
      </w:r>
      <w:r w:rsidRPr="00ED33B0">
        <w:rPr>
          <w:sz w:val="24"/>
          <w:lang w:val="lt-LT"/>
        </w:rPr>
        <w:t>OL C , , p. .</w:t>
      </w:r>
    </w:p>
  </w:footnote>
  <w:footnote w:id="4">
    <w:p w:rsidR="000B604B" w:rsidRPr="00ED33B0" w:rsidRDefault="000B604B" w:rsidP="00ED33B0">
      <w:pPr>
        <w:pStyle w:val="FootnoteText"/>
        <w:ind w:left="567" w:hanging="567"/>
        <w:rPr>
          <w:sz w:val="24"/>
          <w:lang w:val="lt-LT"/>
        </w:rPr>
      </w:pPr>
      <w:r w:rsidRPr="00ED33B0">
        <w:rPr>
          <w:rStyle w:val="FootnoteReference"/>
          <w:sz w:val="24"/>
          <w:lang w:val="lt-LT"/>
        </w:rPr>
        <w:footnoteRef/>
      </w:r>
      <w:r w:rsidR="00ED33B0" w:rsidRPr="00ED33B0">
        <w:rPr>
          <w:sz w:val="24"/>
          <w:lang w:val="lt-LT"/>
        </w:rPr>
        <w:t xml:space="preserve"> </w:t>
      </w:r>
      <w:r w:rsidR="00ED33B0" w:rsidRPr="00ED33B0">
        <w:rPr>
          <w:sz w:val="24"/>
          <w:lang w:val="lt-LT"/>
        </w:rPr>
        <w:tab/>
      </w:r>
      <w:r w:rsidRPr="00ED33B0">
        <w:rPr>
          <w:sz w:val="24"/>
          <w:lang w:val="lt-LT"/>
        </w:rPr>
        <w:t>OL C , , p. .</w:t>
      </w:r>
    </w:p>
  </w:footnote>
  <w:footnote w:id="5">
    <w:p w:rsidR="000B604B" w:rsidRPr="00ED33B0" w:rsidRDefault="000B604B" w:rsidP="00ED33B0">
      <w:pPr>
        <w:pStyle w:val="FootnoteText"/>
        <w:ind w:left="567" w:hanging="567"/>
        <w:rPr>
          <w:sz w:val="24"/>
          <w:lang w:val="lt-LT"/>
        </w:rPr>
      </w:pPr>
      <w:r w:rsidRPr="00ED33B0">
        <w:rPr>
          <w:rStyle w:val="FootnoteReference"/>
          <w:sz w:val="24"/>
          <w:lang w:val="lt-LT"/>
        </w:rPr>
        <w:footnoteRef/>
      </w:r>
      <w:r w:rsidR="00ED33B0" w:rsidRPr="00ED33B0">
        <w:rPr>
          <w:sz w:val="24"/>
          <w:lang w:val="lt-LT"/>
        </w:rPr>
        <w:t xml:space="preserve"> </w:t>
      </w:r>
      <w:r w:rsidR="00ED33B0" w:rsidRPr="00ED33B0">
        <w:rPr>
          <w:sz w:val="24"/>
          <w:lang w:val="lt-LT"/>
        </w:rPr>
        <w:tab/>
      </w:r>
      <w:r w:rsidRPr="00ED33B0">
        <w:rPr>
          <w:sz w:val="24"/>
          <w:lang w:val="lt-LT"/>
        </w:rPr>
        <w:t>OL C , , p. .</w:t>
      </w:r>
    </w:p>
  </w:footnote>
  <w:footnote w:id="6">
    <w:p w:rsidR="000B604B" w:rsidRPr="004226A9" w:rsidRDefault="000B604B" w:rsidP="00ED33B0">
      <w:pPr>
        <w:pStyle w:val="FootnoteText"/>
        <w:ind w:left="567" w:hanging="567"/>
        <w:rPr>
          <w:i/>
          <w:sz w:val="24"/>
          <w:lang w:val="lt-LT"/>
        </w:rPr>
      </w:pPr>
      <w:r w:rsidRPr="00ED33B0">
        <w:rPr>
          <w:rStyle w:val="FootnoteReference"/>
          <w:sz w:val="24"/>
          <w:lang w:val="lt-LT"/>
        </w:rPr>
        <w:footnoteRef/>
      </w:r>
      <w:r w:rsidR="00ED33B0" w:rsidRPr="00ED33B0">
        <w:rPr>
          <w:color w:val="333333"/>
          <w:sz w:val="24"/>
          <w:lang w:val="lt-LT"/>
        </w:rPr>
        <w:t xml:space="preserve"> </w:t>
      </w:r>
      <w:r w:rsidR="00ED33B0" w:rsidRPr="00ED33B0">
        <w:rPr>
          <w:color w:val="333333"/>
          <w:sz w:val="24"/>
          <w:lang w:val="lt-LT"/>
        </w:rPr>
        <w:tab/>
      </w:r>
      <w:r w:rsidRPr="00ED33B0">
        <w:rPr>
          <w:color w:val="333333"/>
          <w:sz w:val="24"/>
          <w:lang w:val="lt-LT"/>
        </w:rPr>
        <w:t>2014 m. balandžio 16 d. Europos Parlamento ir Tarybos direktyva 2014/49/ES dėl indėlių garantijų sistemų (nauja redakcija)</w:t>
      </w:r>
      <w:r w:rsidRPr="003D0DE8">
        <w:rPr>
          <w:color w:val="333333"/>
          <w:sz w:val="24"/>
          <w:lang w:val="lt-LT"/>
        </w:rPr>
        <w:t xml:space="preserve"> (</w:t>
      </w:r>
      <w:r w:rsidRPr="004226A9">
        <w:rPr>
          <w:rStyle w:val="Emphasis"/>
          <w:i w:val="0"/>
          <w:color w:val="333333"/>
          <w:sz w:val="24"/>
          <w:lang w:val="lt-LT"/>
        </w:rPr>
        <w:t>OL L 173, 2014 6 12, p. 149).</w:t>
      </w:r>
    </w:p>
  </w:footnote>
  <w:footnote w:id="7">
    <w:p w:rsidR="000B604B" w:rsidRPr="00ED33B0" w:rsidRDefault="000B604B" w:rsidP="00ED33B0">
      <w:pPr>
        <w:pStyle w:val="FootnoteText"/>
        <w:ind w:left="567" w:hanging="567"/>
        <w:rPr>
          <w:sz w:val="24"/>
          <w:lang w:val="lt-LT"/>
        </w:rPr>
      </w:pPr>
      <w:r w:rsidRPr="00ED33B0">
        <w:rPr>
          <w:rStyle w:val="FootnoteReference"/>
          <w:sz w:val="24"/>
          <w:lang w:val="lt-LT"/>
        </w:rPr>
        <w:footnoteRef/>
      </w:r>
      <w:r w:rsidR="00ED33B0" w:rsidRPr="00ED33B0">
        <w:rPr>
          <w:sz w:val="24"/>
          <w:lang w:val="lt-LT"/>
        </w:rPr>
        <w:t xml:space="preserve"> </w:t>
      </w:r>
      <w:r w:rsidR="00ED33B0" w:rsidRPr="00ED33B0">
        <w:rPr>
          <w:sz w:val="24"/>
          <w:lang w:val="lt-LT"/>
        </w:rPr>
        <w:tab/>
      </w:r>
      <w:r w:rsidRPr="00ED33B0">
        <w:rPr>
          <w:sz w:val="24"/>
          <w:lang w:val="lt-LT"/>
        </w:rPr>
        <w:t>2013 m. birželio 26 d. Europos Parlamento ir Tarybos direktyva 2013/36/ES dėl galimybės verstis kredito įstaigų veikla ir dėl riziką ribojančios kredito įstaigų ir investicinių įmonių priežiūros, kuria iš dalies keičiama Direktyva 2002/87/EB ir panaikinamos direktyvos 2006/48/EB bei 2006/49/EB (OL L 176, 2013 6 27, p. 338).</w:t>
      </w:r>
    </w:p>
  </w:footnote>
  <w:footnote w:id="8">
    <w:p w:rsidR="000B604B" w:rsidRPr="00ED33B0" w:rsidRDefault="000B604B" w:rsidP="00ED33B0">
      <w:pPr>
        <w:pStyle w:val="FootnoteText"/>
        <w:ind w:left="567" w:hanging="567"/>
        <w:rPr>
          <w:sz w:val="24"/>
          <w:lang w:val="lt-LT"/>
        </w:rPr>
      </w:pPr>
      <w:r w:rsidRPr="00ED33B0">
        <w:rPr>
          <w:rStyle w:val="FootnoteReference"/>
          <w:sz w:val="24"/>
          <w:lang w:val="lt-LT"/>
        </w:rPr>
        <w:footnoteRef/>
      </w:r>
      <w:r w:rsidR="00ED33B0" w:rsidRPr="00ED33B0">
        <w:rPr>
          <w:sz w:val="24"/>
          <w:lang w:val="lt-LT"/>
        </w:rPr>
        <w:t xml:space="preserve"> </w:t>
      </w:r>
      <w:r w:rsidR="00ED33B0" w:rsidRPr="00ED33B0">
        <w:rPr>
          <w:sz w:val="24"/>
          <w:lang w:val="lt-LT"/>
        </w:rPr>
        <w:tab/>
      </w:r>
      <w:r w:rsidRPr="00ED33B0">
        <w:rPr>
          <w:sz w:val="24"/>
          <w:lang w:val="lt-LT"/>
        </w:rPr>
        <w:t>2009 m. rugsėjo 16 d. Europos Parlamento ir Tarybos direktyva 2009/110/EB dėl elektroninių pinigų įstaigų steigimosi, veiklos ir riziką ribojančios priežiūros, iš dalies keičianti Direktyvas 2005/60/EB ir 2006/48/EB ir panaikinanti Direktyvą 2000/46/EB (OL L 267, 2009 10 10, p. 7).</w:t>
      </w:r>
    </w:p>
  </w:footnote>
  <w:footnote w:id="9">
    <w:p w:rsidR="000B604B" w:rsidRPr="00ED33B0" w:rsidRDefault="000B604B" w:rsidP="00ED33B0">
      <w:pPr>
        <w:pStyle w:val="FootnoteText"/>
        <w:ind w:left="567" w:hanging="567"/>
        <w:rPr>
          <w:sz w:val="24"/>
          <w:lang w:val="lt-LT"/>
        </w:rPr>
      </w:pPr>
      <w:r w:rsidRPr="00ED33B0">
        <w:rPr>
          <w:rStyle w:val="FootnoteReference"/>
          <w:sz w:val="24"/>
          <w:lang w:val="lt-LT"/>
        </w:rPr>
        <w:footnoteRef/>
      </w:r>
      <w:r w:rsidR="00ED33B0" w:rsidRPr="00ED33B0">
        <w:rPr>
          <w:sz w:val="24"/>
          <w:lang w:val="lt-LT"/>
        </w:rPr>
        <w:t xml:space="preserve"> </w:t>
      </w:r>
      <w:r w:rsidR="00ED33B0" w:rsidRPr="00ED33B0">
        <w:rPr>
          <w:sz w:val="24"/>
          <w:lang w:val="lt-LT"/>
        </w:rPr>
        <w:tab/>
      </w:r>
      <w:r w:rsidRPr="00ED33B0">
        <w:rPr>
          <w:sz w:val="24"/>
          <w:lang w:val="lt-LT"/>
        </w:rPr>
        <w:t>2015 m. lapkričio 25 d. Europos Parlamento ir Tarybos direktyva (ES) 2015/2366 dėl mokėjimo paslaugų vidaus rinkoje, kuria iš dalies keičiamos direktyvos 2002/65/EB, 2009/110/EB ir 2013/36/ES bei Reglamentas (ES) Nr. 1093/2010 ir panaikinama Direktyva 2007/64/EB (OL L 337, 2015 12 23, p. 35).</w:t>
      </w:r>
    </w:p>
  </w:footnote>
  <w:footnote w:id="10">
    <w:p w:rsidR="000B604B" w:rsidRPr="00ED33B0" w:rsidRDefault="000B604B" w:rsidP="00ED33B0">
      <w:pPr>
        <w:pStyle w:val="FootnoteText"/>
        <w:ind w:left="567" w:hanging="567"/>
        <w:rPr>
          <w:sz w:val="24"/>
          <w:lang w:val="lt-LT"/>
        </w:rPr>
      </w:pPr>
      <w:r w:rsidRPr="00ED33B0">
        <w:rPr>
          <w:rStyle w:val="FootnoteReference"/>
          <w:sz w:val="24"/>
          <w:lang w:val="lt-LT"/>
        </w:rPr>
        <w:footnoteRef/>
      </w:r>
      <w:r w:rsidR="00ED33B0" w:rsidRPr="00ED33B0">
        <w:rPr>
          <w:sz w:val="24"/>
          <w:lang w:val="lt-LT"/>
        </w:rPr>
        <w:t xml:space="preserve"> </w:t>
      </w:r>
      <w:r w:rsidR="00ED33B0" w:rsidRPr="00ED33B0">
        <w:rPr>
          <w:sz w:val="24"/>
          <w:lang w:val="lt-LT"/>
        </w:rPr>
        <w:tab/>
      </w:r>
      <w:r w:rsidRPr="00ED33B0">
        <w:rPr>
          <w:sz w:val="24"/>
          <w:lang w:val="lt-LT"/>
        </w:rPr>
        <w:t>2014 m. gegužės 15 d. Europos Parlamento ir Tarybos direktyva 2014/65/ES dėl finansinių priemonių rinkų, kuria iš dalies keičiamos Direktyva 2002/92/EB ir Direktyva 2011/61/ES (OL L 173, 2014 6 12, p. 349).</w:t>
      </w:r>
    </w:p>
  </w:footnote>
  <w:footnote w:id="11">
    <w:p w:rsidR="000B604B" w:rsidRPr="00ED33B0" w:rsidRDefault="000B604B" w:rsidP="00ED33B0">
      <w:pPr>
        <w:pStyle w:val="FootnoteText"/>
        <w:ind w:left="567" w:hanging="567"/>
        <w:rPr>
          <w:sz w:val="24"/>
          <w:lang w:val="lt-LT"/>
        </w:rPr>
      </w:pPr>
      <w:r w:rsidRPr="00ED33B0">
        <w:rPr>
          <w:rStyle w:val="FootnoteReference"/>
          <w:sz w:val="24"/>
          <w:lang w:val="lt-LT"/>
        </w:rPr>
        <w:footnoteRef/>
      </w:r>
      <w:r w:rsidR="00ED33B0" w:rsidRPr="00ED33B0">
        <w:rPr>
          <w:sz w:val="24"/>
          <w:lang w:val="lt-LT"/>
        </w:rPr>
        <w:t xml:space="preserve"> </w:t>
      </w:r>
      <w:r w:rsidR="00ED33B0" w:rsidRPr="00ED33B0">
        <w:rPr>
          <w:sz w:val="24"/>
          <w:lang w:val="lt-LT"/>
        </w:rPr>
        <w:tab/>
      </w:r>
      <w:r w:rsidRPr="00ED33B0">
        <w:rPr>
          <w:sz w:val="24"/>
          <w:lang w:val="lt-LT"/>
        </w:rPr>
        <w:t>2013 m. birželio 26 d. Europos Parlamento ir Tarybos reglamentu (ES) Nr. 575/2013 dėl prudencinių reikalavimų kredito įstaigoms ir investicinėms įmonėms ir kuriuo iš dalies keičiamas Reglamentas (ES) Nr. 648/2012 (OL L 176, 2013 6 27, p. 1).</w:t>
      </w:r>
    </w:p>
  </w:footnote>
  <w:footnote w:id="12">
    <w:p w:rsidR="000B604B" w:rsidRPr="00ED33B0" w:rsidRDefault="000B604B" w:rsidP="00ED33B0">
      <w:pPr>
        <w:pStyle w:val="FootnoteText"/>
        <w:ind w:left="567" w:hanging="567"/>
        <w:rPr>
          <w:sz w:val="24"/>
          <w:lang w:val="lt-LT"/>
        </w:rPr>
      </w:pPr>
      <w:r w:rsidRPr="00ED33B0">
        <w:rPr>
          <w:rStyle w:val="FootnoteReference"/>
          <w:sz w:val="24"/>
          <w:lang w:val="lt-LT"/>
        </w:rPr>
        <w:footnoteRef/>
      </w:r>
      <w:r w:rsidR="00ED33B0" w:rsidRPr="00ED33B0">
        <w:rPr>
          <w:sz w:val="24"/>
          <w:lang w:val="lt-LT"/>
        </w:rPr>
        <w:t xml:space="preserve"> </w:t>
      </w:r>
      <w:r w:rsidR="00ED33B0" w:rsidRPr="00ED33B0">
        <w:rPr>
          <w:sz w:val="24"/>
          <w:lang w:val="lt-LT"/>
        </w:rPr>
        <w:tab/>
      </w:r>
      <w:r w:rsidRPr="00ED33B0">
        <w:rPr>
          <w:sz w:val="24"/>
          <w:lang w:val="lt-LT"/>
        </w:rPr>
        <w:t>2010 m. lapkričio 24 d. Europos Parlamento ir Tarybos reglamentas (ES) Nr. 1093/2010, kuriuo įsteigiama Europos priežiūros institucija (Europos bankininkystės institucija), iš dalies keičiamas Sprendimas Nr. 716/2009/EB ir panaikinamas Komisijos sprendimas 2009/78/EB (OL L 331, 2010 12 15, p. 12).</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D33B0"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D33B0"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D33B0"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8"/>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154/2024"/>
    <w:docVar w:name="dvlangue" w:val="LT"/>
    <w:docVar w:name="dvnumam" w:val="0"/>
    <w:docVar w:name="dvpe" w:val="753.698"/>
    <w:docVar w:name="dvrapporteur" w:val="Pranešėja: "/>
    <w:docVar w:name="dvstar" w:val="***I"/>
    <w:docVar w:name="dvtitre" w:val="Europos Parlamento teisėkūros rezoliucija dėl pasiūlymo dėl Europos Parlamento ir Tarybos direktyvos, kuria dėl indėlių apsaugos taikymo srities, indėlių garantijų sistemų lėšų naudojimo, tarpvalstybinio bendradarbiavimo ir skaidrumo iš dalies keičiama Direktyva 2014/49/ES(COM(2023)0228 – C9-0133/2023 – 2023/0115(COD))"/>
  </w:docVars>
  <w:rsids>
    <w:rsidRoot w:val="00002BA3"/>
    <w:rsid w:val="00002272"/>
    <w:rsid w:val="00002BA3"/>
    <w:rsid w:val="00064002"/>
    <w:rsid w:val="000677B9"/>
    <w:rsid w:val="000831BA"/>
    <w:rsid w:val="000A42CC"/>
    <w:rsid w:val="000B604B"/>
    <w:rsid w:val="000E7DD9"/>
    <w:rsid w:val="0010095E"/>
    <w:rsid w:val="00125B37"/>
    <w:rsid w:val="00160850"/>
    <w:rsid w:val="0017050E"/>
    <w:rsid w:val="00187494"/>
    <w:rsid w:val="001F32AE"/>
    <w:rsid w:val="002767FF"/>
    <w:rsid w:val="002B18FE"/>
    <w:rsid w:val="002B5493"/>
    <w:rsid w:val="00343214"/>
    <w:rsid w:val="00361C00"/>
    <w:rsid w:val="00395FA1"/>
    <w:rsid w:val="003D0DE8"/>
    <w:rsid w:val="003E15D4"/>
    <w:rsid w:val="00411CCE"/>
    <w:rsid w:val="0041666E"/>
    <w:rsid w:val="00421060"/>
    <w:rsid w:val="004226A9"/>
    <w:rsid w:val="00422A2C"/>
    <w:rsid w:val="00471C19"/>
    <w:rsid w:val="004867E3"/>
    <w:rsid w:val="00494A28"/>
    <w:rsid w:val="004C0004"/>
    <w:rsid w:val="004C5D52"/>
    <w:rsid w:val="0050519A"/>
    <w:rsid w:val="005072A1"/>
    <w:rsid w:val="00514517"/>
    <w:rsid w:val="00545827"/>
    <w:rsid w:val="00560270"/>
    <w:rsid w:val="005C2568"/>
    <w:rsid w:val="006037C0"/>
    <w:rsid w:val="006631B6"/>
    <w:rsid w:val="00680577"/>
    <w:rsid w:val="006F74FA"/>
    <w:rsid w:val="00726B91"/>
    <w:rsid w:val="00731ADD"/>
    <w:rsid w:val="00734777"/>
    <w:rsid w:val="00747932"/>
    <w:rsid w:val="00751A4A"/>
    <w:rsid w:val="00756632"/>
    <w:rsid w:val="00762C74"/>
    <w:rsid w:val="00786EC0"/>
    <w:rsid w:val="007D1690"/>
    <w:rsid w:val="007D6D52"/>
    <w:rsid w:val="007E22AD"/>
    <w:rsid w:val="00817416"/>
    <w:rsid w:val="00842779"/>
    <w:rsid w:val="00865F67"/>
    <w:rsid w:val="00881A7B"/>
    <w:rsid w:val="008840E5"/>
    <w:rsid w:val="00887B3E"/>
    <w:rsid w:val="008C2AC6"/>
    <w:rsid w:val="008D5C0F"/>
    <w:rsid w:val="00930C23"/>
    <w:rsid w:val="0093193B"/>
    <w:rsid w:val="009509D8"/>
    <w:rsid w:val="00950B64"/>
    <w:rsid w:val="00981893"/>
    <w:rsid w:val="00A1687D"/>
    <w:rsid w:val="00A43E52"/>
    <w:rsid w:val="00A4678D"/>
    <w:rsid w:val="00A778C7"/>
    <w:rsid w:val="00AB441E"/>
    <w:rsid w:val="00AB4F3D"/>
    <w:rsid w:val="00AB6293"/>
    <w:rsid w:val="00AE0928"/>
    <w:rsid w:val="00AF3B82"/>
    <w:rsid w:val="00B12E95"/>
    <w:rsid w:val="00B22876"/>
    <w:rsid w:val="00B558F0"/>
    <w:rsid w:val="00BD48FE"/>
    <w:rsid w:val="00BD7BD8"/>
    <w:rsid w:val="00BE6ADC"/>
    <w:rsid w:val="00C05BFE"/>
    <w:rsid w:val="00C109BB"/>
    <w:rsid w:val="00C23CD4"/>
    <w:rsid w:val="00C61C0C"/>
    <w:rsid w:val="00C941CB"/>
    <w:rsid w:val="00CC2357"/>
    <w:rsid w:val="00CF071A"/>
    <w:rsid w:val="00D058B8"/>
    <w:rsid w:val="00D22A5C"/>
    <w:rsid w:val="00D4313A"/>
    <w:rsid w:val="00D56C11"/>
    <w:rsid w:val="00D834A0"/>
    <w:rsid w:val="00D872DF"/>
    <w:rsid w:val="00D91E21"/>
    <w:rsid w:val="00DA7FCD"/>
    <w:rsid w:val="00DD0FC6"/>
    <w:rsid w:val="00E22DDE"/>
    <w:rsid w:val="00E365E1"/>
    <w:rsid w:val="00E820A4"/>
    <w:rsid w:val="00EB006A"/>
    <w:rsid w:val="00EB4772"/>
    <w:rsid w:val="00ED169E"/>
    <w:rsid w:val="00ED33B0"/>
    <w:rsid w:val="00ED4235"/>
    <w:rsid w:val="00F04346"/>
    <w:rsid w:val="00F075DC"/>
    <w:rsid w:val="00F149E9"/>
    <w:rsid w:val="00F2030B"/>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F1537F9"/>
  <w15:chartTrackingRefBased/>
  <w15:docId w15:val="{366CBC28-21D5-49BD-9693-52CD98B8D8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Strong" w:qFormat="1"/>
    <w:lsdException w:name="Emphasis" w:uiPriority="20"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lt-L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Bold">
    <w:name w:val="NormalBold"/>
    <w:basedOn w:val="Normal"/>
    <w:link w:val="NormalBoldChar"/>
    <w:rsid w:val="000B604B"/>
    <w:rPr>
      <w:b/>
    </w:rPr>
  </w:style>
  <w:style w:type="paragraph" w:customStyle="1" w:styleId="NormalHanging12a">
    <w:name w:val="NormalHanging12a"/>
    <w:basedOn w:val="Normal"/>
    <w:rsid w:val="000B604B"/>
    <w:pPr>
      <w:spacing w:after="240"/>
      <w:ind w:left="567" w:hanging="567"/>
    </w:pPr>
  </w:style>
  <w:style w:type="paragraph" w:customStyle="1" w:styleId="AmNumberTabs">
    <w:name w:val="AmNumberTabs"/>
    <w:basedOn w:val="Normal"/>
    <w:rsid w:val="000B604B"/>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EPComma">
    <w:name w:val="EPComma"/>
    <w:basedOn w:val="Normal"/>
    <w:rsid w:val="000B604B"/>
    <w:pPr>
      <w:spacing w:before="480" w:after="240"/>
    </w:pPr>
  </w:style>
  <w:style w:type="character" w:customStyle="1" w:styleId="NormalBoldChar">
    <w:name w:val="NormalBold Char"/>
    <w:basedOn w:val="DefaultParagraphFont"/>
    <w:link w:val="NormalBold"/>
    <w:locked/>
    <w:rsid w:val="000B604B"/>
    <w:rPr>
      <w:b/>
      <w:sz w:val="24"/>
      <w:lang w:val="lt-LT"/>
    </w:rPr>
  </w:style>
  <w:style w:type="paragraph" w:customStyle="1" w:styleId="NormalCenter12a">
    <w:name w:val="NormalCenter12a"/>
    <w:basedOn w:val="Normal"/>
    <w:rsid w:val="000B604B"/>
    <w:pPr>
      <w:spacing w:after="240"/>
      <w:jc w:val="center"/>
    </w:pPr>
    <w:rPr>
      <w:lang w:val="en-GB"/>
    </w:rPr>
  </w:style>
  <w:style w:type="paragraph" w:customStyle="1" w:styleId="AmHeadingConsam">
    <w:name w:val="AmHeadingConsam"/>
    <w:basedOn w:val="Normal"/>
    <w:next w:val="NormalCenter12a"/>
    <w:rsid w:val="000B604B"/>
    <w:pPr>
      <w:spacing w:before="720" w:after="240"/>
      <w:jc w:val="center"/>
    </w:pPr>
    <w:rPr>
      <w:lang w:val="en-GB"/>
    </w:rPr>
  </w:style>
  <w:style w:type="character" w:customStyle="1" w:styleId="normaltextrun">
    <w:name w:val="normaltextrun"/>
    <w:basedOn w:val="DefaultParagraphFont"/>
    <w:rsid w:val="000B604B"/>
  </w:style>
  <w:style w:type="character" w:customStyle="1" w:styleId="eop">
    <w:name w:val="eop"/>
    <w:basedOn w:val="DefaultParagraphFont"/>
    <w:rsid w:val="000B604B"/>
  </w:style>
  <w:style w:type="character" w:styleId="Emphasis">
    <w:name w:val="Emphasis"/>
    <w:basedOn w:val="DefaultParagraphFont"/>
    <w:uiPriority w:val="20"/>
    <w:qFormat/>
    <w:rsid w:val="000B604B"/>
    <w:rPr>
      <w:i/>
      <w:iCs/>
    </w:rPr>
  </w:style>
  <w:style w:type="character" w:customStyle="1" w:styleId="ui-provider">
    <w:name w:val="ui-provider"/>
    <w:basedOn w:val="DefaultParagraphFont"/>
    <w:rsid w:val="000B604B"/>
  </w:style>
  <w:style w:type="paragraph" w:customStyle="1" w:styleId="Text1">
    <w:name w:val="Text 1"/>
    <w:basedOn w:val="Normal"/>
    <w:rsid w:val="000B604B"/>
    <w:pPr>
      <w:widowControl/>
      <w:spacing w:before="120" w:after="120"/>
      <w:ind w:left="850"/>
      <w:jc w:val="both"/>
    </w:pPr>
    <w:rPr>
      <w:rFonts w:eastAsiaTheme="minorHAnsi"/>
      <w:szCs w:val="22"/>
      <w:lang w:val="en-GB" w:eastAsia="en-US"/>
    </w:rPr>
  </w:style>
  <w:style w:type="paragraph" w:customStyle="1" w:styleId="Text2">
    <w:name w:val="Text 2"/>
    <w:basedOn w:val="Normal"/>
    <w:rsid w:val="000B604B"/>
    <w:pPr>
      <w:widowControl/>
      <w:spacing w:before="120" w:after="120"/>
      <w:ind w:left="1417"/>
      <w:jc w:val="both"/>
    </w:pPr>
    <w:rPr>
      <w:rFonts w:eastAsiaTheme="minorHAnsi"/>
      <w:szCs w:val="22"/>
      <w:lang w:val="en-GB" w:eastAsia="en-US"/>
    </w:rPr>
  </w:style>
  <w:style w:type="paragraph" w:customStyle="1" w:styleId="Text3">
    <w:name w:val="Text 3"/>
    <w:basedOn w:val="Normal"/>
    <w:rsid w:val="000B604B"/>
    <w:pPr>
      <w:widowControl/>
      <w:spacing w:before="120" w:after="120"/>
      <w:ind w:left="1984"/>
      <w:jc w:val="both"/>
    </w:pPr>
    <w:rPr>
      <w:rFonts w:eastAsiaTheme="minorHAnsi"/>
      <w:szCs w:val="22"/>
      <w:lang w:val="en-GB" w:eastAsia="en-US"/>
    </w:rPr>
  </w:style>
  <w:style w:type="paragraph" w:customStyle="1" w:styleId="Point0">
    <w:name w:val="Point 0"/>
    <w:basedOn w:val="Normal"/>
    <w:rsid w:val="000B604B"/>
    <w:pPr>
      <w:widowControl/>
      <w:spacing w:before="120" w:after="120"/>
      <w:ind w:left="850" w:hanging="850"/>
      <w:jc w:val="both"/>
    </w:pPr>
    <w:rPr>
      <w:rFonts w:eastAsiaTheme="minorHAnsi"/>
      <w:szCs w:val="22"/>
      <w:lang w:val="en-GB" w:eastAsia="en-US"/>
    </w:rPr>
  </w:style>
  <w:style w:type="paragraph" w:customStyle="1" w:styleId="Point1">
    <w:name w:val="Point 1"/>
    <w:basedOn w:val="Normal"/>
    <w:rsid w:val="000B604B"/>
    <w:pPr>
      <w:widowControl/>
      <w:spacing w:before="120" w:after="120"/>
      <w:ind w:left="1417" w:hanging="567"/>
      <w:jc w:val="both"/>
    </w:pPr>
    <w:rPr>
      <w:rFonts w:eastAsiaTheme="minorHAnsi"/>
      <w:szCs w:val="22"/>
      <w:lang w:val="en-GB" w:eastAsia="en-US"/>
    </w:rPr>
  </w:style>
  <w:style w:type="paragraph" w:customStyle="1" w:styleId="Point2">
    <w:name w:val="Point 2"/>
    <w:basedOn w:val="Normal"/>
    <w:rsid w:val="000B604B"/>
    <w:pPr>
      <w:widowControl/>
      <w:spacing w:before="120" w:after="120"/>
      <w:ind w:left="1984" w:hanging="567"/>
      <w:jc w:val="both"/>
    </w:pPr>
    <w:rPr>
      <w:rFonts w:eastAsiaTheme="minorHAnsi"/>
      <w:szCs w:val="22"/>
      <w:lang w:val="en-GB" w:eastAsia="en-US"/>
    </w:rPr>
  </w:style>
  <w:style w:type="paragraph" w:customStyle="1" w:styleId="ManualNumPar1">
    <w:name w:val="Manual NumPar 1"/>
    <w:basedOn w:val="Normal"/>
    <w:next w:val="Text1"/>
    <w:rsid w:val="000B604B"/>
    <w:pPr>
      <w:widowControl/>
      <w:spacing w:before="120" w:after="120"/>
      <w:ind w:left="850" w:hanging="850"/>
      <w:jc w:val="both"/>
    </w:pPr>
    <w:rPr>
      <w:rFonts w:eastAsiaTheme="minorHAnsi"/>
      <w:szCs w:val="22"/>
      <w:lang w:val="en-GB" w:eastAsia="en-US"/>
    </w:rPr>
  </w:style>
  <w:style w:type="paragraph" w:customStyle="1" w:styleId="Fait">
    <w:name w:val="Fait à"/>
    <w:basedOn w:val="Normal"/>
    <w:next w:val="Institutionquisigne"/>
    <w:rsid w:val="000B604B"/>
    <w:pPr>
      <w:keepNext/>
      <w:widowControl/>
      <w:spacing w:before="120"/>
      <w:jc w:val="both"/>
    </w:pPr>
    <w:rPr>
      <w:rFonts w:eastAsiaTheme="minorHAnsi"/>
      <w:szCs w:val="22"/>
      <w:lang w:val="en-GB" w:eastAsia="en-US"/>
    </w:rPr>
  </w:style>
  <w:style w:type="paragraph" w:customStyle="1" w:styleId="Formuledadoption">
    <w:name w:val="Formule d'adoption"/>
    <w:basedOn w:val="Normal"/>
    <w:next w:val="Titrearticle"/>
    <w:rsid w:val="000B604B"/>
    <w:pPr>
      <w:keepNext/>
      <w:widowControl/>
      <w:spacing w:before="120" w:after="120"/>
      <w:jc w:val="both"/>
    </w:pPr>
    <w:rPr>
      <w:rFonts w:eastAsiaTheme="minorHAnsi"/>
      <w:szCs w:val="22"/>
      <w:lang w:val="en-GB" w:eastAsia="en-US"/>
    </w:rPr>
  </w:style>
  <w:style w:type="paragraph" w:customStyle="1" w:styleId="Institutionquiagit">
    <w:name w:val="Institution qui agit"/>
    <w:basedOn w:val="Normal"/>
    <w:next w:val="Normal"/>
    <w:rsid w:val="000B604B"/>
    <w:pPr>
      <w:keepNext/>
      <w:widowControl/>
      <w:spacing w:before="600" w:after="120"/>
      <w:jc w:val="both"/>
    </w:pPr>
    <w:rPr>
      <w:rFonts w:eastAsiaTheme="minorHAnsi"/>
      <w:szCs w:val="22"/>
      <w:lang w:val="en-GB" w:eastAsia="en-US"/>
    </w:rPr>
  </w:style>
  <w:style w:type="paragraph" w:customStyle="1" w:styleId="Institutionquisigne">
    <w:name w:val="Institution qui signe"/>
    <w:basedOn w:val="Normal"/>
    <w:next w:val="Normal"/>
    <w:rsid w:val="000B604B"/>
    <w:pPr>
      <w:keepNext/>
      <w:widowControl/>
      <w:tabs>
        <w:tab w:val="left" w:pos="4252"/>
      </w:tabs>
      <w:spacing w:before="720"/>
      <w:jc w:val="both"/>
    </w:pPr>
    <w:rPr>
      <w:rFonts w:eastAsiaTheme="minorHAnsi"/>
      <w:i/>
      <w:szCs w:val="22"/>
      <w:lang w:val="en-GB" w:eastAsia="en-US"/>
    </w:rPr>
  </w:style>
  <w:style w:type="paragraph" w:customStyle="1" w:styleId="ManualConsidrant">
    <w:name w:val="Manual Considérant"/>
    <w:basedOn w:val="Normal"/>
    <w:rsid w:val="000B604B"/>
    <w:pPr>
      <w:widowControl/>
      <w:spacing w:before="120" w:after="120"/>
      <w:ind w:left="709" w:hanging="709"/>
      <w:jc w:val="both"/>
    </w:pPr>
    <w:rPr>
      <w:rFonts w:eastAsiaTheme="minorHAnsi"/>
      <w:szCs w:val="22"/>
      <w:lang w:val="en-GB" w:eastAsia="en-US"/>
    </w:rPr>
  </w:style>
  <w:style w:type="paragraph" w:customStyle="1" w:styleId="Rfrenceinterinstitutionnelle">
    <w:name w:val="Référence interinstitutionnelle"/>
    <w:basedOn w:val="Normal"/>
    <w:next w:val="Statut"/>
    <w:rsid w:val="000B604B"/>
    <w:pPr>
      <w:widowControl/>
      <w:ind w:left="5103"/>
    </w:pPr>
    <w:rPr>
      <w:rFonts w:eastAsiaTheme="minorHAnsi"/>
      <w:szCs w:val="22"/>
      <w:lang w:val="en-GB" w:eastAsia="en-US"/>
    </w:rPr>
  </w:style>
  <w:style w:type="paragraph" w:customStyle="1" w:styleId="Statut">
    <w:name w:val="Statut"/>
    <w:basedOn w:val="Normal"/>
    <w:next w:val="Typedudocument"/>
    <w:rsid w:val="000B604B"/>
    <w:pPr>
      <w:widowControl/>
      <w:spacing w:before="360"/>
      <w:jc w:val="center"/>
    </w:pPr>
    <w:rPr>
      <w:rFonts w:eastAsiaTheme="minorHAnsi"/>
      <w:szCs w:val="22"/>
      <w:lang w:val="en-GB" w:eastAsia="en-US"/>
    </w:rPr>
  </w:style>
  <w:style w:type="paragraph" w:customStyle="1" w:styleId="Titrearticle">
    <w:name w:val="Titre article"/>
    <w:basedOn w:val="Normal"/>
    <w:next w:val="Normal"/>
    <w:rsid w:val="000B604B"/>
    <w:pPr>
      <w:keepNext/>
      <w:widowControl/>
      <w:spacing w:before="360" w:after="120"/>
      <w:jc w:val="center"/>
    </w:pPr>
    <w:rPr>
      <w:rFonts w:eastAsiaTheme="minorHAnsi"/>
      <w:i/>
      <w:szCs w:val="22"/>
      <w:lang w:val="en-GB" w:eastAsia="en-US"/>
    </w:rPr>
  </w:style>
  <w:style w:type="paragraph" w:customStyle="1" w:styleId="Titreobjet">
    <w:name w:val="Titre objet"/>
    <w:basedOn w:val="Normal"/>
    <w:next w:val="IntrtEEE"/>
    <w:rsid w:val="000B604B"/>
    <w:pPr>
      <w:widowControl/>
      <w:spacing w:before="360" w:after="360"/>
      <w:jc w:val="center"/>
    </w:pPr>
    <w:rPr>
      <w:rFonts w:eastAsiaTheme="minorHAnsi"/>
      <w:b/>
      <w:szCs w:val="22"/>
      <w:lang w:val="en-GB" w:eastAsia="en-US"/>
    </w:rPr>
  </w:style>
  <w:style w:type="paragraph" w:customStyle="1" w:styleId="Typedudocument">
    <w:name w:val="Type du document"/>
    <w:basedOn w:val="Normal"/>
    <w:next w:val="Titreobjet"/>
    <w:rsid w:val="000B604B"/>
    <w:pPr>
      <w:widowControl/>
      <w:spacing w:before="360"/>
      <w:jc w:val="center"/>
    </w:pPr>
    <w:rPr>
      <w:rFonts w:eastAsiaTheme="minorHAnsi"/>
      <w:b/>
      <w:szCs w:val="22"/>
      <w:lang w:val="en-GB" w:eastAsia="en-US"/>
    </w:rPr>
  </w:style>
  <w:style w:type="paragraph" w:customStyle="1" w:styleId="IntrtEEE">
    <w:name w:val="Intérêt EEE"/>
    <w:basedOn w:val="Normal"/>
    <w:next w:val="Normal"/>
    <w:rsid w:val="000B604B"/>
    <w:pPr>
      <w:widowControl/>
      <w:spacing w:before="360" w:after="240"/>
      <w:jc w:val="center"/>
    </w:pPr>
    <w:rPr>
      <w:rFonts w:eastAsiaTheme="minorHAnsi"/>
      <w:szCs w:val="22"/>
      <w:lang w:val="en-GB" w:eastAsia="en-US"/>
    </w:rPr>
  </w:style>
  <w:style w:type="paragraph" w:customStyle="1" w:styleId="paragraph">
    <w:name w:val="paragraph"/>
    <w:basedOn w:val="Normal"/>
    <w:rsid w:val="000B604B"/>
    <w:pPr>
      <w:widowControl/>
      <w:spacing w:before="100" w:beforeAutospacing="1" w:after="100" w:afterAutospacing="1"/>
    </w:pPr>
    <w:rPr>
      <w:szCs w:val="24"/>
      <w:lang w:val="en-IE" w:eastAsia="en-IE"/>
    </w:rPr>
  </w:style>
  <w:style w:type="paragraph" w:styleId="BalloonText">
    <w:name w:val="Balloon Text"/>
    <w:basedOn w:val="Normal"/>
    <w:link w:val="BalloonTextChar"/>
    <w:rsid w:val="007D6D52"/>
    <w:rPr>
      <w:rFonts w:ascii="Segoe UI" w:hAnsi="Segoe UI" w:cs="Segoe UI"/>
      <w:sz w:val="18"/>
      <w:szCs w:val="18"/>
    </w:rPr>
  </w:style>
  <w:style w:type="character" w:customStyle="1" w:styleId="BalloonTextChar">
    <w:name w:val="Balloon Text Char"/>
    <w:basedOn w:val="DefaultParagraphFont"/>
    <w:link w:val="BalloonText"/>
    <w:rsid w:val="007D6D52"/>
    <w:rPr>
      <w:rFonts w:ascii="Segoe UI" w:hAnsi="Segoe UI" w:cs="Segoe UI"/>
      <w:sz w:val="18"/>
      <w:szCs w:val="18"/>
      <w:lang w:val="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F0EB517-0FC5-4E4A-9244-E3106846767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51</Pages>
  <Words>13301</Words>
  <Characters>91027</Characters>
  <Application>Microsoft Office Word</Application>
  <DocSecurity>0</DocSecurity>
  <Lines>758</Lines>
  <Paragraphs>208</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104120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BINKEVICIUTE Aurelija</dc:creator>
  <cp:keywords/>
  <cp:lastModifiedBy>LUKSITE Marija</cp:lastModifiedBy>
  <cp:revision>2</cp:revision>
  <cp:lastPrinted>2004-11-19T15:42:00Z</cp:lastPrinted>
  <dcterms:created xsi:type="dcterms:W3CDTF">2024-10-08T09:16:00Z</dcterms:created>
  <dcterms:modified xsi:type="dcterms:W3CDTF">2024-10-08T09:16:00Z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LT</vt:lpwstr>
  </property>
  <property fmtid="{D5CDD505-2E9C-101B-9397-08002B2CF9AE}" pid="3" name="&lt;FdR&gt;">
    <vt:lpwstr>P9_TA(2024)0328_</vt:lpwstr>
  </property>
  <property fmtid="{D5CDD505-2E9C-101B-9397-08002B2CF9AE}" pid="4" name="&lt;Type&gt;">
    <vt:lpwstr>RR</vt:lpwstr>
  </property>
</Properties>
</file>