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3023" w14:paraId="0E96851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8D64BD" w14:textId="77777777" w:rsidR="00751A4A" w:rsidRPr="00333023" w:rsidRDefault="00C2468C" w:rsidP="0010095E">
            <w:pPr>
              <w:pStyle w:val="EPName"/>
            </w:pPr>
            <w:r w:rsidRPr="00333023">
              <w:t>Europa-Parlamentet</w:t>
            </w:r>
          </w:p>
          <w:p w14:paraId="385E9541" w14:textId="77777777" w:rsidR="00751A4A" w:rsidRPr="0033302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3023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F90BC5A" w14:textId="77777777" w:rsidR="00751A4A" w:rsidRPr="00333023" w:rsidRDefault="00187494" w:rsidP="0010095E">
            <w:pPr>
              <w:pStyle w:val="EPLogo"/>
            </w:pPr>
            <w:r w:rsidRPr="00333023">
              <w:rPr>
                <w:noProof/>
                <w:lang w:val="en-GB"/>
              </w:rPr>
              <w:drawing>
                <wp:inline distT="0" distB="0" distL="0" distR="0" wp14:anchorId="29CA517E" wp14:editId="51A50D1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7C8644" w14:textId="77777777" w:rsidR="00D058B8" w:rsidRPr="00333023" w:rsidRDefault="00D058B8" w:rsidP="004C5D52">
      <w:pPr>
        <w:pStyle w:val="LineTop"/>
      </w:pPr>
    </w:p>
    <w:p w14:paraId="2737C069" w14:textId="77777777" w:rsidR="00680577" w:rsidRPr="00333023" w:rsidRDefault="00C2468C" w:rsidP="00680577">
      <w:pPr>
        <w:pStyle w:val="EPBodyTA1"/>
      </w:pPr>
      <w:r w:rsidRPr="00333023">
        <w:t>VEDTAGNE TEKSTER</w:t>
      </w:r>
    </w:p>
    <w:p w14:paraId="20DD5097" w14:textId="77777777" w:rsidR="00D058B8" w:rsidRPr="00333023" w:rsidRDefault="00D058B8" w:rsidP="00D058B8">
      <w:pPr>
        <w:pStyle w:val="LineBottom"/>
      </w:pPr>
    </w:p>
    <w:p w14:paraId="65697F87" w14:textId="71E4F1F2" w:rsidR="00C2468C" w:rsidRPr="00333023" w:rsidRDefault="00C2468C" w:rsidP="00C2468C">
      <w:pPr>
        <w:pStyle w:val="ATHeading1"/>
      </w:pPr>
      <w:bookmarkStart w:id="0" w:name="TANumber"/>
      <w:r w:rsidRPr="00333023">
        <w:t>P9_</w:t>
      </w:r>
      <w:proofErr w:type="gramStart"/>
      <w:r w:rsidRPr="00333023">
        <w:t>TA(</w:t>
      </w:r>
      <w:proofErr w:type="gramEnd"/>
      <w:r w:rsidR="00E977AF">
        <w:t>2024</w:t>
      </w:r>
      <w:r w:rsidRPr="00333023">
        <w:t>)0</w:t>
      </w:r>
      <w:bookmarkEnd w:id="0"/>
      <w:r w:rsidR="002F6559">
        <w:t>329</w:t>
      </w:r>
    </w:p>
    <w:p w14:paraId="1B4E539C" w14:textId="01B13358" w:rsidR="00C2468C" w:rsidRPr="00333023" w:rsidRDefault="00BC57FB" w:rsidP="00C2468C">
      <w:pPr>
        <w:pStyle w:val="ATHeading2"/>
      </w:pPr>
      <w:r w:rsidRPr="00BC57FB">
        <w:t>Virksomhedernes due diligence i forbindelse med bæredygtighed</w:t>
      </w:r>
    </w:p>
    <w:p w14:paraId="26EA3AED" w14:textId="77777777" w:rsidR="00C2468C" w:rsidRPr="00333023" w:rsidRDefault="00C2468C" w:rsidP="00C2468C">
      <w:pPr>
        <w:rPr>
          <w:i/>
          <w:vanish/>
        </w:rPr>
      </w:pPr>
      <w:r w:rsidRPr="00333023">
        <w:rPr>
          <w:i/>
        </w:rPr>
        <w:fldChar w:fldCharType="begin"/>
      </w:r>
      <w:r w:rsidRPr="00333023">
        <w:rPr>
          <w:i/>
        </w:rPr>
        <w:instrText xml:space="preserve"> TC"(</w:instrText>
      </w:r>
      <w:bookmarkStart w:id="1" w:name="DocNumber"/>
      <w:r w:rsidRPr="00333023">
        <w:rPr>
          <w:i/>
        </w:rPr>
        <w:instrText>A9-0184/2023</w:instrText>
      </w:r>
      <w:bookmarkEnd w:id="1"/>
      <w:r w:rsidRPr="00333023">
        <w:rPr>
          <w:i/>
        </w:rPr>
        <w:instrText xml:space="preserve"> - Ordfører: Lara Wolters )"\l3 \n&gt; \* MERGEFORMAT </w:instrText>
      </w:r>
      <w:r w:rsidRPr="00333023">
        <w:rPr>
          <w:i/>
        </w:rPr>
        <w:fldChar w:fldCharType="end"/>
      </w:r>
    </w:p>
    <w:p w14:paraId="02E352DE" w14:textId="77777777" w:rsidR="00C2468C" w:rsidRPr="00333023" w:rsidRDefault="00C2468C" w:rsidP="00C2468C">
      <w:pPr>
        <w:rPr>
          <w:vanish/>
        </w:rPr>
      </w:pPr>
      <w:bookmarkStart w:id="2" w:name="Commission"/>
      <w:r w:rsidRPr="00333023">
        <w:rPr>
          <w:vanish/>
        </w:rPr>
        <w:t>Retsudvalget</w:t>
      </w:r>
      <w:bookmarkEnd w:id="2"/>
    </w:p>
    <w:p w14:paraId="65EECE09" w14:textId="1F1797E7" w:rsidR="00C2468C" w:rsidRPr="00333023" w:rsidRDefault="00C2468C" w:rsidP="00C2468C">
      <w:pPr>
        <w:rPr>
          <w:vanish/>
        </w:rPr>
      </w:pPr>
      <w:bookmarkStart w:id="3" w:name="PE"/>
      <w:r w:rsidRPr="00333023">
        <w:rPr>
          <w:vanish/>
        </w:rPr>
        <w:t>PE7</w:t>
      </w:r>
      <w:r w:rsidR="00867160">
        <w:rPr>
          <w:vanish/>
        </w:rPr>
        <w:t>3</w:t>
      </w:r>
      <w:r w:rsidRPr="00333023">
        <w:rPr>
          <w:vanish/>
        </w:rPr>
        <w:t>8.</w:t>
      </w:r>
      <w:bookmarkEnd w:id="3"/>
      <w:r w:rsidR="00867160">
        <w:rPr>
          <w:vanish/>
        </w:rPr>
        <w:t>450</w:t>
      </w:r>
    </w:p>
    <w:p w14:paraId="156322BD" w14:textId="2C4A3E7F" w:rsidR="00C2468C" w:rsidRPr="00333023" w:rsidRDefault="00C2468C" w:rsidP="00C2468C">
      <w:pPr>
        <w:pStyle w:val="ATHeading3"/>
      </w:pPr>
      <w:bookmarkStart w:id="4" w:name="Sujet"/>
      <w:r w:rsidRPr="00333023">
        <w:t xml:space="preserve">Europa-Parlamentets lovgivningsmæssige beslutning af </w:t>
      </w:r>
      <w:r w:rsidR="00E977AF">
        <w:t>24. april 2024</w:t>
      </w:r>
      <w:r w:rsidRPr="00333023">
        <w:t xml:space="preserve"> om forslag til Europa-Parlamentets og Rådets direktiv om virksomhedernes due diligence i forbindelse med bæredygtighed og om ændring af direktiv (EU) 2019/1937</w:t>
      </w:r>
      <w:bookmarkEnd w:id="4"/>
      <w:r w:rsidRPr="00333023">
        <w:t xml:space="preserve"> </w:t>
      </w:r>
      <w:bookmarkStart w:id="5" w:name="References"/>
      <w:r w:rsidRPr="00333023">
        <w:t>(</w:t>
      </w:r>
      <w:proofErr w:type="gramStart"/>
      <w:r w:rsidRPr="00333023">
        <w:t>COM(</w:t>
      </w:r>
      <w:proofErr w:type="gramEnd"/>
      <w:r w:rsidRPr="00333023">
        <w:t>2022)0071 – C9-0050/2022 – 2022/0051(COD))</w:t>
      </w:r>
      <w:bookmarkEnd w:id="5"/>
    </w:p>
    <w:p w14:paraId="6BB84EC2" w14:textId="77777777" w:rsidR="003A21C8" w:rsidRPr="00333023" w:rsidRDefault="003A21C8" w:rsidP="003A21C8">
      <w:pPr>
        <w:pStyle w:val="NormalBold"/>
      </w:pPr>
      <w:bookmarkStart w:id="6" w:name="TextBodyBegin"/>
      <w:bookmarkEnd w:id="6"/>
      <w:r w:rsidRPr="00333023">
        <w:t>(Almindelig lovgivningsprocedure: førstebehandling)</w:t>
      </w:r>
    </w:p>
    <w:p w14:paraId="18B26AEE" w14:textId="2E43EDF7" w:rsidR="003A21C8" w:rsidRPr="00333023" w:rsidRDefault="003A21C8" w:rsidP="003A21C8">
      <w:pPr>
        <w:pStyle w:val="EPComma"/>
      </w:pPr>
      <w:r w:rsidRPr="00333023">
        <w:rPr>
          <w:i/>
        </w:rPr>
        <w:t>Europa-Parlamentet</w:t>
      </w:r>
      <w:r w:rsidRPr="00333023">
        <w:t>,</w:t>
      </w:r>
    </w:p>
    <w:p w14:paraId="0FBCE915" w14:textId="2F0B9455" w:rsidR="003A21C8" w:rsidRPr="00333023" w:rsidRDefault="003A21C8" w:rsidP="003A21C8">
      <w:pPr>
        <w:pStyle w:val="NormalHanging12a"/>
      </w:pPr>
      <w:r w:rsidRPr="00333023">
        <w:t>–</w:t>
      </w:r>
      <w:r w:rsidRPr="00333023">
        <w:tab/>
        <w:t>der henviser til Kommissionens forslag til Europa-Parlamentet og Rådet (</w:t>
      </w:r>
      <w:proofErr w:type="gramStart"/>
      <w:r w:rsidRPr="00333023">
        <w:t>COM(</w:t>
      </w:r>
      <w:proofErr w:type="gramEnd"/>
      <w:r w:rsidRPr="00333023">
        <w:t>2022)0071),</w:t>
      </w:r>
    </w:p>
    <w:p w14:paraId="5D467C15" w14:textId="0937DAB4" w:rsidR="003A21C8" w:rsidRPr="00333023" w:rsidRDefault="003A21C8" w:rsidP="003A21C8">
      <w:pPr>
        <w:pStyle w:val="NormalHanging12a"/>
      </w:pPr>
      <w:r w:rsidRPr="00333023">
        <w:t>–</w:t>
      </w:r>
      <w:r w:rsidRPr="00333023">
        <w:tab/>
        <w:t>der henviser til artikel 294, stk. 2, artikel 50, stk. 1</w:t>
      </w:r>
      <w:r w:rsidR="00E977AF">
        <w:t xml:space="preserve">, </w:t>
      </w:r>
      <w:r w:rsidR="00E977AF" w:rsidRPr="00333023">
        <w:t>artikel 50,</w:t>
      </w:r>
      <w:r w:rsidRPr="00333023">
        <w:t xml:space="preserve"> stk. 2, litra g), og artikel 114 i traktaten om Den Europæiske Unions funktionsmåde, på grundlag af hvilken Kommissionen har forelagt forslaget for Parlamentet (C9</w:t>
      </w:r>
      <w:r w:rsidRPr="00333023">
        <w:noBreakHyphen/>
        <w:t>0050/2022),</w:t>
      </w:r>
    </w:p>
    <w:p w14:paraId="741306F8" w14:textId="4C2D1159" w:rsidR="003A21C8" w:rsidRPr="00333023" w:rsidRDefault="003A21C8" w:rsidP="003A21C8">
      <w:pPr>
        <w:pStyle w:val="NormalHanging12a"/>
      </w:pPr>
      <w:r w:rsidRPr="00333023">
        <w:t>–</w:t>
      </w:r>
      <w:r w:rsidRPr="00333023">
        <w:tab/>
        <w:t>der henviser til artikel 294, stk. 3, i traktaten om Den Europæiske Unions funktionsmåde,</w:t>
      </w:r>
    </w:p>
    <w:p w14:paraId="18FF5407" w14:textId="403DE085" w:rsidR="003A21C8" w:rsidRPr="00333023" w:rsidRDefault="003A21C8" w:rsidP="003A21C8">
      <w:pPr>
        <w:widowControl/>
        <w:spacing w:after="240"/>
        <w:ind w:left="567" w:hanging="567"/>
        <w:rPr>
          <w:szCs w:val="24"/>
        </w:rPr>
      </w:pPr>
      <w:r w:rsidRPr="00333023">
        <w:t>–</w:t>
      </w:r>
      <w:r w:rsidRPr="00333023">
        <w:tab/>
        <w:t>der henviser til udtalelse af 14. juli 2022 fra Det Europæiske Økonomiske og Sociale Udvalg</w:t>
      </w:r>
      <w:r w:rsidRPr="00333023">
        <w:rPr>
          <w:rStyle w:val="FootnoteReference"/>
        </w:rPr>
        <w:footnoteReference w:id="1"/>
      </w:r>
      <w:r w:rsidRPr="00333023">
        <w:t>,</w:t>
      </w:r>
    </w:p>
    <w:p w14:paraId="258431C8" w14:textId="624D2ACC" w:rsidR="00E977AF" w:rsidRDefault="00E977AF" w:rsidP="003A21C8">
      <w:pPr>
        <w:pStyle w:val="NormalHanging12a"/>
      </w:pPr>
      <w:r>
        <w:t>–</w:t>
      </w:r>
      <w:r>
        <w:tab/>
      </w:r>
      <w:r>
        <w:rPr>
          <w:noProof/>
          <w:szCs w:val="24"/>
        </w:rPr>
        <w:t>der henviser til, at det kompetente udvalg har godkendt den foreløbige aftale i henhold til forretningsordenens artikel 74, stk. 4, og at Rådets repræsentant ved skrivelse af 15. marts 2024 forpligtede sig til at godkende Europa-Parlamentets holdning, jf. artikel 294, stk. 4, i traktaten om Den Europæiske Unions funktionsmåde</w:t>
      </w:r>
      <w:r>
        <w:t>,</w:t>
      </w:r>
    </w:p>
    <w:p w14:paraId="164754CE" w14:textId="535957A5" w:rsidR="003A21C8" w:rsidRPr="00333023" w:rsidRDefault="003A21C8" w:rsidP="003A21C8">
      <w:pPr>
        <w:pStyle w:val="NormalHanging12a"/>
      </w:pPr>
      <w:r w:rsidRPr="00333023">
        <w:t>–</w:t>
      </w:r>
      <w:r w:rsidRPr="00333023">
        <w:tab/>
        <w:t>der henviser til forretningsordenens artikel 59,</w:t>
      </w:r>
    </w:p>
    <w:p w14:paraId="498D2885" w14:textId="13EB8CD5" w:rsidR="003A21C8" w:rsidRPr="00333023" w:rsidRDefault="003A21C8" w:rsidP="003A21C8">
      <w:pPr>
        <w:pStyle w:val="NormalHanging12a"/>
      </w:pPr>
      <w:r w:rsidRPr="00333023">
        <w:t>–</w:t>
      </w:r>
      <w:r w:rsidRPr="00333023">
        <w:tab/>
        <w:t xml:space="preserve">der henviser til udtalelser fra Udenrigsudvalget, Udvalget om International Handel, Økonomi- og Valutaudvalget, Udvalget om Beskæftigelse og Sociale Anliggender, Udvalget om Miljø, Folkesundhed og Fødevaresikkerhed, Udviklingsudvalget, Udvalget om Industri, Forskning og Energi og Udvalget om det Indre Marked og </w:t>
      </w:r>
      <w:r w:rsidRPr="00333023">
        <w:lastRenderedPageBreak/>
        <w:t xml:space="preserve">Forbrugerbeskyttelse, </w:t>
      </w:r>
    </w:p>
    <w:p w14:paraId="47584D4F" w14:textId="558D8461" w:rsidR="003A21C8" w:rsidRPr="00333023" w:rsidRDefault="003A21C8" w:rsidP="003A21C8">
      <w:pPr>
        <w:pStyle w:val="NormalHanging12a"/>
      </w:pPr>
      <w:r w:rsidRPr="00333023">
        <w:t>–</w:t>
      </w:r>
      <w:r w:rsidRPr="00333023">
        <w:tab/>
        <w:t>der henviser til betænkning fra Retsudvalget (A9</w:t>
      </w:r>
      <w:r w:rsidRPr="00333023">
        <w:noBreakHyphen/>
        <w:t>0184/2023),</w:t>
      </w:r>
    </w:p>
    <w:p w14:paraId="219AA51F" w14:textId="273A6F3C" w:rsidR="003A21C8" w:rsidRPr="00333023" w:rsidRDefault="003A21C8" w:rsidP="003A21C8">
      <w:pPr>
        <w:pStyle w:val="NormalHanging12a"/>
      </w:pPr>
      <w:r w:rsidRPr="00333023">
        <w:t>1.</w:t>
      </w:r>
      <w:r w:rsidRPr="00333023">
        <w:tab/>
        <w:t>vedtager nedenstående holdning ved førstebehandling</w:t>
      </w:r>
      <w:r w:rsidR="00B6692D">
        <w:rPr>
          <w:rStyle w:val="FootnoteReference"/>
        </w:rPr>
        <w:footnoteReference w:id="2"/>
      </w:r>
      <w:r w:rsidRPr="00333023">
        <w:t>;</w:t>
      </w:r>
    </w:p>
    <w:p w14:paraId="44BD4C6F" w14:textId="1FE65E67" w:rsidR="003A21C8" w:rsidRPr="00333023" w:rsidRDefault="003A21C8" w:rsidP="003A21C8">
      <w:pPr>
        <w:pStyle w:val="NormalHanging12a"/>
      </w:pPr>
      <w:r w:rsidRPr="00333023">
        <w:t>2.</w:t>
      </w:r>
      <w:r w:rsidRPr="00333023">
        <w:tab/>
        <w:t>anmoder om fornyet forelæggelse, hvis Kommissionen erstatter, i væsentlig grad ændrer eller i væsentlig grad agter at ændre sit forslag;</w:t>
      </w:r>
    </w:p>
    <w:p w14:paraId="2D2A24AE" w14:textId="35E4D4F0" w:rsidR="003A21C8" w:rsidRPr="00333023" w:rsidRDefault="003A21C8" w:rsidP="003A21C8">
      <w:pPr>
        <w:pStyle w:val="NormalHanging12a"/>
      </w:pPr>
      <w:r w:rsidRPr="00333023">
        <w:t>3.</w:t>
      </w:r>
      <w:r w:rsidRPr="00333023">
        <w:tab/>
        <w:t>pålægger sin formand at sende Parlamentets holdning til Rådet og Kommissionen samt til de nationale parlamenter.</w:t>
      </w:r>
    </w:p>
    <w:p w14:paraId="1724896E" w14:textId="77777777" w:rsidR="00E977AF" w:rsidRDefault="00E977AF" w:rsidP="003A21C8">
      <w:pPr>
        <w:sectPr w:rsidR="00E977AF" w:rsidSect="00333023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3D277E8" w14:textId="0DD9FF4C" w:rsidR="00E977AF" w:rsidRDefault="00E977AF" w:rsidP="00E977AF">
      <w:pPr>
        <w:pStyle w:val="ATHeading3"/>
      </w:pPr>
      <w:r>
        <w:lastRenderedPageBreak/>
        <w:t>P9_TC1-</w:t>
      </w:r>
      <w:proofErr w:type="gramStart"/>
      <w:r>
        <w:t>COD(</w:t>
      </w:r>
      <w:proofErr w:type="gramEnd"/>
      <w:r>
        <w:t>2022)0051</w:t>
      </w:r>
    </w:p>
    <w:p w14:paraId="44CDDF55" w14:textId="35225AB6" w:rsidR="003A21C8" w:rsidRDefault="00E977AF" w:rsidP="00E977AF">
      <w:pPr>
        <w:pStyle w:val="ATHeading3"/>
        <w:rPr>
          <w:rFonts w:eastAsia="Calibri"/>
          <w:i/>
        </w:rPr>
      </w:pPr>
      <w:r>
        <w:t xml:space="preserve">Europa-Parlamentets holdning fastlagt ved førstebehandlingen den 24. april 2024 med henblik på vedtagelse af Europa-Parlamentets og Rådets </w:t>
      </w:r>
      <w:r>
        <w:rPr>
          <w:rFonts w:eastAsia="Calibri"/>
        </w:rPr>
        <w:t>direktiv</w:t>
      </w:r>
      <w:r>
        <w:t xml:space="preserve"> (EU) </w:t>
      </w:r>
      <w:r>
        <w:rPr>
          <w:rFonts w:eastAsia="Calibri"/>
        </w:rPr>
        <w:t>2024/... om</w:t>
      </w:r>
      <w:r w:rsidR="000F635C">
        <w:rPr>
          <w:rFonts w:eastAsia="Calibri"/>
        </w:rPr>
        <w:t xml:space="preserve"> </w:t>
      </w:r>
      <w:r w:rsidR="000F635C" w:rsidRPr="000F635C">
        <w:rPr>
          <w:rFonts w:eastAsia="Calibri"/>
        </w:rPr>
        <w:t>virksomheders due diligence i forbindelse med bæredygtighed og om ændring af direktiv (EU) 2019/1937</w:t>
      </w:r>
      <w:r w:rsidR="000F635C" w:rsidRPr="000F635C">
        <w:rPr>
          <w:rFonts w:eastAsia="Calibri"/>
          <w:i/>
        </w:rPr>
        <w:t xml:space="preserve"> </w:t>
      </w:r>
      <w:r w:rsidR="000F635C" w:rsidRPr="00A32B21">
        <w:rPr>
          <w:rFonts w:eastAsia="Calibri"/>
        </w:rPr>
        <w:t>og forordning (EU) 2023/2859</w:t>
      </w:r>
    </w:p>
    <w:p w14:paraId="01FEBFAE" w14:textId="49AD9560" w:rsidR="00C640D3" w:rsidRPr="00C640D3" w:rsidRDefault="00A32B21" w:rsidP="00C640D3">
      <w:pPr>
        <w:rPr>
          <w:rFonts w:eastAsia="Calibri"/>
          <w:lang w:eastAsia="fr-FR"/>
        </w:rPr>
      </w:pPr>
      <w:r w:rsidRPr="00DC166C">
        <w:rPr>
          <w:i/>
        </w:rPr>
        <w:t>(Eftersom der var indgået en aftale mellem Parla</w:t>
      </w:r>
      <w:bookmarkStart w:id="7" w:name="_GoBack"/>
      <w:bookmarkEnd w:id="7"/>
      <w:r w:rsidRPr="00DC166C">
        <w:rPr>
          <w:i/>
        </w:rPr>
        <w:t xml:space="preserve">mentet og Rådet, svarer Parlamentets holdning til den endelige </w:t>
      </w:r>
      <w:r w:rsidRPr="00A32B21">
        <w:rPr>
          <w:i/>
        </w:rPr>
        <w:t xml:space="preserve">retsakt, </w:t>
      </w:r>
      <w:r w:rsidRPr="00A32B21">
        <w:rPr>
          <w:i/>
        </w:rPr>
        <w:t>direktiv</w:t>
      </w:r>
      <w:r w:rsidRPr="00A32B21">
        <w:rPr>
          <w:i/>
        </w:rPr>
        <w:t xml:space="preserve"> (EU) 202</w:t>
      </w:r>
      <w:r w:rsidRPr="00A32B21">
        <w:rPr>
          <w:i/>
        </w:rPr>
        <w:t>4</w:t>
      </w:r>
      <w:r w:rsidRPr="00A32B21">
        <w:rPr>
          <w:i/>
        </w:rPr>
        <w:t>/</w:t>
      </w:r>
      <w:r w:rsidRPr="00A32B21">
        <w:rPr>
          <w:i/>
        </w:rPr>
        <w:t>1760</w:t>
      </w:r>
      <w:r w:rsidRPr="00A32B21">
        <w:rPr>
          <w:i/>
        </w:rPr>
        <w:t>.)</w:t>
      </w:r>
    </w:p>
    <w:sectPr w:rsidR="00C640D3" w:rsidRPr="00C640D3" w:rsidSect="00A32B21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5280C8" w14:textId="77777777" w:rsidR="00E977AF" w:rsidRPr="00333023" w:rsidRDefault="00E977AF">
      <w:r w:rsidRPr="00333023">
        <w:separator/>
      </w:r>
    </w:p>
  </w:endnote>
  <w:endnote w:type="continuationSeparator" w:id="0">
    <w:p w14:paraId="2833E96E" w14:textId="77777777" w:rsidR="00E977AF" w:rsidRPr="00333023" w:rsidRDefault="00E977AF">
      <w:r w:rsidRPr="003330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4C1E11" w14:textId="77777777" w:rsidR="00E977AF" w:rsidRPr="00333023" w:rsidRDefault="00E977AF">
      <w:r w:rsidRPr="00333023">
        <w:separator/>
      </w:r>
    </w:p>
  </w:footnote>
  <w:footnote w:type="continuationSeparator" w:id="0">
    <w:p w14:paraId="7D71159B" w14:textId="77777777" w:rsidR="00E977AF" w:rsidRPr="00333023" w:rsidRDefault="00E977AF">
      <w:r w:rsidRPr="00333023">
        <w:continuationSeparator/>
      </w:r>
    </w:p>
  </w:footnote>
  <w:footnote w:id="1">
    <w:p w14:paraId="17E7578F" w14:textId="27866687" w:rsidR="00E977AF" w:rsidRPr="00333023" w:rsidRDefault="00E977AF" w:rsidP="00333023">
      <w:pPr>
        <w:pStyle w:val="FootnoteText"/>
        <w:ind w:left="567" w:hanging="567"/>
        <w:rPr>
          <w:sz w:val="24"/>
          <w:szCs w:val="18"/>
          <w:lang w:val="da-DK"/>
        </w:rPr>
      </w:pPr>
      <w:r w:rsidRPr="00333023">
        <w:rPr>
          <w:rStyle w:val="FootnoteReference"/>
          <w:sz w:val="24"/>
          <w:szCs w:val="18"/>
          <w:lang w:val="da-DK"/>
        </w:rPr>
        <w:footnoteRef/>
      </w:r>
      <w:r w:rsidRPr="00333023">
        <w:rPr>
          <w:sz w:val="24"/>
          <w:lang w:val="da-DK"/>
        </w:rPr>
        <w:t xml:space="preserve"> </w:t>
      </w:r>
      <w:r w:rsidRPr="00333023">
        <w:rPr>
          <w:sz w:val="24"/>
          <w:lang w:val="da-DK"/>
        </w:rPr>
        <w:tab/>
        <w:t>EUT</w:t>
      </w:r>
      <w:r>
        <w:rPr>
          <w:sz w:val="24"/>
          <w:lang w:val="da-DK"/>
        </w:rPr>
        <w:t xml:space="preserve"> C 443 af 22.11.2022, s. 81</w:t>
      </w:r>
      <w:r w:rsidRPr="00333023">
        <w:rPr>
          <w:sz w:val="24"/>
          <w:lang w:val="da-DK"/>
        </w:rPr>
        <w:t>.</w:t>
      </w:r>
    </w:p>
  </w:footnote>
  <w:footnote w:id="2">
    <w:p w14:paraId="07CA1D14" w14:textId="1BD977E1" w:rsidR="00B6692D" w:rsidRPr="002A05C6" w:rsidRDefault="00B6692D" w:rsidP="002A05C6">
      <w:pPr>
        <w:pStyle w:val="FootnoteText"/>
        <w:ind w:left="567" w:hanging="567"/>
        <w:rPr>
          <w:sz w:val="24"/>
          <w:szCs w:val="24"/>
          <w:lang w:val="da-DK"/>
        </w:rPr>
      </w:pPr>
      <w:r w:rsidRPr="002A05C6">
        <w:rPr>
          <w:rStyle w:val="FootnoteReference"/>
          <w:sz w:val="24"/>
          <w:szCs w:val="24"/>
        </w:rPr>
        <w:footnoteRef/>
      </w:r>
      <w:r w:rsidRPr="002A05C6">
        <w:rPr>
          <w:sz w:val="24"/>
          <w:szCs w:val="24"/>
          <w:lang w:val="da-DK"/>
        </w:rPr>
        <w:t xml:space="preserve"> </w:t>
      </w:r>
      <w:r w:rsidRPr="002A05C6">
        <w:rPr>
          <w:sz w:val="24"/>
          <w:szCs w:val="24"/>
          <w:lang w:val="da-DK"/>
        </w:rPr>
        <w:tab/>
        <w:t xml:space="preserve">Denne holdning erstatter de ændringer, der blev vedtaget den </w:t>
      </w:r>
      <w:r>
        <w:rPr>
          <w:sz w:val="24"/>
          <w:szCs w:val="24"/>
          <w:lang w:val="da-DK"/>
        </w:rPr>
        <w:t>1. juni</w:t>
      </w:r>
      <w:r w:rsidRPr="002A05C6">
        <w:rPr>
          <w:sz w:val="24"/>
          <w:szCs w:val="24"/>
          <w:lang w:val="da-DK"/>
        </w:rPr>
        <w:t xml:space="preserve"> 202</w:t>
      </w:r>
      <w:r>
        <w:rPr>
          <w:sz w:val="24"/>
          <w:szCs w:val="24"/>
          <w:lang w:val="da-DK"/>
        </w:rPr>
        <w:t>3</w:t>
      </w:r>
      <w:r w:rsidRPr="002A05C6">
        <w:rPr>
          <w:sz w:val="24"/>
          <w:szCs w:val="24"/>
          <w:lang w:val="da-DK"/>
        </w:rPr>
        <w:t xml:space="preserve"> (Vedtagne tekster, P9_</w:t>
      </w:r>
      <w:proofErr w:type="gramStart"/>
      <w:r w:rsidRPr="002A05C6">
        <w:rPr>
          <w:sz w:val="24"/>
          <w:szCs w:val="24"/>
          <w:lang w:val="da-DK"/>
        </w:rPr>
        <w:t>TA(</w:t>
      </w:r>
      <w:proofErr w:type="gramEnd"/>
      <w:r w:rsidRPr="002A05C6">
        <w:rPr>
          <w:sz w:val="24"/>
          <w:szCs w:val="24"/>
          <w:lang w:val="da-DK"/>
        </w:rPr>
        <w:t>202</w:t>
      </w:r>
      <w:r>
        <w:rPr>
          <w:sz w:val="24"/>
          <w:szCs w:val="24"/>
          <w:lang w:val="da-DK"/>
        </w:rPr>
        <w:t>3</w:t>
      </w:r>
      <w:r w:rsidRPr="002A05C6">
        <w:rPr>
          <w:sz w:val="24"/>
          <w:szCs w:val="24"/>
          <w:lang w:val="da-DK"/>
        </w:rPr>
        <w:t>)0</w:t>
      </w:r>
      <w:r>
        <w:rPr>
          <w:sz w:val="24"/>
          <w:szCs w:val="24"/>
          <w:lang w:val="da-DK"/>
        </w:rPr>
        <w:t>209</w:t>
      </w:r>
      <w:r w:rsidRPr="002A05C6">
        <w:rPr>
          <w:sz w:val="24"/>
          <w:szCs w:val="24"/>
          <w:lang w:val="da-DK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7"/>
  </w:num>
  <w:num w:numId="3">
    <w:abstractNumId w:val="16"/>
  </w:num>
  <w:num w:numId="4">
    <w:abstractNumId w:val="4"/>
  </w:num>
  <w:num w:numId="5">
    <w:abstractNumId w:val="11"/>
  </w:num>
  <w:num w:numId="6">
    <w:abstractNumId w:val="14"/>
  </w:num>
  <w:num w:numId="7">
    <w:abstractNumId w:val="13"/>
  </w:num>
  <w:num w:numId="8">
    <w:abstractNumId w:val="22"/>
  </w:num>
  <w:num w:numId="9">
    <w:abstractNumId w:val="8"/>
  </w:num>
  <w:num w:numId="10">
    <w:abstractNumId w:val="9"/>
  </w:num>
  <w:num w:numId="11">
    <w:abstractNumId w:val="10"/>
  </w:num>
  <w:num w:numId="12">
    <w:abstractNumId w:val="12"/>
  </w:num>
  <w:num w:numId="13">
    <w:abstractNumId w:val="5"/>
  </w:num>
  <w:num w:numId="14">
    <w:abstractNumId w:val="23"/>
  </w:num>
  <w:num w:numId="15">
    <w:abstractNumId w:val="6"/>
  </w:num>
  <w:num w:numId="16">
    <w:abstractNumId w:val="2"/>
  </w:num>
  <w:num w:numId="17">
    <w:abstractNumId w:val="18"/>
  </w:num>
  <w:num w:numId="18">
    <w:abstractNumId w:val="17"/>
  </w:num>
  <w:num w:numId="19">
    <w:abstractNumId w:val="15"/>
  </w:num>
  <w:num w:numId="20">
    <w:abstractNumId w:val="20"/>
  </w:num>
  <w:num w:numId="21">
    <w:abstractNumId w:val="19"/>
  </w:num>
  <w:num w:numId="22">
    <w:abstractNumId w:val="21"/>
  </w:num>
  <w:num w:numId="23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84/2023"/>
    <w:docVar w:name="dvlangue" w:val="DA"/>
    <w:docVar w:name="dvnumam" w:val="1146"/>
    <w:docVar w:name="dvpe" w:val="748.687"/>
    <w:docVar w:name="dvrapporteur" w:val="Ordfører: "/>
    <w:docVar w:name="dvstar" w:val="***I"/>
    <w:docVar w:name="dvtitre" w:val="Europa-Parlamentets lovgivningsmæssige beslutning af xx.xx 2023 om forslag til Europa-Parlamentets og Rådets direktiv om virksomhedernes due diligence i forbindelse med bæredygtighed og om ændring af direktiv (EU) 2019/1937(COM(2022)0071 – C9-0050/2022 – 2022/0051(COD))"/>
  </w:docVars>
  <w:rsids>
    <w:rsidRoot w:val="00C2468C"/>
    <w:rsid w:val="00002272"/>
    <w:rsid w:val="0000530E"/>
    <w:rsid w:val="00050243"/>
    <w:rsid w:val="00064002"/>
    <w:rsid w:val="000677B9"/>
    <w:rsid w:val="000831BA"/>
    <w:rsid w:val="000A27DF"/>
    <w:rsid w:val="000A42CC"/>
    <w:rsid w:val="000D166E"/>
    <w:rsid w:val="000E7DD9"/>
    <w:rsid w:val="000F635C"/>
    <w:rsid w:val="0010095E"/>
    <w:rsid w:val="00125B37"/>
    <w:rsid w:val="00187494"/>
    <w:rsid w:val="001F32AE"/>
    <w:rsid w:val="002758E0"/>
    <w:rsid w:val="002767FF"/>
    <w:rsid w:val="002A05C6"/>
    <w:rsid w:val="002B18FE"/>
    <w:rsid w:val="002B5493"/>
    <w:rsid w:val="002C6682"/>
    <w:rsid w:val="002F6559"/>
    <w:rsid w:val="00315B8E"/>
    <w:rsid w:val="003166C2"/>
    <w:rsid w:val="00333023"/>
    <w:rsid w:val="00343214"/>
    <w:rsid w:val="00361C00"/>
    <w:rsid w:val="0037041F"/>
    <w:rsid w:val="003849EA"/>
    <w:rsid w:val="00395FA1"/>
    <w:rsid w:val="003A21C8"/>
    <w:rsid w:val="003E15D4"/>
    <w:rsid w:val="00411CCE"/>
    <w:rsid w:val="00413858"/>
    <w:rsid w:val="0041666E"/>
    <w:rsid w:val="00421060"/>
    <w:rsid w:val="004522B7"/>
    <w:rsid w:val="00471C19"/>
    <w:rsid w:val="00474112"/>
    <w:rsid w:val="004867E3"/>
    <w:rsid w:val="00494A28"/>
    <w:rsid w:val="004C0004"/>
    <w:rsid w:val="004C5D52"/>
    <w:rsid w:val="0050519A"/>
    <w:rsid w:val="005072A1"/>
    <w:rsid w:val="00514517"/>
    <w:rsid w:val="00534175"/>
    <w:rsid w:val="00544841"/>
    <w:rsid w:val="00545827"/>
    <w:rsid w:val="00560270"/>
    <w:rsid w:val="005B5B20"/>
    <w:rsid w:val="005C2568"/>
    <w:rsid w:val="005D561D"/>
    <w:rsid w:val="006037C0"/>
    <w:rsid w:val="006631B6"/>
    <w:rsid w:val="00680577"/>
    <w:rsid w:val="006C28DB"/>
    <w:rsid w:val="006E3167"/>
    <w:rsid w:val="006F74FA"/>
    <w:rsid w:val="00731ADD"/>
    <w:rsid w:val="00734777"/>
    <w:rsid w:val="00747932"/>
    <w:rsid w:val="00751A4A"/>
    <w:rsid w:val="00756632"/>
    <w:rsid w:val="00762C74"/>
    <w:rsid w:val="00771FE0"/>
    <w:rsid w:val="00786EC0"/>
    <w:rsid w:val="007D1690"/>
    <w:rsid w:val="007E22AD"/>
    <w:rsid w:val="00817416"/>
    <w:rsid w:val="0082227D"/>
    <w:rsid w:val="00842779"/>
    <w:rsid w:val="00865F67"/>
    <w:rsid w:val="00867160"/>
    <w:rsid w:val="00881A7B"/>
    <w:rsid w:val="008840E5"/>
    <w:rsid w:val="00887B3E"/>
    <w:rsid w:val="008C2AC6"/>
    <w:rsid w:val="008D2C05"/>
    <w:rsid w:val="00930C23"/>
    <w:rsid w:val="0093193B"/>
    <w:rsid w:val="009474B7"/>
    <w:rsid w:val="009509D8"/>
    <w:rsid w:val="00950B64"/>
    <w:rsid w:val="00981893"/>
    <w:rsid w:val="00981BC9"/>
    <w:rsid w:val="009978C9"/>
    <w:rsid w:val="009F7459"/>
    <w:rsid w:val="00A1687D"/>
    <w:rsid w:val="00A32B21"/>
    <w:rsid w:val="00A339B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692D"/>
    <w:rsid w:val="00B91760"/>
    <w:rsid w:val="00BC57FB"/>
    <w:rsid w:val="00BD48FE"/>
    <w:rsid w:val="00BD7BD8"/>
    <w:rsid w:val="00BE6ADC"/>
    <w:rsid w:val="00BF4AC2"/>
    <w:rsid w:val="00C05BFE"/>
    <w:rsid w:val="00C23CD4"/>
    <w:rsid w:val="00C2468C"/>
    <w:rsid w:val="00C61C0C"/>
    <w:rsid w:val="00C640D3"/>
    <w:rsid w:val="00C941CB"/>
    <w:rsid w:val="00CC2357"/>
    <w:rsid w:val="00CD0E51"/>
    <w:rsid w:val="00CE702E"/>
    <w:rsid w:val="00CF071A"/>
    <w:rsid w:val="00D058B8"/>
    <w:rsid w:val="00D4357E"/>
    <w:rsid w:val="00D56C11"/>
    <w:rsid w:val="00D75C7B"/>
    <w:rsid w:val="00D834A0"/>
    <w:rsid w:val="00D872DF"/>
    <w:rsid w:val="00D91E21"/>
    <w:rsid w:val="00D97AE4"/>
    <w:rsid w:val="00DA7FCD"/>
    <w:rsid w:val="00E365E1"/>
    <w:rsid w:val="00E820A4"/>
    <w:rsid w:val="00E977AF"/>
    <w:rsid w:val="00EB006A"/>
    <w:rsid w:val="00EB4772"/>
    <w:rsid w:val="00EC40CD"/>
    <w:rsid w:val="00ED169E"/>
    <w:rsid w:val="00ED4235"/>
    <w:rsid w:val="00F04346"/>
    <w:rsid w:val="00F075DC"/>
    <w:rsid w:val="00F149E9"/>
    <w:rsid w:val="00F20607"/>
    <w:rsid w:val="00F5134D"/>
    <w:rsid w:val="00F74202"/>
    <w:rsid w:val="00F87713"/>
    <w:rsid w:val="00F9102E"/>
    <w:rsid w:val="00FB4360"/>
    <w:rsid w:val="00FD0C70"/>
    <w:rsid w:val="00FF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525DD6"/>
  <w15:chartTrackingRefBased/>
  <w15:docId w15:val="{DB490213-E360-4029-8925-E9A3A777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BVI fnr,Footnote Reference Superscript,Footnote symbol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A21C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21C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3A21C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21C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21C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21C8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21C8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3A21C8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3A21C8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3A21C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A21C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A21C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A21C8"/>
    <w:pPr>
      <w:spacing w:after="120"/>
    </w:pPr>
  </w:style>
  <w:style w:type="paragraph" w:customStyle="1" w:styleId="PageHeading">
    <w:name w:val="PageHeading"/>
    <w:basedOn w:val="Normal"/>
    <w:rsid w:val="003A21C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A21C8"/>
    <w:rPr>
      <w:b/>
    </w:rPr>
  </w:style>
  <w:style w:type="paragraph" w:customStyle="1" w:styleId="NormalBold12a">
    <w:name w:val="NormalBold12a"/>
    <w:basedOn w:val="Normal"/>
    <w:rsid w:val="003A21C8"/>
    <w:pPr>
      <w:spacing w:after="240"/>
    </w:pPr>
    <w:rPr>
      <w:b/>
    </w:rPr>
  </w:style>
  <w:style w:type="paragraph" w:customStyle="1" w:styleId="AmJustText">
    <w:name w:val="AmJustText"/>
    <w:basedOn w:val="Normal"/>
    <w:rsid w:val="003A21C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A21C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A21C8"/>
    <w:pPr>
      <w:spacing w:after="480"/>
      <w:ind w:left="1417"/>
    </w:pPr>
  </w:style>
  <w:style w:type="paragraph" w:customStyle="1" w:styleId="CoverNormal">
    <w:name w:val="CoverNormal"/>
    <w:basedOn w:val="Normal"/>
    <w:rsid w:val="003A21C8"/>
    <w:pPr>
      <w:ind w:left="1418"/>
    </w:pPr>
  </w:style>
  <w:style w:type="paragraph" w:customStyle="1" w:styleId="AmCrossRef">
    <w:name w:val="AmCrossRef"/>
    <w:basedOn w:val="Normal"/>
    <w:rsid w:val="003A21C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A21C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A21C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A21C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A21C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A21C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A21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21C8"/>
    <w:rPr>
      <w:sz w:val="24"/>
      <w:lang w:val="da-DK"/>
    </w:rPr>
  </w:style>
  <w:style w:type="paragraph" w:customStyle="1" w:styleId="AmOrLang">
    <w:name w:val="AmOrLang"/>
    <w:basedOn w:val="Normal"/>
    <w:rsid w:val="003A21C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A21C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A21C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A21C8"/>
    <w:pPr>
      <w:spacing w:before="240"/>
    </w:pPr>
    <w:rPr>
      <w:b/>
    </w:rPr>
  </w:style>
  <w:style w:type="paragraph" w:customStyle="1" w:styleId="EPBody">
    <w:name w:val="EPBody"/>
    <w:basedOn w:val="Normal"/>
    <w:rsid w:val="003A21C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A21C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A21C8"/>
    <w:pPr>
      <w:spacing w:before="480" w:after="240"/>
    </w:pPr>
  </w:style>
  <w:style w:type="paragraph" w:customStyle="1" w:styleId="Lgendesigne">
    <w:name w:val="Légende signe"/>
    <w:basedOn w:val="Normal"/>
    <w:rsid w:val="003A21C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A21C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A21C8"/>
    <w:rPr>
      <w:sz w:val="18"/>
    </w:rPr>
  </w:style>
  <w:style w:type="character" w:customStyle="1" w:styleId="NormalBoldChar">
    <w:name w:val="NormalBold Char"/>
    <w:link w:val="NormalBold"/>
    <w:locked/>
    <w:rsid w:val="003A21C8"/>
    <w:rPr>
      <w:b/>
      <w:sz w:val="24"/>
      <w:lang w:val="da-DK"/>
    </w:rPr>
  </w:style>
  <w:style w:type="paragraph" w:customStyle="1" w:styleId="msonormal0">
    <w:name w:val="msonormal"/>
    <w:basedOn w:val="Normal"/>
    <w:rsid w:val="003A21C8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iPriority w:val="99"/>
    <w:unhideWhenUsed/>
    <w:rsid w:val="003A21C8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da-DK"/>
    </w:rPr>
  </w:style>
  <w:style w:type="character" w:customStyle="1" w:styleId="FooterChar">
    <w:name w:val="Footer Char"/>
    <w:basedOn w:val="DefaultParagraphFont"/>
    <w:link w:val="Footer"/>
    <w:uiPriority w:val="99"/>
    <w:rsid w:val="003A21C8"/>
    <w:rPr>
      <w:sz w:val="22"/>
      <w:lang w:val="da-DK"/>
    </w:rPr>
  </w:style>
  <w:style w:type="character" w:customStyle="1" w:styleId="Normal12Char">
    <w:name w:val="Normal12 Char"/>
    <w:link w:val="Normal12"/>
    <w:locked/>
    <w:rsid w:val="003A21C8"/>
    <w:rPr>
      <w:noProof/>
      <w:sz w:val="24"/>
    </w:rPr>
  </w:style>
  <w:style w:type="paragraph" w:customStyle="1" w:styleId="Normal12">
    <w:name w:val="Normal12"/>
    <w:basedOn w:val="Normal"/>
    <w:link w:val="Normal12Char"/>
    <w:rsid w:val="003A21C8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3A21C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3A21C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3A21C8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3A21C8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3A21C8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link w:val="Normal6"/>
    <w:locked/>
    <w:rsid w:val="003A21C8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3A21C8"/>
    <w:pPr>
      <w:spacing w:after="120"/>
    </w:pPr>
  </w:style>
  <w:style w:type="paragraph" w:customStyle="1" w:styleId="Normal12Italic">
    <w:name w:val="Normal12Italic"/>
    <w:basedOn w:val="Normal12"/>
    <w:rsid w:val="003A21C8"/>
    <w:rPr>
      <w:i/>
    </w:rPr>
  </w:style>
  <w:style w:type="paragraph" w:customStyle="1" w:styleId="JustificationTitle">
    <w:name w:val="JustificationTitle"/>
    <w:basedOn w:val="Normal"/>
    <w:next w:val="Normal12"/>
    <w:rsid w:val="003A21C8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3A21C8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3A21C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A21C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3A21C8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3A21C8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3A21C8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3A21C8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3A21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3A21C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21C8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21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A21C8"/>
    <w:rPr>
      <w:b/>
      <w:bCs/>
      <w:lang w:val="da-DK"/>
    </w:rPr>
  </w:style>
  <w:style w:type="paragraph" w:styleId="BalloonText">
    <w:name w:val="Balloon Text"/>
    <w:basedOn w:val="Normal"/>
    <w:link w:val="BalloonTextChar"/>
    <w:uiPriority w:val="99"/>
    <w:unhideWhenUsed/>
    <w:rsid w:val="003A21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A21C8"/>
    <w:rPr>
      <w:rFonts w:ascii="Segoe UI" w:hAnsi="Segoe UI" w:cs="Segoe UI"/>
      <w:sz w:val="18"/>
      <w:szCs w:val="18"/>
      <w:lang w:val="da-DK"/>
    </w:rPr>
  </w:style>
  <w:style w:type="paragraph" w:customStyle="1" w:styleId="Default">
    <w:name w:val="Default"/>
    <w:rsid w:val="003A21C8"/>
    <w:pPr>
      <w:autoSpaceDE w:val="0"/>
      <w:autoSpaceDN w:val="0"/>
      <w:adjustRightInd w:val="0"/>
    </w:pPr>
    <w:rPr>
      <w:color w:val="000000"/>
      <w:sz w:val="24"/>
      <w:szCs w:val="24"/>
      <w:lang w:val="da-DK"/>
    </w:rPr>
  </w:style>
  <w:style w:type="paragraph" w:customStyle="1" w:styleId="Normal12a">
    <w:name w:val="Normal12a"/>
    <w:basedOn w:val="Normal"/>
    <w:rsid w:val="003A21C8"/>
    <w:pPr>
      <w:spacing w:after="240"/>
    </w:pPr>
  </w:style>
  <w:style w:type="paragraph" w:customStyle="1" w:styleId="PageHeadingNotTOC">
    <w:name w:val="PageHeadingNotTOC"/>
    <w:basedOn w:val="Normal"/>
    <w:rsid w:val="003A21C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3A21C8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3A21C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3A21C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3A21C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3A21C8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3A21C8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3A21C8"/>
    <w:rPr>
      <w:sz w:val="24"/>
      <w:lang w:val="da-DK"/>
    </w:rPr>
  </w:style>
  <w:style w:type="character" w:customStyle="1" w:styleId="Sup">
    <w:name w:val="Sup"/>
    <w:uiPriority w:val="1"/>
    <w:qFormat/>
    <w:rsid w:val="003A21C8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3A21C8"/>
    <w:pPr>
      <w:jc w:val="center"/>
    </w:pPr>
    <w:rPr>
      <w:b/>
      <w:i/>
    </w:rPr>
  </w:style>
  <w:style w:type="character" w:styleId="Hyperlink">
    <w:name w:val="Hyperlink"/>
    <w:basedOn w:val="DefaultParagraphFont"/>
    <w:unhideWhenUsed/>
    <w:rsid w:val="003A21C8"/>
    <w:rPr>
      <w:color w:val="0000FF"/>
      <w:u w:val="single"/>
    </w:rPr>
  </w:style>
  <w:style w:type="paragraph" w:customStyle="1" w:styleId="Articletitle">
    <w:name w:val="Article title"/>
    <w:basedOn w:val="Normal"/>
    <w:qFormat/>
    <w:rsid w:val="003A21C8"/>
    <w:pPr>
      <w:keepNext/>
      <w:widowControl/>
      <w:spacing w:before="120" w:after="120"/>
      <w:jc w:val="center"/>
    </w:pPr>
    <w:rPr>
      <w:rFonts w:eastAsiaTheme="minorHAnsi"/>
      <w:b/>
      <w:bCs/>
      <w:szCs w:val="22"/>
      <w:lang w:eastAsia="en-US"/>
    </w:rPr>
  </w:style>
  <w:style w:type="paragraph" w:customStyle="1" w:styleId="Bullet1">
    <w:name w:val="Bullet 1"/>
    <w:basedOn w:val="Normal"/>
    <w:rsid w:val="003A21C8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3A21C8"/>
    <w:rPr>
      <w:sz w:val="24"/>
      <w:szCs w:val="24"/>
      <w:lang w:val="da-DK"/>
    </w:rPr>
  </w:style>
  <w:style w:type="paragraph" w:styleId="ListBullet">
    <w:name w:val="List Bullet"/>
    <w:basedOn w:val="Normal"/>
    <w:rsid w:val="003A21C8"/>
    <w:pPr>
      <w:tabs>
        <w:tab w:val="num" w:pos="360"/>
      </w:tabs>
      <w:ind w:left="360" w:hanging="360"/>
      <w:contextualSpacing/>
    </w:pPr>
    <w:rPr>
      <w:szCs w:val="24"/>
    </w:rPr>
  </w:style>
  <w:style w:type="paragraph" w:customStyle="1" w:styleId="PGreferences">
    <w:name w:val="PG references"/>
    <w:basedOn w:val="Normal"/>
    <w:next w:val="Normal"/>
    <w:rsid w:val="003A21C8"/>
    <w:pPr>
      <w:widowControl/>
      <w:tabs>
        <w:tab w:val="right" w:pos="9299"/>
      </w:tabs>
      <w:snapToGrid w:val="0"/>
      <w:jc w:val="both"/>
    </w:pPr>
    <w:rPr>
      <w:rFonts w:ascii="Arial" w:hAnsi="Arial"/>
    </w:rPr>
  </w:style>
  <w:style w:type="character" w:styleId="FollowedHyperlink">
    <w:name w:val="FollowedHyperlink"/>
    <w:basedOn w:val="DefaultParagraphFont"/>
    <w:unhideWhenUsed/>
    <w:rsid w:val="003A21C8"/>
    <w:rPr>
      <w:color w:val="954F72" w:themeColor="followedHyperlink"/>
      <w:u w:val="single"/>
    </w:rPr>
  </w:style>
  <w:style w:type="paragraph" w:customStyle="1" w:styleId="CoverBold">
    <w:name w:val="CoverBold"/>
    <w:basedOn w:val="Normal"/>
    <w:rsid w:val="003A21C8"/>
    <w:pPr>
      <w:ind w:left="1417"/>
    </w:pPr>
    <w:rPr>
      <w:b/>
    </w:rPr>
  </w:style>
  <w:style w:type="paragraph" w:styleId="ListParagraph">
    <w:name w:val="List Paragraph"/>
    <w:basedOn w:val="Normal"/>
    <w:uiPriority w:val="34"/>
    <w:qFormat/>
    <w:rsid w:val="003A21C8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3A21C8"/>
    <w:rPr>
      <w:i/>
      <w:iCs/>
      <w:color w:val="404040" w:themeColor="text1" w:themeTint="BF"/>
    </w:rPr>
  </w:style>
  <w:style w:type="character" w:customStyle="1" w:styleId="FooterChar2">
    <w:name w:val="Footer Char2"/>
    <w:basedOn w:val="DefaultParagraphFont"/>
    <w:semiHidden/>
    <w:rsid w:val="003A21C8"/>
    <w:rPr>
      <w:sz w:val="24"/>
    </w:rPr>
  </w:style>
  <w:style w:type="character" w:customStyle="1" w:styleId="FooterChar1">
    <w:name w:val="Footer Char1"/>
    <w:basedOn w:val="DefaultParagraphFont"/>
    <w:semiHidden/>
    <w:rsid w:val="003A21C8"/>
    <w:rPr>
      <w:sz w:val="24"/>
    </w:rPr>
  </w:style>
  <w:style w:type="paragraph" w:customStyle="1" w:styleId="AmDocTypeTab">
    <w:name w:val="AmDocTypeTab"/>
    <w:basedOn w:val="Normal"/>
    <w:rsid w:val="00E977AF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977AF"/>
    <w:pPr>
      <w:spacing w:after="240"/>
      <w:jc w:val="center"/>
    </w:pPr>
  </w:style>
  <w:style w:type="paragraph" w:customStyle="1" w:styleId="AmDateTab">
    <w:name w:val="AmDateTab"/>
    <w:basedOn w:val="Normal"/>
    <w:rsid w:val="00E977A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977AF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977AF"/>
  </w:style>
  <w:style w:type="paragraph" w:styleId="TOC4">
    <w:name w:val="toc 4"/>
    <w:basedOn w:val="Normal"/>
    <w:next w:val="Normal"/>
    <w:uiPriority w:val="39"/>
    <w:unhideWhenUsed/>
    <w:rsid w:val="00E977A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977AF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977AF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977AF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977A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977A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E977AF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E977AF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E977AF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977AF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E977AF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E977AF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E977AF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E977AF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E977A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E977AF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E977AF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E977AF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E977AF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E977A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E977A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E977A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E977A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E977AF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E977A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E977AF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E977A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E977A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E977A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E977A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E977A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E977A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E977A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E977A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E977A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E977A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E977A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E977AF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E977AF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E977AF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E977AF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E977AF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E977AF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E977AF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E977AF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E977AF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E977AF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E977AF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E977AF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E977AF"/>
    <w:pPr>
      <w:widowControl/>
      <w:numPr>
        <w:numId w:val="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E977AF"/>
    <w:pPr>
      <w:widowControl/>
      <w:numPr>
        <w:numId w:val="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E977AF"/>
    <w:pPr>
      <w:widowControl/>
      <w:numPr>
        <w:numId w:val="6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E977AF"/>
    <w:pPr>
      <w:widowControl/>
      <w:numPr>
        <w:numId w:val="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E977AF"/>
    <w:pPr>
      <w:widowControl/>
      <w:numPr>
        <w:numId w:val="8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E977AF"/>
    <w:pPr>
      <w:widowControl/>
      <w:numPr>
        <w:numId w:val="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E977AF"/>
    <w:pPr>
      <w:widowControl/>
      <w:numPr>
        <w:numId w:val="10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E977AF"/>
    <w:pPr>
      <w:widowControl/>
      <w:numPr>
        <w:numId w:val="1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E977AF"/>
    <w:pPr>
      <w:widowControl/>
      <w:numPr>
        <w:numId w:val="12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E977AF"/>
    <w:pPr>
      <w:widowControl/>
      <w:numPr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E977AF"/>
    <w:pPr>
      <w:widowControl/>
      <w:numPr>
        <w:ilvl w:val="1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E977AF"/>
    <w:pPr>
      <w:widowControl/>
      <w:numPr>
        <w:ilvl w:val="2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E977AF"/>
    <w:pPr>
      <w:widowControl/>
      <w:numPr>
        <w:ilvl w:val="3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E977AF"/>
    <w:pPr>
      <w:widowControl/>
      <w:numPr>
        <w:ilvl w:val="4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E977AF"/>
    <w:pPr>
      <w:widowControl/>
      <w:numPr>
        <w:ilvl w:val="5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E977AF"/>
    <w:pPr>
      <w:widowControl/>
      <w:numPr>
        <w:ilvl w:val="6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977A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977A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977A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977A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977A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977A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977A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E977A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977AF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977A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977A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977A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E977A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E977A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E977A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977AF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977AF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977AF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977AF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E977AF"/>
    <w:pPr>
      <w:widowControl/>
      <w:numPr>
        <w:numId w:val="1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E977AF"/>
    <w:pPr>
      <w:widowControl/>
      <w:numPr>
        <w:ilvl w:val="2"/>
        <w:numId w:val="1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E977AF"/>
    <w:pPr>
      <w:widowControl/>
      <w:numPr>
        <w:ilvl w:val="4"/>
        <w:numId w:val="14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E977AF"/>
    <w:pPr>
      <w:widowControl/>
      <w:numPr>
        <w:ilvl w:val="6"/>
        <w:numId w:val="14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E977AF"/>
    <w:pPr>
      <w:widowControl/>
      <w:numPr>
        <w:ilvl w:val="1"/>
        <w:numId w:val="1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E977AF"/>
    <w:pPr>
      <w:widowControl/>
      <w:numPr>
        <w:ilvl w:val="3"/>
        <w:numId w:val="1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E977AF"/>
    <w:pPr>
      <w:widowControl/>
      <w:numPr>
        <w:ilvl w:val="5"/>
        <w:numId w:val="14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E977AF"/>
    <w:pPr>
      <w:widowControl/>
      <w:numPr>
        <w:ilvl w:val="7"/>
        <w:numId w:val="14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E977AF"/>
    <w:pPr>
      <w:widowControl/>
      <w:numPr>
        <w:ilvl w:val="8"/>
        <w:numId w:val="14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E977AF"/>
    <w:pPr>
      <w:widowControl/>
      <w:numPr>
        <w:numId w:val="15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E977AF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E977AF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E977AF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E977AF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E977AF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E977AF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E977AF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E977A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E977A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977AF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E977AF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977AF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977AF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977AF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977AF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977AF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977A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977AF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E977AF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E977AF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977AF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E977AF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E977AF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E977A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E977A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E977AF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E977AF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E977AF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E977AF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E977AF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E977A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E977AF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E977A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E977AF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E977A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E977AF"/>
    <w:pPr>
      <w:spacing w:before="240"/>
    </w:pPr>
  </w:style>
  <w:style w:type="paragraph" w:customStyle="1" w:styleId="Accordtitre">
    <w:name w:val="Accord titre"/>
    <w:basedOn w:val="Normal"/>
    <w:rsid w:val="00E977AF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E977AF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E977AF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E977AF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977AF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977AF"/>
    <w:pPr>
      <w:spacing w:after="240"/>
    </w:pPr>
  </w:style>
  <w:style w:type="paragraph" w:customStyle="1" w:styleId="Annexetitre">
    <w:name w:val="Annexe titre"/>
    <w:basedOn w:val="Normal"/>
    <w:next w:val="Normal"/>
    <w:rsid w:val="00E977A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E977AF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E977AF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977AF"/>
    <w:rPr>
      <w:rFonts w:eastAsia="Calibri"/>
      <w:lang w:val="da-DK" w:eastAsia="en-US"/>
    </w:rPr>
  </w:style>
  <w:style w:type="character" w:styleId="EndnoteReference">
    <w:name w:val="endnote reference"/>
    <w:basedOn w:val="DefaultParagraphFont"/>
    <w:uiPriority w:val="99"/>
    <w:unhideWhenUsed/>
    <w:rsid w:val="00E977AF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E977A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E977A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E977A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E977A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E977AF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E977A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E977A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E977A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E977AF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E977A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E977AF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E977A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E977AF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E977A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E977AF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E977A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E977A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E977A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E977A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E977A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E977A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E977A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E977A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E977AF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E977A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E977A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E977AF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a-DK" w:eastAsia="en-US"/>
    </w:rPr>
  </w:style>
  <w:style w:type="paragraph" w:customStyle="1" w:styleId="CommentFwdQuotedText">
    <w:name w:val="CommentFwdQuotedText"/>
    <w:basedOn w:val="Normal"/>
    <w:rsid w:val="00E977AF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E977AF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E977AF"/>
    <w:rPr>
      <w:b/>
      <w:i/>
    </w:rPr>
  </w:style>
  <w:style w:type="character" w:customStyle="1" w:styleId="diff-tte-removed">
    <w:name w:val="diff-tte-removed"/>
    <w:basedOn w:val="DefaultParagraphFont"/>
    <w:rsid w:val="00E977AF"/>
    <w:rPr>
      <w:strike/>
    </w:rPr>
  </w:style>
  <w:style w:type="table" w:customStyle="1" w:styleId="TableGrid2">
    <w:name w:val="Table Grid2"/>
    <w:basedOn w:val="TableNormal"/>
    <w:next w:val="TableGrid"/>
    <w:uiPriority w:val="59"/>
    <w:rsid w:val="00E977AF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39"/>
    <w:rsid w:val="00E977AF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j-normal">
    <w:name w:val="oj-normal"/>
    <w:basedOn w:val="Normal"/>
    <w:rsid w:val="00E977AF"/>
    <w:pPr>
      <w:widowControl/>
      <w:spacing w:before="100" w:beforeAutospacing="1" w:after="100" w:afterAutospacing="1"/>
    </w:pPr>
    <w:rPr>
      <w:szCs w:val="24"/>
    </w:rPr>
  </w:style>
  <w:style w:type="character" w:customStyle="1" w:styleId="Hyperlink1">
    <w:name w:val="Hyperlink1"/>
    <w:basedOn w:val="DefaultParagraphFont"/>
    <w:uiPriority w:val="99"/>
    <w:unhideWhenUsed/>
    <w:rsid w:val="00E977AF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977AF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E977AF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1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EC2CC-8A5E-4DA1-A706-4F8477A95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NIELSEN Anja</cp:lastModifiedBy>
  <cp:revision>2</cp:revision>
  <cp:lastPrinted>2004-11-19T15:42:00Z</cp:lastPrinted>
  <dcterms:created xsi:type="dcterms:W3CDTF">2024-09-24T13:15:00Z</dcterms:created>
  <dcterms:modified xsi:type="dcterms:W3CDTF">2024-09-24T13:15:00Z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P9_TA(2024)0329_</vt:lpwstr>
  </property>
  <property fmtid="{D5CDD505-2E9C-101B-9397-08002B2CF9AE}" pid="4" name="&lt;Type&gt;">
    <vt:lpwstr>RR</vt:lpwstr>
  </property>
</Properties>
</file>