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F123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F123C" w:rsidRDefault="003A21EB" w:rsidP="0010095E">
            <w:pPr>
              <w:pStyle w:val="EPName"/>
            </w:pPr>
            <w:r w:rsidRPr="004F123C">
              <w:t>Euroopa Parlament</w:t>
            </w:r>
          </w:p>
          <w:p w:rsidR="00751A4A" w:rsidRPr="004F123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F123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F123C" w:rsidRDefault="00187494" w:rsidP="0010095E">
            <w:pPr>
              <w:pStyle w:val="EPLogo"/>
            </w:pPr>
            <w:r w:rsidRPr="004F123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F123C" w:rsidRDefault="00D058B8" w:rsidP="004C5D52">
      <w:pPr>
        <w:pStyle w:val="LineTop"/>
      </w:pPr>
    </w:p>
    <w:p w:rsidR="00680577" w:rsidRPr="004F123C" w:rsidRDefault="003A21EB" w:rsidP="00680577">
      <w:pPr>
        <w:pStyle w:val="EPBodyTA1"/>
      </w:pPr>
      <w:r w:rsidRPr="004F123C">
        <w:t>VASTUVÕETUD TEKSTID</w:t>
      </w:r>
    </w:p>
    <w:p w:rsidR="00D058B8" w:rsidRPr="004F123C" w:rsidRDefault="00D058B8" w:rsidP="00D058B8">
      <w:pPr>
        <w:pStyle w:val="LineBottom"/>
      </w:pPr>
    </w:p>
    <w:p w:rsidR="003A21EB" w:rsidRPr="004F123C" w:rsidRDefault="003A21EB" w:rsidP="003A21EB">
      <w:pPr>
        <w:pStyle w:val="ATHeading1"/>
      </w:pPr>
      <w:bookmarkStart w:id="0" w:name="TANumber"/>
      <w:r w:rsidRPr="004F123C">
        <w:t>P9_TA(2024)0</w:t>
      </w:r>
      <w:r w:rsidR="000C7840" w:rsidRPr="004F123C">
        <w:t>329</w:t>
      </w:r>
      <w:bookmarkEnd w:id="0"/>
    </w:p>
    <w:p w:rsidR="003A21EB" w:rsidRPr="004F123C" w:rsidRDefault="003A21EB" w:rsidP="003A21EB">
      <w:pPr>
        <w:pStyle w:val="ATHeading2"/>
      </w:pPr>
      <w:bookmarkStart w:id="1" w:name="title"/>
      <w:r w:rsidRPr="004F123C">
        <w:t xml:space="preserve">Äriühingu </w:t>
      </w:r>
      <w:proofErr w:type="spellStart"/>
      <w:r w:rsidRPr="004F123C">
        <w:t>kestlikkusalane</w:t>
      </w:r>
      <w:proofErr w:type="spellEnd"/>
      <w:r w:rsidRPr="004F123C">
        <w:t xml:space="preserve"> hoolsuskohustus</w:t>
      </w:r>
      <w:bookmarkEnd w:id="1"/>
    </w:p>
    <w:p w:rsidR="003A21EB" w:rsidRPr="004F123C" w:rsidRDefault="003A21EB" w:rsidP="003A21EB">
      <w:pPr>
        <w:rPr>
          <w:i/>
          <w:vanish/>
        </w:rPr>
      </w:pPr>
      <w:r w:rsidRPr="004F123C">
        <w:rPr>
          <w:i/>
        </w:rPr>
        <w:fldChar w:fldCharType="begin"/>
      </w:r>
      <w:r w:rsidRPr="004F123C">
        <w:rPr>
          <w:i/>
        </w:rPr>
        <w:instrText xml:space="preserve"> TC"(</w:instrText>
      </w:r>
      <w:bookmarkStart w:id="2" w:name="DocNumber"/>
      <w:r w:rsidRPr="004F123C">
        <w:rPr>
          <w:i/>
        </w:rPr>
        <w:instrText>A9-0184/2023</w:instrText>
      </w:r>
      <w:bookmarkEnd w:id="2"/>
      <w:r w:rsidRPr="004F123C">
        <w:rPr>
          <w:i/>
        </w:rPr>
        <w:instrText xml:space="preserve"> - Raportöör: Lara Wolters)"\l3 \n&gt; \* MERGEFORMAT </w:instrText>
      </w:r>
      <w:r w:rsidRPr="004F123C">
        <w:rPr>
          <w:i/>
        </w:rPr>
        <w:fldChar w:fldCharType="end"/>
      </w:r>
    </w:p>
    <w:p w:rsidR="003A21EB" w:rsidRPr="004F123C" w:rsidRDefault="003A21EB" w:rsidP="003A21EB">
      <w:pPr>
        <w:rPr>
          <w:vanish/>
        </w:rPr>
      </w:pPr>
      <w:bookmarkStart w:id="3" w:name="Commission"/>
      <w:r w:rsidRPr="004F123C">
        <w:rPr>
          <w:vanish/>
        </w:rPr>
        <w:t>Õiguskomisjon</w:t>
      </w:r>
      <w:bookmarkEnd w:id="3"/>
    </w:p>
    <w:p w:rsidR="003A21EB" w:rsidRPr="004F123C" w:rsidRDefault="003A21EB" w:rsidP="003A21EB">
      <w:pPr>
        <w:rPr>
          <w:vanish/>
        </w:rPr>
      </w:pPr>
      <w:bookmarkStart w:id="4" w:name="PE"/>
      <w:r w:rsidRPr="004F123C">
        <w:rPr>
          <w:vanish/>
        </w:rPr>
        <w:t>PE738.450</w:t>
      </w:r>
      <w:bookmarkEnd w:id="4"/>
    </w:p>
    <w:p w:rsidR="003A21EB" w:rsidRPr="004F123C" w:rsidRDefault="00530811" w:rsidP="003A21EB">
      <w:pPr>
        <w:pStyle w:val="ATHeading3"/>
      </w:pPr>
      <w:bookmarkStart w:id="5" w:name="Sujet"/>
      <w:r w:rsidRPr="004F123C">
        <w:t>Euroopa Parlamendi 24</w:t>
      </w:r>
      <w:r w:rsidR="003A21EB" w:rsidRPr="004F123C">
        <w:t>.</w:t>
      </w:r>
      <w:r w:rsidRPr="004F123C">
        <w:t> aprilli 2024. </w:t>
      </w:r>
      <w:r w:rsidR="003A21EB" w:rsidRPr="004F123C">
        <w:t>aasta seadusandlik resolutsioon ettepaneku kohta võtta vastu Euroopa Parlamendi ja nõukogu direktiiv, mis käsitleb äriühingute kestlikkusalast hoolsuskohustust ja mil</w:t>
      </w:r>
      <w:r w:rsidRPr="004F123C">
        <w:t>lega muudetakse direktiivi (EL) </w:t>
      </w:r>
      <w:r w:rsidR="003A21EB" w:rsidRPr="004F123C">
        <w:t>2019/1937</w:t>
      </w:r>
      <w:bookmarkEnd w:id="5"/>
      <w:r w:rsidR="003A21EB" w:rsidRPr="004F123C">
        <w:t xml:space="preserve"> </w:t>
      </w:r>
      <w:bookmarkStart w:id="6" w:name="References"/>
      <w:r w:rsidR="003A21EB" w:rsidRPr="004F123C">
        <w:t>(COM(2022)0071 – C</w:t>
      </w:r>
      <w:r w:rsidRPr="004F123C">
        <w:t>9</w:t>
      </w:r>
      <w:r w:rsidRPr="004F123C">
        <w:noBreakHyphen/>
      </w:r>
      <w:r w:rsidR="003A21EB" w:rsidRPr="004F123C">
        <w:t>0050/2022 – 2022/0051(COD))</w:t>
      </w:r>
      <w:bookmarkStart w:id="7" w:name="_GoBack"/>
      <w:bookmarkEnd w:id="6"/>
      <w:bookmarkEnd w:id="7"/>
    </w:p>
    <w:p w:rsidR="00F77B0F" w:rsidRPr="004F123C" w:rsidRDefault="00F77B0F" w:rsidP="00F77B0F">
      <w:pPr>
        <w:pStyle w:val="NormalBold"/>
      </w:pPr>
      <w:bookmarkStart w:id="8" w:name="TextBodyBegin"/>
      <w:bookmarkEnd w:id="8"/>
      <w:r w:rsidRPr="004F123C">
        <w:t>(Seadusandlik tavamenetlus: esimene lugemine)</w:t>
      </w:r>
    </w:p>
    <w:p w:rsidR="00F77B0F" w:rsidRPr="004F123C" w:rsidRDefault="00F77B0F" w:rsidP="00F77B0F">
      <w:pPr>
        <w:pStyle w:val="EPComma"/>
      </w:pPr>
      <w:r w:rsidRPr="004F123C">
        <w:rPr>
          <w:i/>
        </w:rPr>
        <w:t>Euroopa Parlament</w:t>
      </w:r>
      <w:r w:rsidRPr="004F123C">
        <w:t>,</w:t>
      </w:r>
    </w:p>
    <w:p w:rsidR="00F77B0F" w:rsidRPr="004F123C" w:rsidRDefault="00F77B0F" w:rsidP="00F77B0F">
      <w:pPr>
        <w:pStyle w:val="NormalHanging12a"/>
      </w:pPr>
      <w:r w:rsidRPr="004F123C">
        <w:t>–</w:t>
      </w:r>
      <w:r w:rsidRPr="004F123C">
        <w:tab/>
        <w:t>võttes arvesse komisjoni ettepanekut Euroopa Parlamendile ja nõukogule (COM(2022)0071),</w:t>
      </w:r>
    </w:p>
    <w:p w:rsidR="00F77B0F" w:rsidRPr="004F123C" w:rsidRDefault="00F77B0F" w:rsidP="00F77B0F">
      <w:pPr>
        <w:pStyle w:val="NormalHanging12a"/>
      </w:pPr>
      <w:r w:rsidRPr="004F123C">
        <w:t>–</w:t>
      </w:r>
      <w:r w:rsidRPr="004F123C">
        <w:tab/>
        <w:t xml:space="preserve">võttes arvesse Euroopa </w:t>
      </w:r>
      <w:r w:rsidR="00530811" w:rsidRPr="004F123C">
        <w:t>Liidu toimimise lepingu artikli 294 lõiget </w:t>
      </w:r>
      <w:r w:rsidRPr="004F123C">
        <w:t>2, artikli 50 lõiget 1 ja lõike 2 punkti g ning artiklit 114, mille alusel komisjon esitas ettepaneku Euroopa Parlamendile (C9</w:t>
      </w:r>
      <w:r w:rsidRPr="004F123C">
        <w:noBreakHyphen/>
        <w:t>0050/2022),</w:t>
      </w:r>
    </w:p>
    <w:p w:rsidR="00F77B0F" w:rsidRPr="004F123C" w:rsidRDefault="00F77B0F" w:rsidP="00F77B0F">
      <w:pPr>
        <w:pStyle w:val="NormalHanging12a"/>
      </w:pPr>
      <w:r w:rsidRPr="004F123C">
        <w:t>–</w:t>
      </w:r>
      <w:r w:rsidRPr="004F123C">
        <w:tab/>
        <w:t xml:space="preserve">võttes arvesse Euroopa </w:t>
      </w:r>
      <w:r w:rsidR="00530811" w:rsidRPr="004F123C">
        <w:t>Liidu toimimise lepingu artikli 294 lõiget </w:t>
      </w:r>
      <w:r w:rsidRPr="004F123C">
        <w:t>3,</w:t>
      </w:r>
    </w:p>
    <w:p w:rsidR="00F77B0F" w:rsidRPr="004F123C" w:rsidRDefault="00F77B0F" w:rsidP="00F77B0F">
      <w:pPr>
        <w:widowControl/>
        <w:spacing w:after="240"/>
        <w:ind w:left="567" w:hanging="567"/>
      </w:pPr>
      <w:r w:rsidRPr="004F123C">
        <w:t>–</w:t>
      </w:r>
      <w:r w:rsidRPr="004F123C">
        <w:tab/>
        <w:t>võttes arvesse Euroopa Majandus- ja Sotsiaalkomitee 14. juuli 2022. aasta arvamust</w:t>
      </w:r>
      <w:r w:rsidRPr="004F123C">
        <w:rPr>
          <w:rStyle w:val="FootnoteReference"/>
        </w:rPr>
        <w:footnoteReference w:id="1"/>
      </w:r>
      <w:r w:rsidRPr="004F123C">
        <w:t>,</w:t>
      </w:r>
    </w:p>
    <w:p w:rsidR="00530811" w:rsidRPr="004F123C" w:rsidRDefault="00530811" w:rsidP="00F77B0F">
      <w:pPr>
        <w:widowControl/>
        <w:spacing w:after="240"/>
        <w:ind w:left="567" w:hanging="567"/>
        <w:rPr>
          <w:szCs w:val="24"/>
        </w:rPr>
      </w:pPr>
      <w:r w:rsidRPr="004F123C">
        <w:t>–</w:t>
      </w:r>
      <w:r w:rsidRPr="004F123C">
        <w:tab/>
        <w:t>võttes arvesse vastutava komisjoni poolt kodukorra artikli 74 lõike 4 alusel heaks kiidetud esialgset kokkulepet ja nõukogu esindaja poolt 15. märtsi 2024. aasta kirjas võetud kohustust kiita Euroopa Parlamendi seisukoht heaks vastavalt Euroopa Liidu toimimise lepingu artikli 294 lõikele 4,</w:t>
      </w:r>
    </w:p>
    <w:p w:rsidR="00F77B0F" w:rsidRPr="004F123C" w:rsidRDefault="00F77B0F" w:rsidP="00F77B0F">
      <w:pPr>
        <w:pStyle w:val="NormalHanging12a"/>
      </w:pPr>
      <w:r w:rsidRPr="004F123C">
        <w:t>–</w:t>
      </w:r>
      <w:r w:rsidRPr="004F123C">
        <w:tab/>
        <w:t>võ</w:t>
      </w:r>
      <w:r w:rsidR="00530811" w:rsidRPr="004F123C">
        <w:t>ttes arvesse kodukorra artiklit </w:t>
      </w:r>
      <w:r w:rsidRPr="004F123C">
        <w:t>59,</w:t>
      </w:r>
    </w:p>
    <w:p w:rsidR="00F77B0F" w:rsidRPr="004F123C" w:rsidRDefault="00F77B0F" w:rsidP="00F77B0F">
      <w:pPr>
        <w:pStyle w:val="NormalHanging12a"/>
      </w:pPr>
      <w:r w:rsidRPr="004F123C">
        <w:t>–</w:t>
      </w:r>
      <w:r w:rsidRPr="004F123C">
        <w:tab/>
        <w:t xml:space="preserve">võttes arvesse väliskomisjoni, rahvusvahelise kaubanduse komisjoni, majandus- ja rahanduskomisjoni, tööhõive- ja sotsiaalkomisjoni, keskkonna-, rahvatervise ja toiduohutuse komisjoni, arengukomisjoni, tööstuse, teadusuuringute ja energeetikakomisjoni ning siseturu- ja tarbijakaitsekomisjoni arvamusi, </w:t>
      </w:r>
    </w:p>
    <w:p w:rsidR="00F77B0F" w:rsidRPr="004F123C" w:rsidRDefault="00F77B0F" w:rsidP="00F77B0F">
      <w:pPr>
        <w:pStyle w:val="NormalHanging12a"/>
      </w:pPr>
      <w:r w:rsidRPr="004F123C">
        <w:t>–</w:t>
      </w:r>
      <w:r w:rsidRPr="004F123C">
        <w:tab/>
        <w:t>võttes arve</w:t>
      </w:r>
      <w:r w:rsidR="00530811" w:rsidRPr="004F123C">
        <w:t>sse õiguskomisjoni raportit (A9</w:t>
      </w:r>
      <w:r w:rsidR="00530811" w:rsidRPr="004F123C">
        <w:noBreakHyphen/>
      </w:r>
      <w:r w:rsidRPr="004F123C">
        <w:t>0184/2023),</w:t>
      </w:r>
    </w:p>
    <w:p w:rsidR="00F77B0F" w:rsidRPr="004F123C" w:rsidRDefault="00F77B0F" w:rsidP="00F77B0F">
      <w:pPr>
        <w:pStyle w:val="NormalHanging12a"/>
      </w:pPr>
      <w:r w:rsidRPr="004F123C">
        <w:t>1.</w:t>
      </w:r>
      <w:r w:rsidRPr="004F123C">
        <w:tab/>
        <w:t>võtab vastu allpool toodud esimese lugemise seisukoha</w:t>
      </w:r>
      <w:r w:rsidR="00530811" w:rsidRPr="004F123C">
        <w:rPr>
          <w:rStyle w:val="FootnoteReference"/>
        </w:rPr>
        <w:footnoteReference w:id="2"/>
      </w:r>
      <w:r w:rsidRPr="004F123C">
        <w:t>;</w:t>
      </w:r>
    </w:p>
    <w:p w:rsidR="00F77B0F" w:rsidRPr="004F123C" w:rsidRDefault="00F77B0F" w:rsidP="00F77B0F">
      <w:pPr>
        <w:pStyle w:val="NormalHanging12a"/>
      </w:pPr>
      <w:r w:rsidRPr="004F123C">
        <w:lastRenderedPageBreak/>
        <w:t>2.</w:t>
      </w:r>
      <w:r w:rsidRPr="004F123C">
        <w:tab/>
        <w:t xml:space="preserve">palub komisjonil ettepaneku uuesti Euroopa Parlamendile saata, kui komisjon asendab </w:t>
      </w:r>
      <w:r w:rsidR="00530811" w:rsidRPr="004F123C">
        <w:t>selle uue</w:t>
      </w:r>
      <w:r w:rsidRPr="004F123C">
        <w:t xml:space="preserve"> ettepaneku</w:t>
      </w:r>
      <w:r w:rsidR="00530811" w:rsidRPr="004F123C">
        <w:t>ga</w:t>
      </w:r>
      <w:r w:rsidRPr="004F123C">
        <w:t>, muudab seda oluliselt või kavatseb seda oluliselt muuta;</w:t>
      </w:r>
    </w:p>
    <w:p w:rsidR="00F77B0F" w:rsidRPr="004F123C" w:rsidRDefault="00F77B0F" w:rsidP="00C70B1D">
      <w:pPr>
        <w:pStyle w:val="NormalHanging12a"/>
      </w:pPr>
      <w:r w:rsidRPr="004F123C">
        <w:t>3.</w:t>
      </w:r>
      <w:r w:rsidRPr="004F123C">
        <w:tab/>
        <w:t>teeb presidendile ülesandeks edastada Euroopa Parlamendi seisukoht nõukogule ja komisjonile ning liikmesriikide parlamentidele.</w:t>
      </w:r>
    </w:p>
    <w:p w:rsidR="00530811" w:rsidRPr="004F123C" w:rsidRDefault="00530811" w:rsidP="00F77B0F">
      <w:pPr>
        <w:pStyle w:val="AmNumberTabs"/>
        <w:sectPr w:rsidR="00530811" w:rsidRPr="004F123C" w:rsidSect="00FB173E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30811" w:rsidRPr="004F123C" w:rsidRDefault="00530811" w:rsidP="00530811">
      <w:pPr>
        <w:pStyle w:val="Statut"/>
        <w:spacing w:before="0" w:after="240"/>
        <w:jc w:val="left"/>
        <w:rPr>
          <w:b/>
        </w:rPr>
      </w:pPr>
      <w:r w:rsidRPr="004F123C">
        <w:rPr>
          <w:b/>
        </w:rPr>
        <w:lastRenderedPageBreak/>
        <w:t>P9_</w:t>
      </w:r>
      <w:r w:rsidRPr="004F123C">
        <w:rPr>
          <w:b/>
          <w:noProof/>
        </w:rPr>
        <w:t>TC1-COD</w:t>
      </w:r>
      <w:r w:rsidRPr="004F123C">
        <w:rPr>
          <w:b/>
        </w:rPr>
        <w:t>(2022)0051</w:t>
      </w:r>
    </w:p>
    <w:p w:rsidR="00530811" w:rsidRPr="00C70B1D" w:rsidRDefault="00530811" w:rsidP="00530811">
      <w:pPr>
        <w:spacing w:after="240"/>
        <w:rPr>
          <w:rFonts w:eastAsia="Calibri"/>
          <w:b/>
          <w:szCs w:val="22"/>
          <w:lang w:eastAsia="en-US"/>
        </w:rPr>
      </w:pPr>
      <w:r w:rsidRPr="00C70B1D">
        <w:rPr>
          <w:b/>
          <w:noProof/>
        </w:rPr>
        <w:t xml:space="preserve">Euroopa Parlamendi seisukoht, vastu võetud esimesel lugemisel 24. aprillil 2024. aastal eesmärgiga võtta vastu Euroopa Parlamendi ja nõukogu </w:t>
      </w:r>
      <w:r w:rsidRPr="00C70B1D">
        <w:rPr>
          <w:b/>
        </w:rPr>
        <w:t xml:space="preserve">direktiiv (EL) 2024/…, </w:t>
      </w:r>
      <w:r w:rsidRPr="00C70B1D">
        <w:rPr>
          <w:rFonts w:eastAsia="Calibri"/>
          <w:b/>
          <w:bCs/>
          <w:szCs w:val="22"/>
          <w:lang w:eastAsia="en-US"/>
        </w:rPr>
        <w:t>mis käsitleb äriühingute kestlikkusalast hoolsuskohustust ning millega muudetakse direktiivi (EL) 2019/1937</w:t>
      </w:r>
      <w:r w:rsidRPr="00C70B1D">
        <w:rPr>
          <w:rFonts w:eastAsia="Calibri"/>
          <w:szCs w:val="22"/>
          <w:lang w:eastAsia="en-US"/>
        </w:rPr>
        <w:t xml:space="preserve"> </w:t>
      </w:r>
      <w:r w:rsidRPr="00C70B1D">
        <w:rPr>
          <w:rFonts w:eastAsia="Calibri"/>
          <w:b/>
          <w:szCs w:val="22"/>
          <w:lang w:eastAsia="en-US"/>
        </w:rPr>
        <w:t>ja määrust (EL) 2023/2859</w:t>
      </w:r>
    </w:p>
    <w:p w:rsidR="00C70B1D" w:rsidRPr="004F123C" w:rsidRDefault="00C70B1D" w:rsidP="00530811">
      <w:pPr>
        <w:spacing w:after="240"/>
        <w:rPr>
          <w:rFonts w:eastAsia="Calibri"/>
          <w:szCs w:val="22"/>
          <w:lang w:eastAsia="en-US"/>
        </w:rPr>
      </w:pPr>
      <w:r w:rsidRPr="00484B01">
        <w:rPr>
          <w:i/>
        </w:rPr>
        <w:t xml:space="preserve">(Kuna Euroopa Parlament ja nõukogu jõudsid kokkuleppele, vastab Euroopa Parlamendi seisukoht õigusakti (direktiiv </w:t>
      </w:r>
      <w:r>
        <w:rPr>
          <w:i/>
        </w:rPr>
        <w:t>(EL) 2024/1760</w:t>
      </w:r>
      <w:r w:rsidRPr="00484B01">
        <w:rPr>
          <w:i/>
        </w:rPr>
        <w:t>) lõplikule kujule).</w:t>
      </w:r>
    </w:p>
    <w:sectPr w:rsidR="00C70B1D" w:rsidRPr="004F123C" w:rsidSect="00C70B1D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1EB" w:rsidRPr="00FB173E" w:rsidRDefault="003A21EB">
      <w:r w:rsidRPr="00FB173E">
        <w:separator/>
      </w:r>
    </w:p>
  </w:endnote>
  <w:endnote w:type="continuationSeparator" w:id="0">
    <w:p w:rsidR="003A21EB" w:rsidRPr="00FB173E" w:rsidRDefault="003A21EB">
      <w:r w:rsidRPr="00FB17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1EB" w:rsidRPr="00FB173E" w:rsidRDefault="003A21EB">
      <w:r w:rsidRPr="00FB173E">
        <w:separator/>
      </w:r>
    </w:p>
  </w:footnote>
  <w:footnote w:type="continuationSeparator" w:id="0">
    <w:p w:rsidR="003A21EB" w:rsidRPr="00FB173E" w:rsidRDefault="003A21EB">
      <w:r w:rsidRPr="00FB173E">
        <w:continuationSeparator/>
      </w:r>
    </w:p>
  </w:footnote>
  <w:footnote w:id="1">
    <w:p w:rsidR="00F77B0F" w:rsidRPr="00530811" w:rsidRDefault="00F77B0F" w:rsidP="00FB173E">
      <w:pPr>
        <w:pStyle w:val="FootnoteText"/>
        <w:ind w:left="567" w:hanging="567"/>
        <w:rPr>
          <w:sz w:val="24"/>
          <w:szCs w:val="18"/>
          <w:lang w:val="et-EE"/>
        </w:rPr>
      </w:pPr>
      <w:r w:rsidRPr="00C70B1D">
        <w:rPr>
          <w:rStyle w:val="FootnoteReference"/>
          <w:sz w:val="24"/>
          <w:szCs w:val="18"/>
          <w:lang w:val="et-EE"/>
        </w:rPr>
        <w:footnoteRef/>
      </w:r>
      <w:r w:rsidR="00FB173E" w:rsidRPr="00C70B1D">
        <w:rPr>
          <w:iCs/>
          <w:sz w:val="24"/>
          <w:lang w:val="et-EE"/>
        </w:rPr>
        <w:tab/>
      </w:r>
      <w:r w:rsidR="00530811" w:rsidRPr="00530811">
        <w:rPr>
          <w:iCs/>
          <w:sz w:val="24"/>
          <w:lang w:val="et-EE"/>
        </w:rPr>
        <w:t>ELT C 443, 22.11.2022, lk 81</w:t>
      </w:r>
      <w:r w:rsidRPr="00530811">
        <w:rPr>
          <w:sz w:val="24"/>
          <w:lang w:val="et-EE"/>
        </w:rPr>
        <w:t>.</w:t>
      </w:r>
    </w:p>
  </w:footnote>
  <w:footnote w:id="2">
    <w:p w:rsidR="00530811" w:rsidRPr="00530811" w:rsidRDefault="00530811" w:rsidP="00530811">
      <w:pPr>
        <w:pStyle w:val="FootnoteText"/>
        <w:ind w:left="567" w:hanging="567"/>
        <w:rPr>
          <w:sz w:val="24"/>
          <w:szCs w:val="18"/>
          <w:lang w:val="et-EE"/>
        </w:rPr>
      </w:pPr>
      <w:r w:rsidRPr="00C70B1D">
        <w:rPr>
          <w:rStyle w:val="FootnoteReference"/>
          <w:sz w:val="24"/>
          <w:szCs w:val="18"/>
          <w:lang w:val="et-EE"/>
        </w:rPr>
        <w:footnoteRef/>
      </w:r>
      <w:r w:rsidRPr="00C70B1D">
        <w:rPr>
          <w:iCs/>
          <w:sz w:val="24"/>
          <w:lang w:val="et-EE"/>
        </w:rPr>
        <w:tab/>
      </w:r>
      <w:r w:rsidRPr="00530811">
        <w:rPr>
          <w:iCs/>
          <w:sz w:val="24"/>
          <w:lang w:val="et-EE"/>
        </w:rPr>
        <w:t>Käesolev seisukoht asendab 1. juunil 2023. aastal vastu võetud muudatusettepanekud (Vastuvõetud tekstid, P9_TA(2023)0209).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7"/>
  </w:num>
  <w:num w:numId="3">
    <w:abstractNumId w:val="16"/>
  </w:num>
  <w:num w:numId="4">
    <w:abstractNumId w:val="4"/>
  </w:num>
  <w:num w:numId="5">
    <w:abstractNumId w:val="11"/>
  </w:num>
  <w:num w:numId="6">
    <w:abstractNumId w:val="14"/>
  </w:num>
  <w:num w:numId="7">
    <w:abstractNumId w:val="13"/>
  </w:num>
  <w:num w:numId="8">
    <w:abstractNumId w:val="22"/>
  </w:num>
  <w:num w:numId="9">
    <w:abstractNumId w:val="8"/>
  </w:num>
  <w:num w:numId="10">
    <w:abstractNumId w:val="9"/>
  </w:num>
  <w:num w:numId="11">
    <w:abstractNumId w:val="10"/>
  </w:num>
  <w:num w:numId="12">
    <w:abstractNumId w:val="12"/>
  </w:num>
  <w:num w:numId="13">
    <w:abstractNumId w:val="5"/>
  </w:num>
  <w:num w:numId="14">
    <w:abstractNumId w:val="23"/>
  </w:num>
  <w:num w:numId="15">
    <w:abstractNumId w:val="6"/>
  </w:num>
  <w:num w:numId="16">
    <w:abstractNumId w:val="2"/>
  </w:num>
  <w:num w:numId="17">
    <w:abstractNumId w:val="18"/>
  </w:num>
  <w:num w:numId="18">
    <w:abstractNumId w:val="17"/>
  </w:num>
  <w:num w:numId="19">
    <w:abstractNumId w:val="15"/>
  </w:num>
  <w:num w:numId="20">
    <w:abstractNumId w:val="20"/>
  </w:num>
  <w:num w:numId="21">
    <w:abstractNumId w:val="19"/>
  </w:num>
  <w:num w:numId="22">
    <w:abstractNumId w:val="21"/>
  </w:num>
  <w:num w:numId="23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84/2023"/>
    <w:docVar w:name="dvlangue" w:val="ET"/>
    <w:docVar w:name="dvnumam" w:val="1146"/>
    <w:docVar w:name="dvpe" w:val="738.450"/>
    <w:docVar w:name="dvrapporteur" w:val="Raportöör: "/>
    <w:docVar w:name="dvstar" w:val="***I"/>
    <w:docVar w:name="dvtitre" w:val="Euroopa Parlamendi .... 2024. aasta seadusandlik resolutsioon ettepaneku kohta võtta vastu Euroopa Parlamendi ja nõukogu direktiiv, mis käsitleb äriühingute kestlikkusalast hoolsuskohustust ja millega muudetakse direktiivi (EL) 2019/1937(COM(2022)0071 – C9-0050/2022 – 2022/0051(COD))"/>
  </w:docVars>
  <w:rsids>
    <w:rsidRoot w:val="003A21EB"/>
    <w:rsid w:val="00002272"/>
    <w:rsid w:val="00064002"/>
    <w:rsid w:val="000677B9"/>
    <w:rsid w:val="000831BA"/>
    <w:rsid w:val="000A42CC"/>
    <w:rsid w:val="000C7840"/>
    <w:rsid w:val="000E7DD9"/>
    <w:rsid w:val="0010095E"/>
    <w:rsid w:val="00125B37"/>
    <w:rsid w:val="00187494"/>
    <w:rsid w:val="001F32AE"/>
    <w:rsid w:val="00202CAF"/>
    <w:rsid w:val="002767FF"/>
    <w:rsid w:val="002B18FE"/>
    <w:rsid w:val="002B5493"/>
    <w:rsid w:val="00343214"/>
    <w:rsid w:val="00361C00"/>
    <w:rsid w:val="00395FA1"/>
    <w:rsid w:val="003A21E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123C"/>
    <w:rsid w:val="0050519A"/>
    <w:rsid w:val="005072A1"/>
    <w:rsid w:val="00514517"/>
    <w:rsid w:val="00530811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3AD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36AE"/>
    <w:rsid w:val="00BD48FE"/>
    <w:rsid w:val="00BD7BD8"/>
    <w:rsid w:val="00BE6ADC"/>
    <w:rsid w:val="00C05BFE"/>
    <w:rsid w:val="00C23CD4"/>
    <w:rsid w:val="00C61C0C"/>
    <w:rsid w:val="00C70B1D"/>
    <w:rsid w:val="00C713AA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7B0F"/>
    <w:rsid w:val="00F87713"/>
    <w:rsid w:val="00FB173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C3C0F8"/>
  <w15:chartTrackingRefBased/>
  <w15:docId w15:val="{BFEC908F-1FCB-48DF-9394-F871B8C1B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77B0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7B0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F77B0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7B0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7B0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B0F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B0F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F77B0F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F77B0F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F77B0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77B0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77B0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77B0F"/>
    <w:pPr>
      <w:spacing w:after="120"/>
    </w:pPr>
  </w:style>
  <w:style w:type="paragraph" w:customStyle="1" w:styleId="PageHeading">
    <w:name w:val="PageHeading"/>
    <w:basedOn w:val="Normal"/>
    <w:rsid w:val="00F77B0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77B0F"/>
    <w:rPr>
      <w:b/>
    </w:rPr>
  </w:style>
  <w:style w:type="paragraph" w:customStyle="1" w:styleId="NormalBold12a">
    <w:name w:val="NormalBold12a"/>
    <w:basedOn w:val="Normal"/>
    <w:rsid w:val="00F77B0F"/>
    <w:pPr>
      <w:spacing w:after="240"/>
    </w:pPr>
    <w:rPr>
      <w:b/>
    </w:rPr>
  </w:style>
  <w:style w:type="paragraph" w:customStyle="1" w:styleId="AmJustText">
    <w:name w:val="AmJustText"/>
    <w:basedOn w:val="Normal"/>
    <w:rsid w:val="00F77B0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77B0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77B0F"/>
    <w:pPr>
      <w:spacing w:after="480"/>
      <w:ind w:left="1417"/>
    </w:pPr>
  </w:style>
  <w:style w:type="paragraph" w:customStyle="1" w:styleId="CoverNormal">
    <w:name w:val="CoverNormal"/>
    <w:basedOn w:val="Normal"/>
    <w:rsid w:val="00F77B0F"/>
    <w:pPr>
      <w:ind w:left="1418"/>
    </w:pPr>
  </w:style>
  <w:style w:type="paragraph" w:customStyle="1" w:styleId="AmCrossRef">
    <w:name w:val="AmCrossRef"/>
    <w:basedOn w:val="Normal"/>
    <w:rsid w:val="00F77B0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77B0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77B0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77B0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77B0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77B0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77B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7B0F"/>
    <w:rPr>
      <w:sz w:val="24"/>
      <w:lang w:val="et-EE"/>
    </w:rPr>
  </w:style>
  <w:style w:type="paragraph" w:customStyle="1" w:styleId="AmOrLang">
    <w:name w:val="AmOrLang"/>
    <w:basedOn w:val="Normal"/>
    <w:rsid w:val="00F77B0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77B0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77B0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77B0F"/>
    <w:pPr>
      <w:spacing w:before="240"/>
    </w:pPr>
    <w:rPr>
      <w:b/>
    </w:rPr>
  </w:style>
  <w:style w:type="paragraph" w:customStyle="1" w:styleId="EPBody">
    <w:name w:val="EPBody"/>
    <w:basedOn w:val="Normal"/>
    <w:rsid w:val="00F77B0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77B0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77B0F"/>
    <w:pPr>
      <w:spacing w:before="480" w:after="240"/>
    </w:pPr>
  </w:style>
  <w:style w:type="paragraph" w:customStyle="1" w:styleId="Lgendesigne">
    <w:name w:val="Légende signe"/>
    <w:basedOn w:val="Normal"/>
    <w:rsid w:val="00F77B0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77B0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77B0F"/>
    <w:rPr>
      <w:sz w:val="18"/>
    </w:rPr>
  </w:style>
  <w:style w:type="paragraph" w:customStyle="1" w:styleId="msonormal0">
    <w:name w:val="msonormal"/>
    <w:basedOn w:val="Normal"/>
    <w:rsid w:val="00F77B0F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F77B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7B0F"/>
    <w:rPr>
      <w:sz w:val="24"/>
      <w:lang w:val="et-EE"/>
    </w:rPr>
  </w:style>
  <w:style w:type="character" w:customStyle="1" w:styleId="Normal12Char">
    <w:name w:val="Normal12 Char"/>
    <w:link w:val="Normal12"/>
    <w:locked/>
    <w:rsid w:val="00F77B0F"/>
    <w:rPr>
      <w:noProof/>
      <w:sz w:val="24"/>
    </w:rPr>
  </w:style>
  <w:style w:type="paragraph" w:customStyle="1" w:styleId="Normal12">
    <w:name w:val="Normal12"/>
    <w:basedOn w:val="Normal"/>
    <w:link w:val="Normal12Char"/>
    <w:rsid w:val="00F77B0F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F77B0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77B0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77B0F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77B0F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F77B0F"/>
    <w:pPr>
      <w:jc w:val="right"/>
    </w:pPr>
    <w:rPr>
      <w:rFonts w:ascii="Arial" w:hAnsi="Arial" w:cs="Arial"/>
      <w:sz w:val="22"/>
      <w:szCs w:val="22"/>
      <w:lang w:val="fr-FR"/>
    </w:rPr>
  </w:style>
  <w:style w:type="character" w:customStyle="1" w:styleId="Normal6Char">
    <w:name w:val="Normal6 Char"/>
    <w:link w:val="Normal6"/>
    <w:locked/>
    <w:rsid w:val="00F77B0F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F77B0F"/>
    <w:pPr>
      <w:spacing w:after="120"/>
    </w:pPr>
    <w:rPr>
      <w:lang w:val="fr-FR"/>
    </w:rPr>
  </w:style>
  <w:style w:type="character" w:customStyle="1" w:styleId="NormalBoldChar">
    <w:name w:val="NormalBold Char"/>
    <w:link w:val="NormalBold"/>
    <w:locked/>
    <w:rsid w:val="00F77B0F"/>
    <w:rPr>
      <w:b/>
      <w:sz w:val="24"/>
      <w:lang w:val="et-EE"/>
    </w:rPr>
  </w:style>
  <w:style w:type="paragraph" w:customStyle="1" w:styleId="Normal12Italic">
    <w:name w:val="Normal12Italic"/>
    <w:basedOn w:val="Normal12"/>
    <w:rsid w:val="00F77B0F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F77B0F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F77B0F"/>
    <w:pPr>
      <w:spacing w:before="240" w:after="240"/>
      <w:jc w:val="right"/>
    </w:pPr>
    <w:rPr>
      <w:noProof/>
      <w:szCs w:val="24"/>
      <w:lang w:val="fr-FR"/>
    </w:rPr>
  </w:style>
  <w:style w:type="paragraph" w:customStyle="1" w:styleId="ColumnHeading">
    <w:name w:val="ColumnHeading"/>
    <w:basedOn w:val="Normal"/>
    <w:rsid w:val="00F77B0F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F77B0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F77B0F"/>
    <w:pPr>
      <w:spacing w:before="240"/>
      <w:jc w:val="center"/>
    </w:pPr>
    <w:rPr>
      <w:i/>
      <w:lang w:val="fr-FR"/>
    </w:rPr>
  </w:style>
  <w:style w:type="character" w:customStyle="1" w:styleId="FooterChar2">
    <w:name w:val="Footer Char2"/>
    <w:basedOn w:val="DefaultParagraphFont"/>
    <w:semiHidden/>
    <w:rsid w:val="00F77B0F"/>
    <w:rPr>
      <w:sz w:val="24"/>
      <w:lang w:val="et-EE"/>
    </w:rPr>
  </w:style>
  <w:style w:type="character" w:customStyle="1" w:styleId="Footer2Middle">
    <w:name w:val="Footer2Middle"/>
    <w:rsid w:val="00F77B0F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F77B0F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F77B0F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7B0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7B0F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77B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77B0F"/>
    <w:rPr>
      <w:b/>
      <w:bCs/>
      <w:lang w:val="et-EE"/>
    </w:rPr>
  </w:style>
  <w:style w:type="paragraph" w:styleId="BalloonText">
    <w:name w:val="Balloon Text"/>
    <w:basedOn w:val="Normal"/>
    <w:link w:val="BalloonTextChar"/>
    <w:unhideWhenUsed/>
    <w:rsid w:val="00F77B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77B0F"/>
    <w:rPr>
      <w:rFonts w:ascii="Segoe UI" w:hAnsi="Segoe UI" w:cs="Segoe UI"/>
      <w:sz w:val="18"/>
      <w:szCs w:val="18"/>
      <w:lang w:val="et-EE"/>
    </w:rPr>
  </w:style>
  <w:style w:type="paragraph" w:customStyle="1" w:styleId="Default">
    <w:name w:val="Default"/>
    <w:rsid w:val="00F77B0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Normal12a">
    <w:name w:val="Normal12a"/>
    <w:basedOn w:val="Normal"/>
    <w:rsid w:val="00F77B0F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F77B0F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F77B0F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RollCallSymbols14pt">
    <w:name w:val="RollCallSymbols14pt"/>
    <w:basedOn w:val="Normal"/>
    <w:rsid w:val="00F77B0F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F77B0F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F77B0F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F77B0F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Normal24a">
    <w:name w:val="Normal24a"/>
    <w:basedOn w:val="Normal"/>
    <w:link w:val="Normal24aChar"/>
    <w:rsid w:val="00F77B0F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F77B0F"/>
    <w:rPr>
      <w:sz w:val="24"/>
    </w:rPr>
  </w:style>
  <w:style w:type="character" w:customStyle="1" w:styleId="Sup">
    <w:name w:val="Sup"/>
    <w:uiPriority w:val="1"/>
    <w:qFormat/>
    <w:rsid w:val="00F77B0F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F77B0F"/>
    <w:pPr>
      <w:jc w:val="center"/>
    </w:pPr>
    <w:rPr>
      <w:b/>
      <w:i/>
      <w:lang w:val="en-GB"/>
    </w:rPr>
  </w:style>
  <w:style w:type="character" w:styleId="Hyperlink">
    <w:name w:val="Hyperlink"/>
    <w:basedOn w:val="DefaultParagraphFont"/>
    <w:unhideWhenUsed/>
    <w:rsid w:val="00F77B0F"/>
    <w:rPr>
      <w:color w:val="0000FF"/>
      <w:u w:val="single"/>
    </w:rPr>
  </w:style>
  <w:style w:type="paragraph" w:customStyle="1" w:styleId="Articletitle">
    <w:name w:val="Article title"/>
    <w:basedOn w:val="Normal"/>
    <w:qFormat/>
    <w:rsid w:val="00F77B0F"/>
    <w:pPr>
      <w:keepNext/>
      <w:widowControl/>
      <w:spacing w:before="120" w:after="120"/>
      <w:jc w:val="center"/>
    </w:pPr>
    <w:rPr>
      <w:rFonts w:eastAsiaTheme="minorHAnsi"/>
      <w:b/>
      <w:bCs/>
      <w:szCs w:val="22"/>
      <w:lang w:val="en-GB" w:eastAsia="en-US"/>
    </w:rPr>
  </w:style>
  <w:style w:type="paragraph" w:customStyle="1" w:styleId="Bullet1">
    <w:name w:val="Bullet 1"/>
    <w:basedOn w:val="Normal"/>
    <w:rsid w:val="00F77B0F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styleId="Revision">
    <w:name w:val="Revision"/>
    <w:hidden/>
    <w:uiPriority w:val="99"/>
    <w:semiHidden/>
    <w:rsid w:val="00F77B0F"/>
    <w:rPr>
      <w:sz w:val="24"/>
      <w:szCs w:val="24"/>
    </w:rPr>
  </w:style>
  <w:style w:type="paragraph" w:styleId="ListBullet">
    <w:name w:val="List Bullet"/>
    <w:basedOn w:val="Normal"/>
    <w:rsid w:val="00F77B0F"/>
    <w:pPr>
      <w:tabs>
        <w:tab w:val="num" w:pos="360"/>
      </w:tabs>
      <w:ind w:left="360" w:hanging="360"/>
      <w:contextualSpacing/>
    </w:pPr>
    <w:rPr>
      <w:szCs w:val="24"/>
      <w:lang w:val="en-GB"/>
    </w:rPr>
  </w:style>
  <w:style w:type="paragraph" w:customStyle="1" w:styleId="PGreferences">
    <w:name w:val="PG references"/>
    <w:basedOn w:val="Normal"/>
    <w:next w:val="Normal"/>
    <w:rsid w:val="00F77B0F"/>
    <w:pPr>
      <w:widowControl/>
      <w:tabs>
        <w:tab w:val="right" w:pos="9299"/>
      </w:tabs>
      <w:snapToGrid w:val="0"/>
      <w:jc w:val="both"/>
    </w:pPr>
    <w:rPr>
      <w:rFonts w:ascii="Arial" w:hAnsi="Arial"/>
      <w:lang w:val="fr-FR"/>
    </w:rPr>
  </w:style>
  <w:style w:type="character" w:styleId="FollowedHyperlink">
    <w:name w:val="FollowedHyperlink"/>
    <w:basedOn w:val="DefaultParagraphFont"/>
    <w:unhideWhenUsed/>
    <w:rsid w:val="00F77B0F"/>
    <w:rPr>
      <w:color w:val="954F72" w:themeColor="followedHyperlink"/>
      <w:u w:val="single"/>
    </w:rPr>
  </w:style>
  <w:style w:type="paragraph" w:customStyle="1" w:styleId="CoverBold">
    <w:name w:val="CoverBold"/>
    <w:basedOn w:val="Normal"/>
    <w:rsid w:val="00F77B0F"/>
    <w:pPr>
      <w:ind w:left="1417"/>
    </w:pPr>
    <w:rPr>
      <w:b/>
      <w:lang w:val="en-GB"/>
    </w:rPr>
  </w:style>
  <w:style w:type="paragraph" w:styleId="ListParagraph">
    <w:name w:val="List Paragraph"/>
    <w:basedOn w:val="Normal"/>
    <w:uiPriority w:val="34"/>
    <w:qFormat/>
    <w:rsid w:val="00F77B0F"/>
    <w:pPr>
      <w:ind w:left="720"/>
      <w:contextualSpacing/>
    </w:pPr>
    <w:rPr>
      <w:lang w:val="en-GB"/>
    </w:rPr>
  </w:style>
  <w:style w:type="character" w:styleId="SubtleEmphasis">
    <w:name w:val="Subtle Emphasis"/>
    <w:basedOn w:val="DefaultParagraphFont"/>
    <w:uiPriority w:val="19"/>
    <w:qFormat/>
    <w:rsid w:val="00F77B0F"/>
    <w:rPr>
      <w:i/>
      <w:iCs/>
      <w:color w:val="404040" w:themeColor="text1" w:themeTint="BF"/>
    </w:rPr>
  </w:style>
  <w:style w:type="character" w:customStyle="1" w:styleId="FooterChar1">
    <w:name w:val="Footer Char1"/>
    <w:basedOn w:val="DefaultParagraphFont"/>
    <w:semiHidden/>
    <w:rsid w:val="00F77B0F"/>
    <w:rPr>
      <w:sz w:val="24"/>
    </w:rPr>
  </w:style>
  <w:style w:type="paragraph" w:customStyle="1" w:styleId="Statut">
    <w:name w:val="Statut"/>
    <w:basedOn w:val="Normal"/>
    <w:next w:val="Normal"/>
    <w:rsid w:val="00530811"/>
    <w:pPr>
      <w:widowControl/>
      <w:spacing w:before="360"/>
      <w:jc w:val="center"/>
    </w:pPr>
    <w:rPr>
      <w:szCs w:val="24"/>
      <w:lang w:eastAsia="de-DE"/>
    </w:rPr>
  </w:style>
  <w:style w:type="paragraph" w:customStyle="1" w:styleId="AmDocTypeTab">
    <w:name w:val="AmDocTypeTab"/>
    <w:basedOn w:val="Normal"/>
    <w:rsid w:val="0053081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30811"/>
    <w:pPr>
      <w:spacing w:after="240"/>
      <w:jc w:val="center"/>
    </w:pPr>
  </w:style>
  <w:style w:type="paragraph" w:customStyle="1" w:styleId="AmDateTab">
    <w:name w:val="AmDateTab"/>
    <w:basedOn w:val="Normal"/>
    <w:rsid w:val="0053081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30811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530811"/>
  </w:style>
  <w:style w:type="paragraph" w:customStyle="1" w:styleId="TOC11">
    <w:name w:val="TOC 11"/>
    <w:basedOn w:val="Normal"/>
    <w:next w:val="Normal"/>
    <w:uiPriority w:val="39"/>
    <w:semiHidden/>
    <w:unhideWhenUsed/>
    <w:rsid w:val="0053081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53081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53081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53081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530811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530811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530811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53081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53081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30811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30811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3081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3081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530811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530811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530811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53081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3081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3081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3081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3081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3081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53081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53081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53081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53081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530811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53081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30811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3081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53081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53081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3081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3081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3081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3081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53081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53081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53081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53081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530811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30811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30811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30811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30811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530811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30811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30811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30811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30811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30811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53081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530811"/>
    <w:pPr>
      <w:widowControl/>
      <w:numPr>
        <w:numId w:val="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530811"/>
    <w:pPr>
      <w:widowControl/>
      <w:numPr>
        <w:numId w:val="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530811"/>
    <w:pPr>
      <w:widowControl/>
      <w:numPr>
        <w:numId w:val="6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530811"/>
    <w:pPr>
      <w:widowControl/>
      <w:numPr>
        <w:numId w:val="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530811"/>
    <w:pPr>
      <w:widowControl/>
      <w:numPr>
        <w:numId w:val="8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530811"/>
    <w:pPr>
      <w:widowControl/>
      <w:numPr>
        <w:numId w:val="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530811"/>
    <w:pPr>
      <w:widowControl/>
      <w:numPr>
        <w:numId w:val="10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530811"/>
    <w:pPr>
      <w:widowControl/>
      <w:numPr>
        <w:numId w:val="1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530811"/>
    <w:pPr>
      <w:widowControl/>
      <w:numPr>
        <w:numId w:val="12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30811"/>
    <w:pPr>
      <w:widowControl/>
      <w:numPr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30811"/>
    <w:pPr>
      <w:widowControl/>
      <w:numPr>
        <w:ilvl w:val="1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30811"/>
    <w:pPr>
      <w:widowControl/>
      <w:numPr>
        <w:ilvl w:val="2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30811"/>
    <w:pPr>
      <w:widowControl/>
      <w:numPr>
        <w:ilvl w:val="3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530811"/>
    <w:pPr>
      <w:widowControl/>
      <w:numPr>
        <w:ilvl w:val="4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30811"/>
    <w:pPr>
      <w:widowControl/>
      <w:numPr>
        <w:ilvl w:val="5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30811"/>
    <w:pPr>
      <w:widowControl/>
      <w:numPr>
        <w:ilvl w:val="6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3081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3081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3081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3081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3081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3081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3081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3081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30811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3081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3081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3081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53081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53081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53081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30811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30811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30811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30811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530811"/>
    <w:pPr>
      <w:widowControl/>
      <w:numPr>
        <w:numId w:val="1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30811"/>
    <w:pPr>
      <w:widowControl/>
      <w:numPr>
        <w:ilvl w:val="2"/>
        <w:numId w:val="1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30811"/>
    <w:pPr>
      <w:widowControl/>
      <w:numPr>
        <w:ilvl w:val="4"/>
        <w:numId w:val="14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30811"/>
    <w:pPr>
      <w:widowControl/>
      <w:numPr>
        <w:ilvl w:val="6"/>
        <w:numId w:val="14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30811"/>
    <w:pPr>
      <w:widowControl/>
      <w:numPr>
        <w:ilvl w:val="1"/>
        <w:numId w:val="1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530811"/>
    <w:pPr>
      <w:widowControl/>
      <w:numPr>
        <w:ilvl w:val="3"/>
        <w:numId w:val="1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30811"/>
    <w:pPr>
      <w:widowControl/>
      <w:numPr>
        <w:ilvl w:val="5"/>
        <w:numId w:val="14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30811"/>
    <w:pPr>
      <w:widowControl/>
      <w:numPr>
        <w:ilvl w:val="7"/>
        <w:numId w:val="14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30811"/>
    <w:pPr>
      <w:widowControl/>
      <w:numPr>
        <w:ilvl w:val="8"/>
        <w:numId w:val="14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530811"/>
    <w:pPr>
      <w:widowControl/>
      <w:numPr>
        <w:numId w:val="15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30811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30811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30811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530811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530811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530811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530811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3081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3081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30811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530811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3081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30811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30811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30811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30811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3081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30811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530811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30811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530811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53081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53081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53081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30811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530811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530811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530811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530811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53081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530811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3081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530811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3081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30811"/>
    <w:pPr>
      <w:spacing w:before="240"/>
    </w:pPr>
  </w:style>
  <w:style w:type="paragraph" w:customStyle="1" w:styleId="Accordtitre">
    <w:name w:val="Accord titre"/>
    <w:basedOn w:val="Normal"/>
    <w:rsid w:val="00530811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53081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53081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30811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3081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30811"/>
    <w:pPr>
      <w:spacing w:after="240"/>
    </w:pPr>
  </w:style>
  <w:style w:type="paragraph" w:customStyle="1" w:styleId="Annexetitre">
    <w:name w:val="Annexe titre"/>
    <w:basedOn w:val="Normal"/>
    <w:next w:val="Normal"/>
    <w:rsid w:val="0053081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530811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530811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530811"/>
    <w:rPr>
      <w:lang w:val="et-EE"/>
    </w:rPr>
  </w:style>
  <w:style w:type="character" w:styleId="EndnoteReference">
    <w:name w:val="endnote reference"/>
    <w:basedOn w:val="DefaultParagraphFont"/>
    <w:uiPriority w:val="99"/>
    <w:unhideWhenUsed/>
    <w:rsid w:val="00530811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53081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3081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3081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3081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3081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3081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3081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3081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3081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3081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3081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3081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3081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3081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3081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3081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3081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3081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3081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3081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3081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3081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3081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30811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3081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3081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530811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53081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30811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530811"/>
    <w:rPr>
      <w:b/>
      <w:i/>
    </w:rPr>
  </w:style>
  <w:style w:type="character" w:customStyle="1" w:styleId="diff-tte-removed">
    <w:name w:val="diff-tte-removed"/>
    <w:basedOn w:val="DefaultParagraphFont"/>
    <w:rsid w:val="00530811"/>
    <w:rPr>
      <w:strike/>
    </w:rPr>
  </w:style>
  <w:style w:type="table" w:customStyle="1" w:styleId="TableGrid2">
    <w:name w:val="Table Grid2"/>
    <w:basedOn w:val="TableNormal"/>
    <w:next w:val="TableGrid"/>
    <w:uiPriority w:val="59"/>
    <w:rsid w:val="00530811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39"/>
    <w:rsid w:val="00530811"/>
    <w:rPr>
      <w:rFonts w:ascii="Calibri" w:eastAsia="Calibri" w:hAnsi="Calibri" w:cs="Arial"/>
      <w:sz w:val="22"/>
      <w:szCs w:val="22"/>
      <w:lang w:val="de-D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vision1">
    <w:name w:val="Revision1"/>
    <w:next w:val="Revision"/>
    <w:hidden/>
    <w:uiPriority w:val="99"/>
    <w:semiHidden/>
    <w:rsid w:val="00530811"/>
    <w:rPr>
      <w:rFonts w:eastAsia="Calibri"/>
      <w:sz w:val="24"/>
      <w:szCs w:val="22"/>
      <w:lang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530811"/>
    <w:pPr>
      <w:widowControl/>
      <w:spacing w:before="120" w:after="120"/>
    </w:pPr>
    <w:rPr>
      <w:sz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530811"/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530811"/>
    <w:pPr>
      <w:widowControl/>
    </w:pPr>
    <w:rPr>
      <w:rFonts w:ascii="Segoe UI" w:hAnsi="Segoe UI" w:cs="Segoe UI"/>
      <w:sz w:val="18"/>
      <w:szCs w:val="18"/>
    </w:rPr>
  </w:style>
  <w:style w:type="paragraph" w:customStyle="1" w:styleId="oj-normal">
    <w:name w:val="oj-normal"/>
    <w:basedOn w:val="Normal"/>
    <w:rsid w:val="00530811"/>
    <w:pPr>
      <w:widowControl/>
      <w:spacing w:before="100" w:beforeAutospacing="1" w:after="100" w:afterAutospacing="1"/>
    </w:pPr>
    <w:rPr>
      <w:szCs w:val="24"/>
    </w:rPr>
  </w:style>
  <w:style w:type="character" w:customStyle="1" w:styleId="Hyperlink1">
    <w:name w:val="Hyperlink1"/>
    <w:basedOn w:val="DefaultParagraphFont"/>
    <w:uiPriority w:val="99"/>
    <w:unhideWhenUsed/>
    <w:rsid w:val="00530811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30811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530811"/>
    <w:rPr>
      <w:color w:val="954F72"/>
      <w:u w:val="single"/>
    </w:rPr>
  </w:style>
  <w:style w:type="paragraph" w:styleId="EndnoteText">
    <w:name w:val="endnote text"/>
    <w:basedOn w:val="Normal"/>
    <w:link w:val="EndnoteTextChar1"/>
    <w:rsid w:val="00530811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530811"/>
    <w:rPr>
      <w:lang w:val="et-EE"/>
    </w:rPr>
  </w:style>
  <w:style w:type="character" w:customStyle="1" w:styleId="CommentTextChar1">
    <w:name w:val="Comment Text Char1"/>
    <w:basedOn w:val="DefaultParagraphFont"/>
    <w:rsid w:val="00530811"/>
    <w:rPr>
      <w:lang w:val="et-EE"/>
    </w:rPr>
  </w:style>
  <w:style w:type="character" w:customStyle="1" w:styleId="CommentSubjectChar1">
    <w:name w:val="Comment Subject Char1"/>
    <w:basedOn w:val="CommentTextChar1"/>
    <w:rsid w:val="00530811"/>
    <w:rPr>
      <w:b/>
      <w:bCs/>
      <w:lang w:val="et-EE"/>
    </w:rPr>
  </w:style>
  <w:style w:type="character" w:customStyle="1" w:styleId="BalloonTextChar1">
    <w:name w:val="Balloon Text Char1"/>
    <w:basedOn w:val="DefaultParagraphFont"/>
    <w:rsid w:val="00530811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CD10F-A2FC-47AC-A703-0F9328500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LEPLER Laura</cp:lastModifiedBy>
  <cp:revision>2</cp:revision>
  <cp:lastPrinted>2004-11-19T15:42:00Z</cp:lastPrinted>
  <dcterms:created xsi:type="dcterms:W3CDTF">2024-09-16T13:57:00Z</dcterms:created>
  <dcterms:modified xsi:type="dcterms:W3CDTF">2024-09-16T13:57:00Z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P9_TA(2024)0329_</vt:lpwstr>
  </property>
  <property fmtid="{D5CDD505-2E9C-101B-9397-08002B2CF9AE}" pid="4" name="&lt;Type&gt;">
    <vt:lpwstr>RR</vt:lpwstr>
  </property>
</Properties>
</file>