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55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5554" w:rsidRDefault="0097263C" w:rsidP="0010095E">
            <w:pPr>
              <w:pStyle w:val="EPName"/>
            </w:pPr>
            <w:r w:rsidRPr="00805554">
              <w:t>Parlament Ewropew</w:t>
            </w:r>
          </w:p>
          <w:p w:rsidR="00751A4A" w:rsidRPr="008055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555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5554" w:rsidRDefault="00187494" w:rsidP="0010095E">
            <w:pPr>
              <w:pStyle w:val="EPLogo"/>
            </w:pPr>
            <w:r w:rsidRPr="008055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5554" w:rsidRDefault="00D058B8" w:rsidP="004C5D52">
      <w:pPr>
        <w:pStyle w:val="LineTop"/>
      </w:pPr>
    </w:p>
    <w:p w:rsidR="00680577" w:rsidRPr="00805554" w:rsidRDefault="0097263C" w:rsidP="00680577">
      <w:pPr>
        <w:pStyle w:val="EPBodyTA1"/>
      </w:pPr>
      <w:r w:rsidRPr="00805554">
        <w:t>TESTI ADOTTATI</w:t>
      </w:r>
    </w:p>
    <w:p w:rsidR="00D058B8" w:rsidRPr="00805554" w:rsidRDefault="00D058B8" w:rsidP="00D058B8">
      <w:pPr>
        <w:pStyle w:val="LineBottom"/>
      </w:pPr>
    </w:p>
    <w:p w:rsidR="0097263C" w:rsidRPr="00805554" w:rsidRDefault="0097263C" w:rsidP="0097263C">
      <w:pPr>
        <w:pStyle w:val="ATHeading1"/>
      </w:pPr>
      <w:bookmarkStart w:id="0" w:name="TANumber"/>
      <w:r w:rsidRPr="00805554">
        <w:t>P9_TA(2024)0</w:t>
      </w:r>
      <w:r w:rsidR="00805554" w:rsidRPr="00805554">
        <w:t>329</w:t>
      </w:r>
      <w:bookmarkEnd w:id="0"/>
    </w:p>
    <w:p w:rsidR="0097263C" w:rsidRPr="00805554" w:rsidRDefault="0097263C" w:rsidP="0097263C">
      <w:pPr>
        <w:pStyle w:val="ATHeading2"/>
      </w:pPr>
      <w:bookmarkStart w:id="1" w:name="title"/>
      <w:r w:rsidRPr="00805554">
        <w:t>Diliġenza Dovuta tas-Sostenibbiltà Korporattiva</w:t>
      </w:r>
      <w:bookmarkEnd w:id="1"/>
    </w:p>
    <w:p w:rsidR="0097263C" w:rsidRPr="00805554" w:rsidRDefault="0097263C" w:rsidP="0097263C">
      <w:pPr>
        <w:rPr>
          <w:i/>
          <w:vanish/>
        </w:rPr>
      </w:pPr>
      <w:r w:rsidRPr="00805554">
        <w:rPr>
          <w:i/>
        </w:rPr>
        <w:fldChar w:fldCharType="begin"/>
      </w:r>
      <w:r w:rsidRPr="00805554">
        <w:rPr>
          <w:i/>
        </w:rPr>
        <w:instrText xml:space="preserve"> TC"(</w:instrText>
      </w:r>
      <w:bookmarkStart w:id="2" w:name="DocNumber"/>
      <w:r w:rsidRPr="00805554">
        <w:rPr>
          <w:i/>
        </w:rPr>
        <w:instrText>A9-0184/2023</w:instrText>
      </w:r>
      <w:bookmarkEnd w:id="2"/>
      <w:r w:rsidRPr="00805554">
        <w:rPr>
          <w:i/>
        </w:rPr>
        <w:instrText xml:space="preserve"> - Rapporteur: Lara Wolters)"\l3 \n&gt; \* MERGEFORMAT </w:instrText>
      </w:r>
      <w:r w:rsidRPr="00805554">
        <w:rPr>
          <w:i/>
        </w:rPr>
        <w:fldChar w:fldCharType="end"/>
      </w:r>
    </w:p>
    <w:p w:rsidR="0097263C" w:rsidRPr="00805554" w:rsidRDefault="0097263C" w:rsidP="0097263C">
      <w:pPr>
        <w:rPr>
          <w:vanish/>
        </w:rPr>
      </w:pPr>
      <w:bookmarkStart w:id="3" w:name="Commission"/>
      <w:r w:rsidRPr="00805554">
        <w:rPr>
          <w:vanish/>
        </w:rPr>
        <w:t>Kumitat għall-Affarijiet Legali</w:t>
      </w:r>
      <w:bookmarkEnd w:id="3"/>
    </w:p>
    <w:p w:rsidR="0097263C" w:rsidRPr="00805554" w:rsidRDefault="0097263C" w:rsidP="0097263C">
      <w:pPr>
        <w:rPr>
          <w:vanish/>
        </w:rPr>
      </w:pPr>
      <w:bookmarkStart w:id="4" w:name="PE"/>
      <w:r w:rsidRPr="00805554">
        <w:rPr>
          <w:vanish/>
        </w:rPr>
        <w:t>PE738.450</w:t>
      </w:r>
      <w:bookmarkEnd w:id="4"/>
    </w:p>
    <w:p w:rsidR="0097263C" w:rsidRPr="00805554" w:rsidRDefault="0097263C" w:rsidP="0097263C">
      <w:pPr>
        <w:pStyle w:val="ATHeading3"/>
      </w:pPr>
      <w:bookmarkStart w:id="5" w:name="Sujet"/>
      <w:r w:rsidRPr="00805554">
        <w:t>Riżoluzzjoni leġiżlattiva tal-Parlament Ewropew tal-24 ta' April 2024 dwar il-proposta għal direttiva tal-Parlament Ewropew u tal-Kunsill dwar id-Diliġenza Dovuta tas-Sostenibbiltà Korporattiva u li temenda d-Direttiva (UE) 2019/1937</w:t>
      </w:r>
      <w:bookmarkEnd w:id="5"/>
      <w:r w:rsidRPr="00805554">
        <w:t xml:space="preserve"> </w:t>
      </w:r>
      <w:bookmarkStart w:id="6" w:name="References"/>
      <w:r w:rsidRPr="00805554">
        <w:t>(COM(2022)0071 – C9-0050/2022 – 2022/0051(COD))</w:t>
      </w:r>
      <w:bookmarkEnd w:id="6"/>
    </w:p>
    <w:p w:rsidR="008C76EB" w:rsidRPr="00805554" w:rsidRDefault="008C76EB" w:rsidP="008C76EB">
      <w:pPr>
        <w:pStyle w:val="NormalBold"/>
      </w:pPr>
      <w:bookmarkStart w:id="7" w:name="TextBodyBegin"/>
      <w:bookmarkEnd w:id="7"/>
      <w:r w:rsidRPr="00805554">
        <w:t>(Proċedura leġiżlattiva ordinarja: l-ewwel qari)</w:t>
      </w:r>
    </w:p>
    <w:p w:rsidR="008C76EB" w:rsidRPr="00805554" w:rsidRDefault="008C76EB" w:rsidP="008C76EB">
      <w:pPr>
        <w:pStyle w:val="EPComma"/>
      </w:pPr>
      <w:r w:rsidRPr="00805554">
        <w:rPr>
          <w:i/>
          <w:iCs/>
        </w:rPr>
        <w:t>Il-Parlament Ewropew</w:t>
      </w:r>
      <w:r w:rsidRPr="00805554">
        <w:t>,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>wara li kkunsidra l-proposta tal-Kummissjoni lill-Parlament Ewropew u lill-Kunsill (COM(2022)0071),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>wara li kkunsidra l-Artikolu 294(2), l-Artikolu 50(1)</w:t>
      </w:r>
      <w:r w:rsidR="00D041FA" w:rsidRPr="00805554">
        <w:t xml:space="preserve">, l-Artikolu 50(2), il-punt </w:t>
      </w:r>
      <w:r w:rsidRPr="00805554">
        <w:t>(g)</w:t>
      </w:r>
      <w:r w:rsidR="00574EBE" w:rsidRPr="00805554">
        <w:t>,</w:t>
      </w:r>
      <w:r w:rsidRPr="00805554">
        <w:t xml:space="preserve"> u l-Artikolu 114 tat-Trattat dwar il-Funzjonament tal-Unjoni Ewropea, skont liema artikoli l-Kummissjoni ppreżentat il-proposta lill-Parlament (C9</w:t>
      </w:r>
      <w:r w:rsidRPr="00805554">
        <w:noBreakHyphen/>
        <w:t>0050/2022),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>wara li kkunsidra l-Artikolu 294(3) tat-Trattat dwar il-Funzjonament tal-Unjoni Ewropea,</w:t>
      </w:r>
    </w:p>
    <w:p w:rsidR="008C76EB" w:rsidRPr="00805554" w:rsidRDefault="008C76EB" w:rsidP="008C76EB">
      <w:pPr>
        <w:widowControl/>
        <w:spacing w:after="240"/>
        <w:ind w:left="567" w:hanging="567"/>
      </w:pPr>
      <w:r w:rsidRPr="00805554">
        <w:t>–</w:t>
      </w:r>
      <w:r w:rsidRPr="00805554">
        <w:tab/>
        <w:t>wara li kkunsidra l-opinjoni tal-Kumitat Ekonomiku u Soċjali Ewropew tal-14 ta’ Lulju 2022</w:t>
      </w:r>
      <w:r w:rsidRPr="00805554">
        <w:rPr>
          <w:rStyle w:val="FootnoteReference"/>
        </w:rPr>
        <w:footnoteReference w:id="1"/>
      </w:r>
      <w:r w:rsidRPr="00805554">
        <w:t>,</w:t>
      </w:r>
    </w:p>
    <w:p w:rsidR="00D041FA" w:rsidRPr="00805554" w:rsidRDefault="00D041FA" w:rsidP="00D041FA">
      <w:pPr>
        <w:widowControl/>
        <w:spacing w:after="240"/>
        <w:ind w:left="567" w:hanging="567"/>
      </w:pPr>
      <w:r w:rsidRPr="00805554">
        <w:t>–</w:t>
      </w:r>
      <w:r w:rsidRPr="00805554">
        <w:tab/>
        <w:t>wara li kkunsidra l-ftehim proviżorju approvat mill-kumitat responsabbli fis-sens tal-Artikolu 74(4) tar-Regoli ta' Proċedura tiegħu u l-impenn meħud mir-rappreżentant tal-Kunsill, permezz tal-ittra tal-15 ta' Marzu 2024, li japprova l-pożizzjoni tal-Parlament, skont l-Artikolu 294(4) tat-Trattat dwar il-Funzjonament tal-Unjoni Ewropea,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>wara li kkunsidra l-Artikolu 59 tar-Regoli ta’ Proċedura tiegħu,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 xml:space="preserve">wara li kkunsidra l-opinjonijiet tal-Kumitat għall-Affarijiet Barranin, il-Kumitat għall-Kummerċ Internazzjonali, il-Kumitat għall-Affarijiet Ekonomiċi u Monetarji, il-Kumitat għall-Impjiegi u l-Affarijiet Soċjali, il-Kumitat għall-Ambjent, is-Saħħa Pubblika u s-Sikurezza tal-Ikel, il-Kumitat għall-Iżvilupp, il-Kumitat għall-Industrija, </w:t>
      </w:r>
      <w:r w:rsidRPr="00805554">
        <w:lastRenderedPageBreak/>
        <w:t xml:space="preserve">ir-Riċerka u l-Enerġija, il-Kumitat għas-Suq Intern u l-Ħarsien tal-Konsumatur, </w:t>
      </w:r>
    </w:p>
    <w:p w:rsidR="008C76EB" w:rsidRPr="00805554" w:rsidRDefault="008C76EB" w:rsidP="008C76EB">
      <w:pPr>
        <w:pStyle w:val="NormalHanging12a"/>
      </w:pPr>
      <w:r w:rsidRPr="00805554">
        <w:t>–</w:t>
      </w:r>
      <w:r w:rsidRPr="00805554">
        <w:tab/>
        <w:t>wara li kkunsidra r-rapport tal-Kumitat għall-Affarijiet Legali (A9-0184/2023),</w:t>
      </w:r>
    </w:p>
    <w:p w:rsidR="008C76EB" w:rsidRPr="00805554" w:rsidRDefault="008C76EB" w:rsidP="008C76EB">
      <w:pPr>
        <w:pStyle w:val="NormalHanging12a"/>
      </w:pPr>
      <w:r w:rsidRPr="00805554">
        <w:t>1.</w:t>
      </w:r>
      <w:r w:rsidRPr="00805554">
        <w:tab/>
        <w:t>Jadotta l-pożizzjoni fl-ewwel qari li tidher hawn taħt</w:t>
      </w:r>
      <w:r w:rsidR="007C6858" w:rsidRPr="00805554">
        <w:rPr>
          <w:rStyle w:val="FootnoteReference"/>
        </w:rPr>
        <w:footnoteReference w:id="2"/>
      </w:r>
      <w:r w:rsidRPr="00805554">
        <w:t>;</w:t>
      </w:r>
    </w:p>
    <w:p w:rsidR="008C76EB" w:rsidRPr="00805554" w:rsidRDefault="008C76EB" w:rsidP="008C76EB">
      <w:pPr>
        <w:pStyle w:val="NormalHanging12a"/>
      </w:pPr>
      <w:r w:rsidRPr="00805554">
        <w:t>2.</w:t>
      </w:r>
      <w:r w:rsidRPr="00805554">
        <w:tab/>
        <w:t>Jitlob lill-Kummissjoni terġa’ tirreferi l-kwistjoni lill-Parlament jekk tibdel il-proposta tagħha, temendaha b’mod sustanzjali jew ikollha l-ħsieb li temendaha b’mod sustanzjali;</w:t>
      </w:r>
    </w:p>
    <w:p w:rsidR="00D041FA" w:rsidRPr="00805554" w:rsidRDefault="008C76EB" w:rsidP="008C76EB">
      <w:pPr>
        <w:pStyle w:val="NormalHanging12a"/>
        <w:sectPr w:rsidR="00D041FA" w:rsidRPr="00805554" w:rsidSect="00DB4BE7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5554">
        <w:t>3.</w:t>
      </w:r>
      <w:r w:rsidRPr="00805554">
        <w:tab/>
        <w:t>Jagħti istruzzjonijiet lill-President tiegħu biex tgħaddi l-pożizzjoni tal-Parlament lill-Kunsill u lill-Kummissjoni kif ukoll lill-parlamenti nazzjonali.</w:t>
      </w:r>
    </w:p>
    <w:p w:rsidR="00D041FA" w:rsidRPr="00805554" w:rsidRDefault="00D041FA" w:rsidP="00D041F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05554">
        <w:rPr>
          <w:rFonts w:eastAsia="Calibri"/>
          <w:b/>
          <w:bCs/>
          <w:color w:val="000000"/>
          <w:szCs w:val="24"/>
        </w:rPr>
        <w:lastRenderedPageBreak/>
        <w:t>P9_TC1-COD(2022)0051</w:t>
      </w:r>
    </w:p>
    <w:p w:rsidR="00D041FA" w:rsidRPr="00805554" w:rsidRDefault="00D041FA" w:rsidP="00D041FA">
      <w:pPr>
        <w:widowControl/>
        <w:autoSpaceDE w:val="0"/>
        <w:autoSpaceDN w:val="0"/>
        <w:adjustRightInd w:val="0"/>
        <w:spacing w:before="120" w:after="120"/>
        <w:rPr>
          <w:rFonts w:eastAsia="Calibri"/>
          <w:szCs w:val="22"/>
          <w:lang w:eastAsia="en-US"/>
        </w:rPr>
      </w:pPr>
      <w:r w:rsidRPr="00805554">
        <w:rPr>
          <w:rFonts w:eastAsia="Calibri"/>
          <w:b/>
          <w:bCs/>
        </w:rPr>
        <w:t>Pożizzjoni tal-Parlament Ewropew adottata fl-ewwel qari tal-24</w:t>
      </w:r>
      <w:r w:rsidRPr="00805554">
        <w:rPr>
          <w:b/>
        </w:rPr>
        <w:t xml:space="preserve"> </w:t>
      </w:r>
      <w:r w:rsidRPr="00805554">
        <w:rPr>
          <w:rFonts w:eastAsia="Calibri"/>
          <w:b/>
          <w:bCs/>
        </w:rPr>
        <w:t>ta' April 2024 bil-ħsieb tal-</w:t>
      </w:r>
      <w:r w:rsidRPr="008E0E8E">
        <w:rPr>
          <w:rFonts w:eastAsia="Calibri"/>
          <w:b/>
          <w:bCs/>
        </w:rPr>
        <w:t xml:space="preserve">adozzjoni tad-Direttiva (UE) 2024/... </w:t>
      </w:r>
      <w:r w:rsidRPr="008E0E8E">
        <w:rPr>
          <w:b/>
          <w:color w:val="000000"/>
          <w:szCs w:val="22"/>
        </w:rPr>
        <w:t>tal-Parlament Ewropew u tal-Kunsill</w:t>
      </w:r>
      <w:r w:rsidRPr="008E0E8E">
        <w:rPr>
          <w:rFonts w:eastAsia="Calibri"/>
          <w:b/>
          <w:szCs w:val="22"/>
        </w:rPr>
        <w:t xml:space="preserve"> dwar id-</w:t>
      </w:r>
      <w:r w:rsidR="007C6858" w:rsidRPr="008E0E8E">
        <w:rPr>
          <w:rFonts w:eastAsia="Calibri"/>
          <w:b/>
          <w:szCs w:val="22"/>
        </w:rPr>
        <w:t>d</w:t>
      </w:r>
      <w:r w:rsidRPr="008E0E8E">
        <w:rPr>
          <w:rFonts w:eastAsia="Calibri"/>
          <w:b/>
          <w:szCs w:val="22"/>
        </w:rPr>
        <w:t xml:space="preserve">iliġenza </w:t>
      </w:r>
      <w:r w:rsidR="007C6858" w:rsidRPr="008E0E8E">
        <w:rPr>
          <w:rFonts w:eastAsia="Calibri"/>
          <w:b/>
          <w:szCs w:val="22"/>
        </w:rPr>
        <w:t>d</w:t>
      </w:r>
      <w:r w:rsidRPr="008E0E8E">
        <w:rPr>
          <w:rFonts w:eastAsia="Calibri"/>
          <w:b/>
          <w:szCs w:val="22"/>
        </w:rPr>
        <w:t>ovuta tas-</w:t>
      </w:r>
      <w:r w:rsidR="007C6858" w:rsidRPr="008E0E8E">
        <w:rPr>
          <w:rFonts w:eastAsia="Calibri"/>
          <w:b/>
          <w:szCs w:val="22"/>
        </w:rPr>
        <w:t>s</w:t>
      </w:r>
      <w:r w:rsidRPr="008E0E8E">
        <w:rPr>
          <w:rFonts w:eastAsia="Calibri"/>
          <w:b/>
          <w:szCs w:val="22"/>
        </w:rPr>
        <w:t xml:space="preserve">ostenibbiltà </w:t>
      </w:r>
      <w:r w:rsidR="007C6858" w:rsidRPr="008E0E8E">
        <w:rPr>
          <w:rFonts w:eastAsia="Calibri"/>
          <w:b/>
          <w:szCs w:val="22"/>
        </w:rPr>
        <w:t>k</w:t>
      </w:r>
      <w:r w:rsidRPr="008E0E8E">
        <w:rPr>
          <w:rFonts w:eastAsia="Calibri"/>
          <w:b/>
          <w:szCs w:val="22"/>
        </w:rPr>
        <w:t>orporattiva u li temenda d-Direttiva (UE) 2019/1937 u r-Regolament (UE) 2023/2859</w:t>
      </w:r>
    </w:p>
    <w:p w:rsidR="008E0E8E" w:rsidRPr="008E0E8E" w:rsidRDefault="008E0E8E" w:rsidP="008E0E8E">
      <w:pPr>
        <w:rPr>
          <w:i/>
        </w:rPr>
      </w:pPr>
      <w:r w:rsidRPr="008E0E8E">
        <w:rPr>
          <w:i/>
        </w:rPr>
        <w:t xml:space="preserve">(Peress li ntlaħaq ftehim bejn il-Parlament u l-Kunsill, il-pożizzjoni tal-Parlament taqbel mal-att leġiżlattiv finali, </w:t>
      </w:r>
      <w:r w:rsidRPr="008E0E8E">
        <w:rPr>
          <w:i/>
        </w:rPr>
        <w:t>id-Direttiva</w:t>
      </w:r>
      <w:r w:rsidRPr="008E0E8E">
        <w:rPr>
          <w:i/>
        </w:rPr>
        <w:t xml:space="preserve"> (UE) </w:t>
      </w:r>
      <w:r w:rsidRPr="008E0E8E">
        <w:rPr>
          <w:i/>
        </w:rPr>
        <w:t>2024/</w:t>
      </w:r>
      <w:r>
        <w:rPr>
          <w:i/>
        </w:rPr>
        <w:t>1</w:t>
      </w:r>
      <w:bookmarkStart w:id="8" w:name="_GoBack"/>
      <w:bookmarkEnd w:id="8"/>
      <w:r>
        <w:rPr>
          <w:i/>
        </w:rPr>
        <w:t>760</w:t>
      </w:r>
      <w:r w:rsidRPr="008E0E8E">
        <w:rPr>
          <w:i/>
        </w:rPr>
        <w:t>.)</w:t>
      </w:r>
    </w:p>
    <w:p w:rsidR="00E365E1" w:rsidRPr="00D041FA" w:rsidRDefault="00E365E1" w:rsidP="00D041FA"/>
    <w:sectPr w:rsidR="00E365E1" w:rsidRPr="00D041FA" w:rsidSect="00DB4B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1FA" w:rsidRPr="00DB4BE7" w:rsidRDefault="00D041FA">
      <w:r w:rsidRPr="00DB4BE7">
        <w:separator/>
      </w:r>
    </w:p>
  </w:endnote>
  <w:endnote w:type="continuationSeparator" w:id="0">
    <w:p w:rsidR="00D041FA" w:rsidRPr="00DB4BE7" w:rsidRDefault="00D041FA">
      <w:r w:rsidRPr="00DB4B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 w:rsidP="00D041FA">
    <w:pPr>
      <w:pStyle w:val="EPFooter"/>
    </w:pPr>
    <w:r w:rsidRPr="00DB4BE7">
      <w:t>PE</w:t>
    </w:r>
    <w:r w:rsidRPr="00DB4BE7">
      <w:rPr>
        <w:rStyle w:val="HideTWBExt"/>
      </w:rPr>
      <w:t>&lt;NoPE&gt;</w:t>
    </w:r>
    <w:r w:rsidRPr="00DB4BE7">
      <w:t>738.450</w:t>
    </w:r>
    <w:r w:rsidRPr="00DB4BE7">
      <w:rPr>
        <w:rStyle w:val="HideTWBExt"/>
      </w:rPr>
      <w:t>&lt;/NoPE&gt;&lt;Version&gt;</w:t>
    </w:r>
    <w:r w:rsidRPr="00DB4BE7">
      <w:t>v02-00</w:t>
    </w:r>
    <w:r w:rsidRPr="00DB4BE7">
      <w:rPr>
        <w:rStyle w:val="HideTWBExt"/>
      </w:rPr>
      <w:t>&lt;/Version&gt;</w:t>
    </w:r>
    <w:r w:rsidRPr="00DB4BE7">
      <w:tab/>
    </w:r>
    <w:r w:rsidRPr="00DB4BE7">
      <w:fldChar w:fldCharType="begin"/>
    </w:r>
    <w:r w:rsidRPr="00DB4BE7">
      <w:instrText xml:space="preserve"> PAGE  \* MERGEFORMAT </w:instrText>
    </w:r>
    <w:r w:rsidRPr="00DB4BE7">
      <w:fldChar w:fldCharType="separate"/>
    </w:r>
    <w:r w:rsidRPr="00DB4BE7">
      <w:rPr>
        <w:noProof/>
      </w:rPr>
      <w:t>2</w:t>
    </w:r>
    <w:r w:rsidRPr="00DB4BE7">
      <w:fldChar w:fldCharType="end"/>
    </w:r>
    <w:r w:rsidRPr="00DB4BE7">
      <w:t>/</w:t>
    </w:r>
    <w:fldSimple w:instr=" NUMPAGES  \* MERGEFORMAT ">
      <w:r w:rsidRPr="00DB4BE7">
        <w:rPr>
          <w:noProof/>
        </w:rPr>
        <w:t>4</w:t>
      </w:r>
    </w:fldSimple>
    <w:r w:rsidRPr="00DB4BE7">
      <w:tab/>
    </w:r>
    <w:r w:rsidRPr="00DB4BE7">
      <w:rPr>
        <w:rStyle w:val="HideTWBExt"/>
      </w:rPr>
      <w:t>&lt;PathFdR&gt;</w:t>
    </w:r>
    <w:r w:rsidRPr="00DB4BE7">
      <w:t>RR\1278479MT.docx</w:t>
    </w:r>
    <w:r w:rsidRPr="00DB4BE7">
      <w:rPr>
        <w:rStyle w:val="HideTWBExt"/>
      </w:rPr>
      <w:t>&lt;/PathFdR&gt;</w:t>
    </w:r>
  </w:p>
  <w:p w:rsidR="00D041FA" w:rsidRPr="00DB4BE7" w:rsidRDefault="00D041FA" w:rsidP="00D041FA">
    <w:pPr>
      <w:pStyle w:val="EPFooter2"/>
    </w:pPr>
    <w:r w:rsidRPr="00DB4BE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 w:rsidP="00D041FA">
    <w:pPr>
      <w:pStyle w:val="EPFooter"/>
    </w:pPr>
    <w:r w:rsidRPr="00DB4BE7">
      <w:rPr>
        <w:rStyle w:val="HideTWBExt"/>
      </w:rPr>
      <w:t>&lt;PathFdR&gt;</w:t>
    </w:r>
    <w:r w:rsidRPr="00DB4BE7">
      <w:t>RR\1278479MT.docx</w:t>
    </w:r>
    <w:r w:rsidRPr="00DB4BE7">
      <w:rPr>
        <w:rStyle w:val="HideTWBExt"/>
      </w:rPr>
      <w:t>&lt;/PathFdR&gt;</w:t>
    </w:r>
    <w:r w:rsidRPr="00DB4BE7">
      <w:tab/>
    </w:r>
    <w:r w:rsidRPr="00DB4BE7">
      <w:tab/>
      <w:t>PE</w:t>
    </w:r>
    <w:r w:rsidRPr="00DB4BE7">
      <w:rPr>
        <w:rStyle w:val="HideTWBExt"/>
      </w:rPr>
      <w:t>&lt;NoPE&gt;</w:t>
    </w:r>
    <w:r w:rsidRPr="00DB4BE7">
      <w:t>738.450</w:t>
    </w:r>
    <w:r w:rsidRPr="00DB4BE7">
      <w:rPr>
        <w:rStyle w:val="HideTWBExt"/>
      </w:rPr>
      <w:t>&lt;/NoPE&gt;&lt;Version&gt;</w:t>
    </w:r>
    <w:r w:rsidRPr="00DB4BE7">
      <w:t>v02-00</w:t>
    </w:r>
    <w:r w:rsidRPr="00DB4BE7">
      <w:rPr>
        <w:rStyle w:val="HideTWBExt"/>
      </w:rPr>
      <w:t>&lt;/Version&gt;</w:t>
    </w:r>
  </w:p>
  <w:p w:rsidR="00D041FA" w:rsidRPr="00DB4BE7" w:rsidRDefault="00D041FA" w:rsidP="00D041FA">
    <w:pPr>
      <w:pStyle w:val="EPFooter2"/>
    </w:pPr>
    <w:r w:rsidRPr="00DB4BE7">
      <w:t>MT</w:t>
    </w:r>
    <w:r w:rsidRPr="00DB4BE7">
      <w:tab/>
    </w:r>
    <w:r w:rsidRPr="00DB4BE7">
      <w:rPr>
        <w:b w:val="0"/>
        <w:i/>
        <w:color w:val="C0C0C0"/>
        <w:sz w:val="22"/>
      </w:rPr>
      <w:t>Magħquda fid-diversità</w:t>
    </w:r>
    <w:r w:rsidRPr="00DB4BE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1FA" w:rsidRPr="00DB4BE7" w:rsidRDefault="00D041FA">
      <w:r w:rsidRPr="00DB4BE7">
        <w:separator/>
      </w:r>
    </w:p>
  </w:footnote>
  <w:footnote w:type="continuationSeparator" w:id="0">
    <w:p w:rsidR="00D041FA" w:rsidRPr="00DB4BE7" w:rsidRDefault="00D041FA">
      <w:r w:rsidRPr="00DB4BE7">
        <w:continuationSeparator/>
      </w:r>
    </w:p>
  </w:footnote>
  <w:footnote w:id="1">
    <w:p w:rsidR="00D041FA" w:rsidRPr="00805554" w:rsidRDefault="00D041FA" w:rsidP="00805554">
      <w:pPr>
        <w:pStyle w:val="FootnoteText"/>
        <w:ind w:left="426" w:hanging="426"/>
        <w:rPr>
          <w:sz w:val="24"/>
          <w:szCs w:val="24"/>
          <w:lang w:val="mt-MT"/>
        </w:rPr>
      </w:pPr>
      <w:r w:rsidRPr="00805554">
        <w:rPr>
          <w:rStyle w:val="FootnoteReference"/>
          <w:sz w:val="24"/>
          <w:szCs w:val="24"/>
          <w:lang w:val="mt-MT"/>
        </w:rPr>
        <w:footnoteRef/>
      </w:r>
      <w:r w:rsidRPr="00805554">
        <w:rPr>
          <w:sz w:val="24"/>
          <w:szCs w:val="24"/>
          <w:lang w:val="mt-MT"/>
        </w:rPr>
        <w:t xml:space="preserve"> </w:t>
      </w:r>
      <w:r w:rsidRPr="00805554">
        <w:rPr>
          <w:sz w:val="24"/>
          <w:szCs w:val="24"/>
          <w:lang w:val="mt-MT"/>
        </w:rPr>
        <w:tab/>
      </w:r>
      <w:r w:rsidRPr="00805554">
        <w:rPr>
          <w:sz w:val="24"/>
          <w:szCs w:val="24"/>
          <w:lang w:val="it-IT"/>
        </w:rPr>
        <w:t>ĠU C 443, 22.11.2022, p. 81.</w:t>
      </w:r>
    </w:p>
  </w:footnote>
  <w:footnote w:id="2">
    <w:p w:rsidR="007C6858" w:rsidRPr="00805554" w:rsidRDefault="007C6858" w:rsidP="00805554">
      <w:pPr>
        <w:pStyle w:val="FootnoteText"/>
        <w:ind w:left="426" w:hanging="426"/>
        <w:rPr>
          <w:sz w:val="24"/>
          <w:szCs w:val="24"/>
          <w:lang w:val="mt-MT"/>
        </w:rPr>
      </w:pPr>
      <w:r w:rsidRPr="00805554">
        <w:rPr>
          <w:rStyle w:val="FootnoteReference"/>
          <w:sz w:val="24"/>
          <w:szCs w:val="24"/>
        </w:rPr>
        <w:footnoteRef/>
      </w:r>
      <w:r w:rsidRPr="00805554">
        <w:rPr>
          <w:sz w:val="24"/>
          <w:szCs w:val="24"/>
          <w:lang w:val="it-IT"/>
        </w:rPr>
        <w:t xml:space="preserve"> </w:t>
      </w:r>
      <w:r w:rsidRPr="00805554">
        <w:rPr>
          <w:sz w:val="24"/>
          <w:szCs w:val="24"/>
          <w:lang w:val="it-IT"/>
        </w:rPr>
        <w:tab/>
        <w:t xml:space="preserve">Din il-pożizzjoni </w:t>
      </w:r>
      <w:r w:rsidRPr="00805554">
        <w:rPr>
          <w:sz w:val="24"/>
          <w:szCs w:val="24"/>
          <w:lang w:val="mt-MT"/>
        </w:rPr>
        <w:t>tissostitwixxi</w:t>
      </w:r>
      <w:r w:rsidRPr="00805554">
        <w:rPr>
          <w:sz w:val="24"/>
          <w:szCs w:val="24"/>
          <w:lang w:val="it-IT"/>
        </w:rPr>
        <w:t xml:space="preserve"> l-emendi adottati fl-1 ta' Ġunju 2023 (Testi adottati, P9_</w:t>
      </w:r>
      <w:proofErr w:type="gramStart"/>
      <w:r w:rsidRPr="00805554">
        <w:rPr>
          <w:sz w:val="24"/>
          <w:szCs w:val="24"/>
          <w:lang w:val="it-IT"/>
        </w:rPr>
        <w:t>TA(</w:t>
      </w:r>
      <w:proofErr w:type="gramEnd"/>
      <w:r w:rsidRPr="00805554">
        <w:rPr>
          <w:sz w:val="24"/>
          <w:szCs w:val="24"/>
          <w:lang w:val="it-IT"/>
        </w:rPr>
        <w:t>2023)0209).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FA" w:rsidRPr="00DB4BE7" w:rsidRDefault="00D041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MT"/>
    <w:docVar w:name="dvnumam" w:val="0"/>
    <w:docVar w:name="dvpe" w:val="738.450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dwar id-Diliġenza Dovuta tas-Sostenibbiltà Korporattiva u li temenda d-Direttiva (UE) 2019/1937(COM(2022)0071 – C9-0050/2022 – 2022/0051(COD))"/>
  </w:docVars>
  <w:rsids>
    <w:rsidRoot w:val="0097263C"/>
    <w:rsid w:val="00002272"/>
    <w:rsid w:val="0003034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A6D"/>
    <w:rsid w:val="00343214"/>
    <w:rsid w:val="00361C00"/>
    <w:rsid w:val="00395FA1"/>
    <w:rsid w:val="003E15D4"/>
    <w:rsid w:val="00411CCE"/>
    <w:rsid w:val="0041666E"/>
    <w:rsid w:val="00421060"/>
    <w:rsid w:val="00471C19"/>
    <w:rsid w:val="0048111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EB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858"/>
    <w:rsid w:val="007D1690"/>
    <w:rsid w:val="007E22AD"/>
    <w:rsid w:val="00805554"/>
    <w:rsid w:val="00817416"/>
    <w:rsid w:val="00842779"/>
    <w:rsid w:val="00865F67"/>
    <w:rsid w:val="00881A7B"/>
    <w:rsid w:val="008840E5"/>
    <w:rsid w:val="00887B3E"/>
    <w:rsid w:val="008C2AC6"/>
    <w:rsid w:val="008C76EB"/>
    <w:rsid w:val="008E0E8E"/>
    <w:rsid w:val="00930C23"/>
    <w:rsid w:val="0093193B"/>
    <w:rsid w:val="009509D8"/>
    <w:rsid w:val="00950B64"/>
    <w:rsid w:val="0097263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1FA"/>
    <w:rsid w:val="00D058B8"/>
    <w:rsid w:val="00D56C11"/>
    <w:rsid w:val="00D834A0"/>
    <w:rsid w:val="00D872DF"/>
    <w:rsid w:val="00D91E21"/>
    <w:rsid w:val="00DA7FCD"/>
    <w:rsid w:val="00DB4BE7"/>
    <w:rsid w:val="00E365E1"/>
    <w:rsid w:val="00E820A4"/>
    <w:rsid w:val="00E97BE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9579B"/>
  <w15:chartTrackingRefBased/>
  <w15:docId w15:val="{2BBD9C90-619B-4CC8-8201-5D0E110D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C76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6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C76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6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6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6E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6E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8C76E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8C76E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8C76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C76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C76E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C76EB"/>
    <w:pPr>
      <w:spacing w:after="120"/>
    </w:pPr>
  </w:style>
  <w:style w:type="paragraph" w:customStyle="1" w:styleId="PageHeading">
    <w:name w:val="PageHeading"/>
    <w:basedOn w:val="Normal"/>
    <w:rsid w:val="008C76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C76EB"/>
    <w:rPr>
      <w:b/>
    </w:rPr>
  </w:style>
  <w:style w:type="character" w:customStyle="1" w:styleId="NormalBoldChar">
    <w:name w:val="NormalBold Char"/>
    <w:link w:val="NormalBold"/>
    <w:locked/>
    <w:rsid w:val="008C76EB"/>
    <w:rPr>
      <w:b/>
      <w:sz w:val="24"/>
      <w:lang w:val="mt-MT"/>
    </w:rPr>
  </w:style>
  <w:style w:type="paragraph" w:customStyle="1" w:styleId="NormalBold12a">
    <w:name w:val="NormalBold12a"/>
    <w:basedOn w:val="Normal"/>
    <w:rsid w:val="008C76EB"/>
    <w:pPr>
      <w:spacing w:after="240"/>
    </w:pPr>
    <w:rPr>
      <w:b/>
    </w:rPr>
  </w:style>
  <w:style w:type="paragraph" w:customStyle="1" w:styleId="AmJustText">
    <w:name w:val="AmJustText"/>
    <w:basedOn w:val="Normal"/>
    <w:rsid w:val="008C76E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C76E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C76EB"/>
    <w:pPr>
      <w:spacing w:after="480"/>
      <w:ind w:left="1417"/>
    </w:pPr>
  </w:style>
  <w:style w:type="paragraph" w:customStyle="1" w:styleId="CoverNormal">
    <w:name w:val="CoverNormal"/>
    <w:basedOn w:val="Normal"/>
    <w:rsid w:val="008C76EB"/>
    <w:pPr>
      <w:ind w:left="1418"/>
    </w:pPr>
  </w:style>
  <w:style w:type="paragraph" w:customStyle="1" w:styleId="AmCrossRef">
    <w:name w:val="AmCrossRef"/>
    <w:basedOn w:val="Normal"/>
    <w:rsid w:val="008C76E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C76E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C76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C76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C76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C76E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C76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6EB"/>
    <w:rPr>
      <w:sz w:val="24"/>
      <w:lang w:val="mt-MT"/>
    </w:rPr>
  </w:style>
  <w:style w:type="paragraph" w:customStyle="1" w:styleId="AmOrLang">
    <w:name w:val="AmOrLang"/>
    <w:basedOn w:val="Normal"/>
    <w:rsid w:val="008C76E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C76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C76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C76EB"/>
    <w:pPr>
      <w:spacing w:before="240"/>
    </w:pPr>
    <w:rPr>
      <w:b/>
    </w:rPr>
  </w:style>
  <w:style w:type="paragraph" w:customStyle="1" w:styleId="EPBody">
    <w:name w:val="EPBody"/>
    <w:basedOn w:val="Normal"/>
    <w:rsid w:val="008C76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C76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76EB"/>
    <w:pPr>
      <w:spacing w:before="480" w:after="240"/>
    </w:pPr>
  </w:style>
  <w:style w:type="paragraph" w:customStyle="1" w:styleId="Lgendesigne">
    <w:name w:val="Légende signe"/>
    <w:basedOn w:val="Normal"/>
    <w:rsid w:val="008C76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C76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C76EB"/>
    <w:rPr>
      <w:sz w:val="18"/>
    </w:rPr>
  </w:style>
  <w:style w:type="paragraph" w:customStyle="1" w:styleId="msonormal0">
    <w:name w:val="msonormal"/>
    <w:basedOn w:val="Normal"/>
    <w:rsid w:val="008C76EB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8C76EB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character" w:customStyle="1" w:styleId="Normal12Char">
    <w:name w:val="Normal12 Char"/>
    <w:link w:val="Normal12"/>
    <w:locked/>
    <w:rsid w:val="008C76EB"/>
    <w:rPr>
      <w:noProof/>
      <w:sz w:val="24"/>
    </w:rPr>
  </w:style>
  <w:style w:type="paragraph" w:customStyle="1" w:styleId="Normal12">
    <w:name w:val="Normal12"/>
    <w:basedOn w:val="Normal"/>
    <w:link w:val="Normal12Char"/>
    <w:rsid w:val="008C76E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C76E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C76E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C76E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C76E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C76E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8C76EB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C76EB"/>
    <w:pPr>
      <w:spacing w:after="120"/>
    </w:pPr>
  </w:style>
  <w:style w:type="paragraph" w:customStyle="1" w:styleId="Normal12Italic">
    <w:name w:val="Normal12Italic"/>
    <w:basedOn w:val="Normal12"/>
    <w:rsid w:val="008C76EB"/>
    <w:rPr>
      <w:i/>
    </w:rPr>
  </w:style>
  <w:style w:type="paragraph" w:customStyle="1" w:styleId="JustificationTitle">
    <w:name w:val="JustificationTitle"/>
    <w:basedOn w:val="Normal"/>
    <w:next w:val="Normal12"/>
    <w:rsid w:val="008C76E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C76E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C76E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C76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C76EB"/>
    <w:pPr>
      <w:spacing w:before="240"/>
      <w:jc w:val="center"/>
    </w:pPr>
    <w:rPr>
      <w:i/>
    </w:rPr>
  </w:style>
  <w:style w:type="character" w:customStyle="1" w:styleId="Footer2Middle">
    <w:name w:val="Footer2Middle"/>
    <w:rsid w:val="008C76E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C76E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8C76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76E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76E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C7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C76EB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8C76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C76EB"/>
    <w:rPr>
      <w:rFonts w:ascii="Segoe UI" w:hAnsi="Segoe UI" w:cs="Segoe UI"/>
      <w:sz w:val="18"/>
      <w:szCs w:val="18"/>
      <w:lang w:val="mt-MT"/>
    </w:rPr>
  </w:style>
  <w:style w:type="paragraph" w:customStyle="1" w:styleId="Normal12a">
    <w:name w:val="Normal12a"/>
    <w:basedOn w:val="Normal"/>
    <w:rsid w:val="008C76EB"/>
    <w:pPr>
      <w:spacing w:after="240"/>
    </w:pPr>
  </w:style>
  <w:style w:type="paragraph" w:customStyle="1" w:styleId="PageHeadingNotTOC">
    <w:name w:val="PageHeadingNotTOC"/>
    <w:basedOn w:val="Normal"/>
    <w:rsid w:val="008C76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C76E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8C76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C76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C76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C76E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8C76E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C76EB"/>
    <w:rPr>
      <w:sz w:val="24"/>
      <w:lang w:val="mt-MT"/>
    </w:rPr>
  </w:style>
  <w:style w:type="character" w:customStyle="1" w:styleId="Sup">
    <w:name w:val="Sup"/>
    <w:uiPriority w:val="1"/>
    <w:qFormat/>
    <w:rsid w:val="008C76EB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8C76EB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8C76EB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8C76EB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8C76EB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8C76EB"/>
    <w:rPr>
      <w:sz w:val="24"/>
      <w:szCs w:val="24"/>
      <w:lang w:val="mt-MT"/>
    </w:rPr>
  </w:style>
  <w:style w:type="paragraph" w:styleId="ListBullet">
    <w:name w:val="List Bullet"/>
    <w:basedOn w:val="Normal"/>
    <w:rsid w:val="008C76EB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8C76EB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8C76EB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8C76EB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8C76E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C76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6EB"/>
    <w:rPr>
      <w:sz w:val="24"/>
      <w:lang w:val="mt-MT"/>
    </w:rPr>
  </w:style>
  <w:style w:type="character" w:styleId="SubtleEmphasis">
    <w:name w:val="Subtle Emphasis"/>
    <w:basedOn w:val="DefaultParagraphFont"/>
    <w:uiPriority w:val="19"/>
    <w:qFormat/>
    <w:rsid w:val="008C76EB"/>
    <w:rPr>
      <w:i/>
      <w:iCs/>
      <w:color w:val="404040" w:themeColor="text1" w:themeTint="BF"/>
    </w:rPr>
  </w:style>
  <w:style w:type="character" w:customStyle="1" w:styleId="FooterChar2">
    <w:name w:val="Footer Char2"/>
    <w:basedOn w:val="DefaultParagraphFont"/>
    <w:semiHidden/>
    <w:rsid w:val="008C76EB"/>
    <w:rPr>
      <w:sz w:val="24"/>
    </w:rPr>
  </w:style>
  <w:style w:type="character" w:customStyle="1" w:styleId="FooterChar1">
    <w:name w:val="Footer Char1"/>
    <w:basedOn w:val="DefaultParagraphFont"/>
    <w:rsid w:val="008C76EB"/>
    <w:rPr>
      <w:sz w:val="24"/>
    </w:rPr>
  </w:style>
  <w:style w:type="paragraph" w:customStyle="1" w:styleId="AmDocTypeTab">
    <w:name w:val="AmDocTypeTab"/>
    <w:basedOn w:val="Normal"/>
    <w:rsid w:val="00D041F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041FA"/>
    <w:pPr>
      <w:spacing w:after="240"/>
      <w:jc w:val="center"/>
    </w:pPr>
  </w:style>
  <w:style w:type="paragraph" w:customStyle="1" w:styleId="AmDateTab">
    <w:name w:val="AmDateTab"/>
    <w:basedOn w:val="Normal"/>
    <w:rsid w:val="00D041F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041F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041FA"/>
  </w:style>
  <w:style w:type="paragraph" w:customStyle="1" w:styleId="TOC11">
    <w:name w:val="TOC 1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041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041F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041F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041F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041F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041F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D041F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041F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041F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041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041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041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041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041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041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041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041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041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041F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041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041F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041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041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041F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041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041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041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041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041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041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041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041F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041F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041F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041F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041F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041F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041F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041F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041F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041F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041F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041F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041FA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041FA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041FA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041FA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041FA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041FA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041FA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041FA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041FA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041FA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041FA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041FA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041FA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041FA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041FA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041FA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041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041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041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041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041F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041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041F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041F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041F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041F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D041FA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041FA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041FA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041FA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041FA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041FA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041FA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041FA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041FA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041FA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041F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041F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041F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041F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041F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041F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041F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041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041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041F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041F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041F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041F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041F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041F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041F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041F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041F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041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041F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041F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041F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041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041F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041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041F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041F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041F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041F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041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041F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041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041F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041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041FA"/>
    <w:pPr>
      <w:spacing w:before="240"/>
    </w:pPr>
  </w:style>
  <w:style w:type="paragraph" w:customStyle="1" w:styleId="Accordtitre">
    <w:name w:val="Accord titre"/>
    <w:basedOn w:val="Normal"/>
    <w:rsid w:val="00D041F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041F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041F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041F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041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041FA"/>
    <w:pPr>
      <w:spacing w:after="240"/>
    </w:pPr>
  </w:style>
  <w:style w:type="paragraph" w:customStyle="1" w:styleId="Annexetitre">
    <w:name w:val="Annexe titre"/>
    <w:basedOn w:val="Normal"/>
    <w:next w:val="Normal"/>
    <w:rsid w:val="00D041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041F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D041FA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D041FA"/>
  </w:style>
  <w:style w:type="character" w:styleId="EndnoteReference">
    <w:name w:val="endnote reference"/>
    <w:basedOn w:val="DefaultParagraphFont"/>
    <w:uiPriority w:val="99"/>
    <w:unhideWhenUsed/>
    <w:rsid w:val="00D041F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041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041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041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041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041F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041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041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041F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041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041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041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041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041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041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041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041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041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041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041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041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041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041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041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041F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041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041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041F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D041F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041F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041FA"/>
    <w:rPr>
      <w:b/>
      <w:i/>
    </w:rPr>
  </w:style>
  <w:style w:type="character" w:customStyle="1" w:styleId="diff-tte-removed">
    <w:name w:val="diff-tte-removed"/>
    <w:basedOn w:val="DefaultParagraphFont"/>
    <w:rsid w:val="00D041FA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D041FA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D041FA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D041FA"/>
    <w:rPr>
      <w:rFonts w:eastAsia="Calibri"/>
      <w:sz w:val="24"/>
      <w:szCs w:val="22"/>
      <w:lang w:val="mt-MT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041FA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041FA"/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D041FA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oj-normal">
    <w:name w:val="oj-normal"/>
    <w:basedOn w:val="Normal"/>
    <w:rsid w:val="00D041FA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D041FA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41F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041FA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D041FA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D041FA"/>
    <w:rPr>
      <w:lang w:val="mt-MT"/>
    </w:rPr>
  </w:style>
  <w:style w:type="character" w:customStyle="1" w:styleId="CommentTextChar1">
    <w:name w:val="Comment Text Char1"/>
    <w:basedOn w:val="DefaultParagraphFont"/>
    <w:rsid w:val="00D041FA"/>
    <w:rPr>
      <w:lang w:val="mt-MT"/>
    </w:rPr>
  </w:style>
  <w:style w:type="character" w:customStyle="1" w:styleId="CommentSubjectChar1">
    <w:name w:val="Comment Subject Char1"/>
    <w:basedOn w:val="CommentTextChar1"/>
    <w:rsid w:val="00D041FA"/>
    <w:rPr>
      <w:b/>
      <w:bCs/>
      <w:lang w:val="mt-MT"/>
    </w:rPr>
  </w:style>
  <w:style w:type="character" w:customStyle="1" w:styleId="BalloonTextChar1">
    <w:name w:val="Balloon Text Char1"/>
    <w:basedOn w:val="DefaultParagraphFont"/>
    <w:rsid w:val="00D041F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3ED46-CFA9-47D8-8475-259C31F0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2589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2024-09-05T07:11:00Z</dcterms:created>
  <dcterms:modified xsi:type="dcterms:W3CDTF">2024-09-05T07:11:00Z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