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P9_TA(2024)03</w:t>
      </w:r>
      <w:bookmarkEnd w:id="0"/>
      <w:r>
        <w:t>29</w:t>
      </w:r>
    </w:p>
    <w:p>
      <w:pPr>
        <w:pStyle w:val="ATHeading2"/>
      </w:pPr>
      <w:bookmarkStart w:id="1" w:name="title"/>
      <w:r>
        <w:t>Náležitá starostlivosť podnikov v oblasti udržateľnosti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A9-0184/2023</w:instrText>
      </w:r>
      <w:bookmarkEnd w:id="2"/>
      <w:r>
        <w:rPr>
          <w:i/>
        </w:rPr>
        <w:instrText xml:space="preserve"> - Spravodajkyňa: Lara Wolters)"\l3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právne veci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PE738.450</w:t>
      </w:r>
      <w:bookmarkEnd w:id="4"/>
    </w:p>
    <w:p>
      <w:pPr>
        <w:pStyle w:val="ATHeading3"/>
      </w:pPr>
      <w:bookmarkStart w:id="5" w:name="Sujet"/>
      <w:r>
        <w:t>Legislatívne uznesenie Európskeho parlamentu z 24. apríla 2024 o návrhu smernice Európskeho parlamentu a Rady o náležitej starostlivosti podnikov v oblasti udržateľnosti a o zmene smernice (EÚ) 2019/1937</w:t>
      </w:r>
      <w:bookmarkEnd w:id="5"/>
      <w:r>
        <w:t xml:space="preserve"> </w:t>
      </w:r>
      <w:bookmarkStart w:id="6" w:name="References"/>
      <w:r>
        <w:t>(COM(2022)0071 – C9-0050/2022 – 2022/0051(COD))</w:t>
      </w:r>
      <w:bookmarkEnd w:id="6"/>
    </w:p>
    <w:p>
      <w:pPr>
        <w:pStyle w:val="NormalBold"/>
      </w:pPr>
      <w:bookmarkStart w:id="7" w:name="TextBodyBegin"/>
      <w:bookmarkEnd w:id="7"/>
      <w:r>
        <w:t>(Riadny legislatívny postup: prvé čítanie)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Komisie pre Európsky parlament a Radu (COM(2022)0071),</w:t>
      </w:r>
    </w:p>
    <w:p>
      <w:pPr>
        <w:pStyle w:val="NormalHanging12a"/>
      </w:pPr>
      <w:r>
        <w:t>–</w:t>
      </w:r>
      <w:r>
        <w:tab/>
        <w:t>so zreteľom na článok 294 ods. 2, článok 50 ods. 1, článok 50 ods. 2 písm. g) a článok 114 Zmluvy o fungovaní Európskej únie, v súlade s ktorými Komisia predložila návrh Európskemu parlamentu (C9</w:t>
      </w:r>
      <w:r>
        <w:noBreakHyphen/>
        <w:t>0050/2022),</w:t>
      </w:r>
    </w:p>
    <w:p>
      <w:pPr>
        <w:pStyle w:val="NormalHanging12a"/>
      </w:pPr>
      <w:r>
        <w:t>–</w:t>
      </w:r>
      <w:r>
        <w:tab/>
        <w:t>so zreteľom na článok 294 ods. 3 Zmluvy o fungovaní Európskej únie,</w:t>
      </w:r>
    </w:p>
    <w:p>
      <w:pPr>
        <w:widowControl/>
        <w:spacing w:after="240"/>
        <w:ind w:left="567" w:hanging="567"/>
      </w:pPr>
      <w:r>
        <w:t>–</w:t>
      </w:r>
      <w:r>
        <w:tab/>
        <w:t>so zreteľom na stanovisko Európskeho hospodárskeho a sociálneho výboru zo 14. júla 2022</w:t>
      </w:r>
      <w:r>
        <w:rPr>
          <w:rStyle w:val="FootnoteReference"/>
        </w:rPr>
        <w:footnoteReference w:id="1"/>
      </w:r>
      <w:r>
        <w:t>,</w:t>
      </w:r>
    </w:p>
    <w:p>
      <w:pPr>
        <w:widowControl/>
        <w:spacing w:after="240"/>
        <w:ind w:left="567" w:hanging="567"/>
        <w:rPr>
          <w:szCs w:val="24"/>
        </w:rPr>
      </w:pPr>
      <w:r>
        <w:t>–</w:t>
      </w:r>
      <w:r>
        <w:tab/>
        <w:t>so zreteľom na predbežnú dohodu schválenú gestorským výborom podľa článku 74 ods. 4 rokovacieho poriadku, a na záväzok zástupcu Rady, vyjadrený v liste z 15. marca 2024, schváliť pozíciu Európskeho parlamentu v súlade s článkom 294 ods. 4 Zmluvy o fungovaní Európskej únie,</w:t>
      </w:r>
    </w:p>
    <w:p>
      <w:pPr>
        <w:pStyle w:val="NormalHanging12a"/>
      </w:pPr>
      <w:r>
        <w:t>–</w:t>
      </w:r>
      <w:r>
        <w:tab/>
        <w:t>so zreteľom na článok 59 rokovacieho poriadku,</w:t>
      </w:r>
    </w:p>
    <w:p>
      <w:pPr>
        <w:pStyle w:val="NormalHanging12a"/>
      </w:pPr>
      <w:r>
        <w:t>–</w:t>
      </w:r>
      <w:r>
        <w:tab/>
        <w:t xml:space="preserve">so zreteľom na stanoviská Výboru pre zahraničné veci, Výboru pre medzinárodný obchod, Výboru pre hospodárske a menové veci, Výboru pre zamestnanosť a sociálne veci, Výboru pre životné prostredie, verejné zdravie a bezpečnosť potravín, Výboru pre rozvoj, Výboru pre priemysel, výskum a energetiku a Výboru pre vnútorný trh a ochranu spotrebiteľa, </w:t>
      </w:r>
    </w:p>
    <w:p>
      <w:pPr>
        <w:pStyle w:val="NormalHanging12a"/>
      </w:pPr>
      <w:r>
        <w:lastRenderedPageBreak/>
        <w:t>–</w:t>
      </w:r>
      <w:r>
        <w:tab/>
        <w:t>so zreteľom na správu Výboru pre právne veci (A9-0184/2023),</w:t>
      </w:r>
    </w:p>
    <w:p>
      <w:pPr>
        <w:pStyle w:val="NormalHanging12a"/>
      </w:pPr>
      <w:r>
        <w:t>1.</w:t>
      </w:r>
      <w:r>
        <w:tab/>
        <w:t>prijíma nasledujúcu pozíciu v prvom čítaní</w:t>
      </w:r>
      <w:r>
        <w:rPr>
          <w:rStyle w:val="FootnoteReference"/>
        </w:rPr>
        <w:footnoteReference w:id="2"/>
      </w:r>
      <w:r>
        <w:t>;</w:t>
      </w:r>
    </w:p>
    <w:p>
      <w:pPr>
        <w:pStyle w:val="NormalHanging12a"/>
      </w:pPr>
      <w:r>
        <w:t>2.</w:t>
      </w:r>
      <w:r>
        <w:tab/>
        <w:t>žiada Komisiu, aby mu vec znovu predložila, ak nahrádza, podstatne mení alebo má v úmysle podstatne zmeniť svoj návrh;</w:t>
      </w:r>
    </w:p>
    <w:p>
      <w:pPr>
        <w:pStyle w:val="NormalHanging12a"/>
      </w:pPr>
      <w:r>
        <w:t>3.</w:t>
      </w:r>
      <w:r>
        <w:tab/>
        <w:t>poveruje svoju predsedníčku, aby postúpila túto pozíciu Rade, Komisii a národným parlamentom.</w:t>
      </w:r>
    </w:p>
    <w:p>
      <w:pPr>
        <w:sectPr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>
        <w:rPr>
          <w:b/>
        </w:rPr>
        <w:lastRenderedPageBreak/>
        <w:t>P9_TC1-COD(2022)0051</w:t>
      </w:r>
    </w:p>
    <w:p>
      <w:pPr>
        <w:rPr>
          <w:rFonts w:eastAsia="Calibri"/>
          <w:b/>
          <w:szCs w:val="22"/>
          <w:lang w:eastAsia="en-US"/>
        </w:rPr>
      </w:pPr>
      <w:r>
        <w:rPr>
          <w:b/>
        </w:rPr>
        <w:t xml:space="preserve">Pozícia Európskeho parlamentu prijatá v prvom čítaní 24. apríla 2024 na účely prijatia smernice Európskeho parlamentu a Rady (EÚ) 2024/... </w:t>
      </w:r>
      <w:r>
        <w:rPr>
          <w:rFonts w:eastAsia="Calibri"/>
          <w:b/>
          <w:szCs w:val="22"/>
          <w:lang w:eastAsia="en-US"/>
        </w:rPr>
        <w:t>o náležitej starostlivosti podnikov v oblasti udržateľnosti a o zmene smernice (EÚ) 2019/1937</w:t>
      </w:r>
      <w:r>
        <w:rPr>
          <w:rFonts w:eastAsia="Calibri"/>
          <w:szCs w:val="22"/>
          <w:lang w:eastAsia="en-US"/>
        </w:rPr>
        <w:t xml:space="preserve"> </w:t>
      </w:r>
      <w:bookmarkStart w:id="8" w:name="_GoBack"/>
      <w:r>
        <w:rPr>
          <w:rFonts w:eastAsia="Calibri"/>
          <w:b/>
          <w:szCs w:val="22"/>
          <w:lang w:eastAsia="en-US"/>
        </w:rPr>
        <w:t>a nariadenia (EÚ) 2023/2859</w:t>
      </w:r>
    </w:p>
    <w:bookmarkEnd w:id="8"/>
    <w:p>
      <w:pPr>
        <w:rPr>
          <w:rFonts w:eastAsia="Calibri"/>
          <w:b/>
          <w:i/>
          <w:szCs w:val="22"/>
          <w:lang w:eastAsia="en-US"/>
        </w:rPr>
      </w:pPr>
    </w:p>
    <w:p>
      <w:r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>
        <w:rPr>
          <w:i/>
          <w:iCs/>
        </w:rPr>
        <w:t>smernici</w:t>
      </w:r>
      <w:r>
        <w:rPr>
          <w:i/>
          <w:iCs/>
        </w:rPr>
        <w:t xml:space="preserve"> </w:t>
      </w:r>
      <w:r>
        <w:rPr>
          <w:i/>
          <w:iCs/>
        </w:rPr>
        <w:t>(EÚ) 2024/1760</w:t>
      </w:r>
      <w:r>
        <w:rPr>
          <w:i/>
          <w:iCs/>
        </w:rPr>
        <w:t>.)</w:t>
      </w:r>
    </w:p>
    <w:p>
      <w:pPr>
        <w:rPr>
          <w:rFonts w:eastAsia="Calibri"/>
          <w:b/>
          <w:i/>
          <w:szCs w:val="22"/>
          <w:lang w:eastAsia="en-US"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EPFooter"/>
    </w:pPr>
    <w:r>
      <w:t>PE</w:t>
    </w:r>
    <w:r>
      <w:rPr>
        <w:rStyle w:val="HideTWBExt"/>
      </w:rPr>
      <w:t>&lt;NoPE&gt;</w:t>
    </w:r>
    <w:r>
      <w:t>738.450</w:t>
    </w:r>
    <w:r>
      <w:rPr>
        <w:rStyle w:val="HideTWBExt"/>
      </w:rPr>
      <w:t>&lt;/NoPE&gt;&lt;Version&gt;</w:t>
    </w:r>
    <w:r>
      <w:t>v02-00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630</w:t>
    </w:r>
    <w:r>
      <w:fldChar w:fldCharType="end"/>
    </w:r>
    <w:r>
      <w:t>/</w:t>
    </w:r>
    <w:fldSimple w:instr=" NUMPAGES  \* MERGEFORMAT ">
      <w:r>
        <w:rPr>
          <w:noProof/>
        </w:rPr>
        <w:t>630</w:t>
      </w:r>
    </w:fldSimple>
    <w:r>
      <w:tab/>
    </w:r>
    <w:r>
      <w:rPr>
        <w:rStyle w:val="HideTWBExt"/>
      </w:rPr>
      <w:t>&lt;PathFdR&gt;</w:t>
    </w:r>
    <w:r>
      <w:t>RR\1278479SK.docx</w:t>
    </w:r>
    <w:r>
      <w:rPr>
        <w:rStyle w:val="HideTWBExt"/>
      </w:rPr>
      <w:t>&lt;/PathFdR&gt;</w:t>
    </w:r>
  </w:p>
  <w:p>
    <w:pPr>
      <w:pStyle w:val="EPFooter2"/>
    </w:pPr>
    <w:r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EPFooter"/>
    </w:pPr>
    <w:r>
      <w:rPr>
        <w:rStyle w:val="HideTWBExt"/>
      </w:rPr>
      <w:t>&lt;PathFdR&gt;</w:t>
    </w:r>
    <w:r>
      <w:t>RR\1278479SK.docx</w:t>
    </w:r>
    <w:r>
      <w:rPr>
        <w:rStyle w:val="HideTWBExt"/>
      </w:rPr>
      <w:t>&lt;/PathFdR&gt;</w:t>
    </w:r>
    <w:r>
      <w:tab/>
    </w:r>
    <w:r>
      <w:tab/>
      <w:t>PE</w:t>
    </w:r>
    <w:r>
      <w:rPr>
        <w:rStyle w:val="HideTWBExt"/>
      </w:rPr>
      <w:t>&lt;NoPE&gt;</w:t>
    </w:r>
    <w:r>
      <w:t>738.450</w:t>
    </w:r>
    <w:r>
      <w:rPr>
        <w:rStyle w:val="HideTWBExt"/>
      </w:rPr>
      <w:t>&lt;/NoPE&gt;&lt;Version&gt;</w:t>
    </w:r>
    <w:r>
      <w:t>v02-00</w:t>
    </w:r>
    <w:r>
      <w:rPr>
        <w:rStyle w:val="HideTWBExt"/>
      </w:rPr>
      <w:t>&lt;/Version&gt;</w:t>
    </w:r>
  </w:p>
  <w:p>
    <w:pPr>
      <w:pStyle w:val="EPFooter2"/>
    </w:pPr>
    <w:r>
      <w:t>SK</w:t>
    </w:r>
    <w:r>
      <w:tab/>
    </w:r>
    <w:r>
      <w:rPr>
        <w:b w:val="0"/>
        <w:i/>
        <w:color w:val="C0C0C0"/>
        <w:sz w:val="22"/>
      </w:rPr>
      <w:t>Zjednotení v rozmanitosti</w:t>
    </w:r>
    <w:r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szCs w:val="18"/>
          <w:lang w:val="sk-SK"/>
        </w:rPr>
      </w:pPr>
      <w:r>
        <w:rPr>
          <w:rStyle w:val="FootnoteReference"/>
          <w:sz w:val="24"/>
          <w:szCs w:val="18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443, 22.11.2022, s. 81.</w:t>
      </w:r>
    </w:p>
  </w:footnote>
  <w:footnote w:id="2">
    <w:p>
      <w:pPr>
        <w:pStyle w:val="FootnoteText"/>
        <w:ind w:left="567" w:hanging="567"/>
        <w:rPr>
          <w:lang w:val="sk-SK"/>
        </w:rPr>
      </w:pPr>
      <w:r>
        <w:rPr>
          <w:rStyle w:val="FootnoteReference"/>
        </w:rPr>
        <w:footnoteRef/>
      </w:r>
      <w:r>
        <w:rPr>
          <w:lang w:val="sk-SK"/>
        </w:rPr>
        <w:t xml:space="preserve"> </w:t>
      </w:r>
      <w:r>
        <w:rPr>
          <w:lang w:val="sk-SK"/>
        </w:rPr>
        <w:tab/>
      </w:r>
      <w:r>
        <w:rPr>
          <w:sz w:val="24"/>
          <w:szCs w:val="24"/>
          <w:lang w:val="sk-SK"/>
        </w:rPr>
        <w:t>Táto pozícia nahrádza pozmeňujúce návrhy prijaté 1. júna 2023 (Prijaté texty, P9_TA(2023)0209).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7"/>
  </w:num>
  <w:num w:numId="3">
    <w:abstractNumId w:val="16"/>
  </w:num>
  <w:num w:numId="4">
    <w:abstractNumId w:val="4"/>
  </w:num>
  <w:num w:numId="5">
    <w:abstractNumId w:val="11"/>
  </w:num>
  <w:num w:numId="6">
    <w:abstractNumId w:val="14"/>
  </w:num>
  <w:num w:numId="7">
    <w:abstractNumId w:val="13"/>
  </w:num>
  <w:num w:numId="8">
    <w:abstractNumId w:val="22"/>
  </w:num>
  <w:num w:numId="9">
    <w:abstractNumId w:val="8"/>
  </w:num>
  <w:num w:numId="10">
    <w:abstractNumId w:val="9"/>
  </w:num>
  <w:num w:numId="11">
    <w:abstractNumId w:val="10"/>
  </w:num>
  <w:num w:numId="12">
    <w:abstractNumId w:val="12"/>
  </w:num>
  <w:num w:numId="13">
    <w:abstractNumId w:val="5"/>
  </w:num>
  <w:num w:numId="14">
    <w:abstractNumId w:val="23"/>
  </w:num>
  <w:num w:numId="15">
    <w:abstractNumId w:val="6"/>
  </w:num>
  <w:num w:numId="16">
    <w:abstractNumId w:val="2"/>
  </w:num>
  <w:num w:numId="17">
    <w:abstractNumId w:val="18"/>
  </w:num>
  <w:num w:numId="18">
    <w:abstractNumId w:val="17"/>
  </w:num>
  <w:num w:numId="19">
    <w:abstractNumId w:val="15"/>
  </w:num>
  <w:num w:numId="20">
    <w:abstractNumId w:val="20"/>
  </w:num>
  <w:num w:numId="21">
    <w:abstractNumId w:val="19"/>
  </w:num>
  <w:num w:numId="22">
    <w:abstractNumId w:val="21"/>
  </w:num>
  <w:num w:numId="23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84/2023"/>
    <w:docVar w:name="dvlangue" w:val="SK"/>
    <w:docVar w:name="dvnumam" w:val="1146"/>
    <w:docVar w:name="dvpe" w:val="738.450"/>
    <w:docVar w:name="dvrapporteur" w:val="Spravodajkyňa: "/>
    <w:docVar w:name="dvstar" w:val="***I"/>
    <w:docVar w:name="dvtitre" w:val="Legislatívne uznesenie Európskeho parlamentu z xx. apríla 2024 o návrhu smernice Európskeho parlamentu a Rady o náležitej starostlivosti podnikov v oblasti udržateľnosti a o zmene smernice (EÚ) 2019/1937(COM(2022)0071 – C9-0050/2022 – 2022/0051(CO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DE0DEE-709B-4D17-A8DD-6E7511C7F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</w:style>
  <w:style w:type="paragraph" w:styleId="TOC2">
    <w:name w:val="toc 2"/>
    <w:basedOn w:val="Normal"/>
    <w:next w:val="Normal"/>
    <w:autoRedefine/>
    <w:uiPriority w:val="39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Normal24a">
    <w:name w:val="CoverNormal24a"/>
    <w:basedOn w:val="Normal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lang w:val="sk-SK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Pr>
      <w:sz w:val="18"/>
    </w:rPr>
  </w:style>
  <w:style w:type="paragraph" w:customStyle="1" w:styleId="msonormal0">
    <w:name w:val="msonormal"/>
    <w:basedOn w:val="Normal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link w:val="Normal12"/>
    <w:locked/>
    <w:rPr>
      <w:noProof/>
      <w:sz w:val="24"/>
    </w:rPr>
  </w:style>
  <w:style w:type="paragraph" w:customStyle="1" w:styleId="Normal12">
    <w:name w:val="Normal12"/>
    <w:basedOn w:val="Normal"/>
    <w:link w:val="Normal12Char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character" w:customStyle="1" w:styleId="NormalBoldChar">
    <w:name w:val="NormalBold Char"/>
    <w:link w:val="NormalBold"/>
    <w:locked/>
    <w:rPr>
      <w:b/>
      <w:sz w:val="24"/>
      <w:lang w:val="sk-SK"/>
    </w:rPr>
  </w:style>
  <w:style w:type="paragraph" w:customStyle="1" w:styleId="Normal12Italic">
    <w:name w:val="Normal12Italic"/>
    <w:basedOn w:val="Normal12"/>
    <w:rPr>
      <w:i/>
    </w:rPr>
  </w:style>
  <w:style w:type="paragraph" w:customStyle="1" w:styleId="JustificationTitle">
    <w:name w:val="JustificationTitle"/>
    <w:basedOn w:val="Normal"/>
    <w:next w:val="Normal12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pPr>
      <w:spacing w:before="240"/>
      <w:jc w:val="center"/>
    </w:pPr>
    <w:rPr>
      <w:i/>
    </w:rPr>
  </w:style>
  <w:style w:type="character" w:customStyle="1" w:styleId="FooterChar2">
    <w:name w:val="Footer Char2"/>
    <w:basedOn w:val="DefaultParagraphFont"/>
    <w:semiHidden/>
    <w:rPr>
      <w:sz w:val="24"/>
    </w:rPr>
  </w:style>
  <w:style w:type="character" w:customStyle="1" w:styleId="Footer2Middle">
    <w:name w:val="Footer2Middl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lang w:val="sk-SK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  <w:lang w:val="sk-SK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val="sk-SK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pPr>
      <w:spacing w:after="480"/>
    </w:pPr>
  </w:style>
  <w:style w:type="character" w:customStyle="1" w:styleId="Normal24aChar">
    <w:name w:val="Normal24a Char"/>
    <w:basedOn w:val="DefaultParagraphFont"/>
    <w:link w:val="Normal24a"/>
    <w:rPr>
      <w:sz w:val="24"/>
      <w:lang w:val="sk-SK"/>
    </w:rPr>
  </w:style>
  <w:style w:type="character" w:customStyle="1" w:styleId="Sup">
    <w:name w:val="Sup"/>
    <w:uiPriority w:val="1"/>
    <w:qFormat/>
    <w:rPr>
      <w:vertAlign w:val="superscript"/>
    </w:rPr>
  </w:style>
  <w:style w:type="paragraph" w:customStyle="1" w:styleId="NormalBoldItalicCenter6a">
    <w:name w:val="NormalBoldItalicCenter6a"/>
    <w:basedOn w:val="Normal6a"/>
    <w:qFormat/>
    <w:pPr>
      <w:jc w:val="center"/>
    </w:pPr>
    <w:rPr>
      <w:b/>
      <w:i/>
    </w:rPr>
  </w:style>
  <w:style w:type="character" w:styleId="Hyperlink">
    <w:name w:val="Hyperlink"/>
    <w:basedOn w:val="DefaultParagraphFont"/>
    <w:unhideWhenUsed/>
    <w:rPr>
      <w:color w:val="0000FF"/>
      <w:u w:val="single"/>
    </w:rPr>
  </w:style>
  <w:style w:type="paragraph" w:customStyle="1" w:styleId="Articletitle">
    <w:name w:val="Article title"/>
    <w:basedOn w:val="Normal"/>
    <w:qFormat/>
    <w:pPr>
      <w:keepNext/>
      <w:widowControl/>
      <w:spacing w:before="120" w:after="120"/>
      <w:jc w:val="center"/>
    </w:pPr>
    <w:rPr>
      <w:rFonts w:eastAsiaTheme="minorHAnsi"/>
      <w:b/>
      <w:bCs/>
      <w:szCs w:val="22"/>
      <w:lang w:eastAsia="en-US"/>
    </w:rPr>
  </w:style>
  <w:style w:type="paragraph" w:customStyle="1" w:styleId="Bullet1">
    <w:name w:val="Bullet 1"/>
    <w:basedOn w:val="Normal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Pr>
      <w:sz w:val="24"/>
      <w:szCs w:val="24"/>
      <w:lang w:val="sk-SK"/>
    </w:rPr>
  </w:style>
  <w:style w:type="paragraph" w:styleId="ListBullet">
    <w:name w:val="List Bullet"/>
    <w:basedOn w:val="Normal"/>
    <w:pPr>
      <w:tabs>
        <w:tab w:val="num" w:pos="360"/>
      </w:tabs>
      <w:ind w:left="360" w:hanging="360"/>
      <w:contextualSpacing/>
    </w:pPr>
    <w:rPr>
      <w:szCs w:val="24"/>
    </w:rPr>
  </w:style>
  <w:style w:type="paragraph" w:customStyle="1" w:styleId="PGreferences">
    <w:name w:val="PG references"/>
    <w:basedOn w:val="Normal"/>
    <w:next w:val="Normal"/>
    <w:pPr>
      <w:widowControl/>
      <w:tabs>
        <w:tab w:val="right" w:pos="9299"/>
      </w:tabs>
      <w:snapToGrid w:val="0"/>
      <w:jc w:val="both"/>
    </w:pPr>
    <w:rPr>
      <w:rFonts w:ascii="Arial" w:hAnsi="Arial"/>
    </w:rPr>
  </w:style>
  <w:style w:type="character" w:styleId="FollowedHyperlink">
    <w:name w:val="FollowedHyperlink"/>
    <w:basedOn w:val="DefaultParagraphFont"/>
    <w:unhideWhenUsed/>
    <w:rPr>
      <w:color w:val="954F72" w:themeColor="followedHyperlink"/>
      <w:u w:val="single"/>
    </w:rPr>
  </w:style>
  <w:style w:type="paragraph" w:customStyle="1" w:styleId="CoverBold">
    <w:name w:val="CoverBold"/>
    <w:basedOn w:val="Normal"/>
    <w:pPr>
      <w:ind w:left="1417"/>
    </w:pPr>
    <w:rPr>
      <w:b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customStyle="1" w:styleId="FooterChar1">
    <w:name w:val="Footer Char1"/>
    <w:basedOn w:val="DefaultParagraphFont"/>
    <w:semiHidden/>
    <w:rPr>
      <w:sz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sk-SK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AmDocTypeTab">
    <w:name w:val="AmDocTypeTab"/>
    <w:basedOn w:val="Normal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AmDateTab">
    <w:name w:val="AmDateTab"/>
    <w:basedOn w:val="Normal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</w:style>
  <w:style w:type="paragraph" w:styleId="TOC4">
    <w:name w:val="toc 4"/>
    <w:basedOn w:val="Normal"/>
    <w:next w:val="Normal"/>
    <w:uiPriority w:val="39"/>
    <w:unhideWhenUsed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pPr>
      <w:widowControl/>
      <w:numPr>
        <w:numId w:val="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pPr>
      <w:widowControl/>
      <w:numPr>
        <w:numId w:val="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pPr>
      <w:widowControl/>
      <w:numPr>
        <w:numId w:val="6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pPr>
      <w:widowControl/>
      <w:numPr>
        <w:numId w:val="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pPr>
      <w:widowControl/>
      <w:numPr>
        <w:numId w:val="8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pPr>
      <w:widowControl/>
      <w:numPr>
        <w:numId w:val="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pPr>
      <w:widowControl/>
      <w:numPr>
        <w:numId w:val="10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pPr>
      <w:widowControl/>
      <w:numPr>
        <w:numId w:val="1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pPr>
      <w:widowControl/>
      <w:numPr>
        <w:numId w:val="12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pPr>
      <w:widowControl/>
      <w:numPr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pPr>
      <w:widowControl/>
      <w:numPr>
        <w:ilvl w:val="1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pPr>
      <w:widowControl/>
      <w:numPr>
        <w:ilvl w:val="2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pPr>
      <w:widowControl/>
      <w:numPr>
        <w:ilvl w:val="3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pPr>
      <w:widowControl/>
      <w:numPr>
        <w:ilvl w:val="4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pPr>
      <w:widowControl/>
      <w:numPr>
        <w:ilvl w:val="5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pPr>
      <w:widowControl/>
      <w:numPr>
        <w:ilvl w:val="6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pPr>
      <w:widowControl/>
      <w:numPr>
        <w:numId w:val="1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pPr>
      <w:widowControl/>
      <w:numPr>
        <w:ilvl w:val="2"/>
        <w:numId w:val="1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pPr>
      <w:widowControl/>
      <w:numPr>
        <w:ilvl w:val="4"/>
        <w:numId w:val="14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pPr>
      <w:widowControl/>
      <w:numPr>
        <w:ilvl w:val="6"/>
        <w:numId w:val="14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pPr>
      <w:widowControl/>
      <w:numPr>
        <w:ilvl w:val="1"/>
        <w:numId w:val="1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pPr>
      <w:widowControl/>
      <w:numPr>
        <w:ilvl w:val="3"/>
        <w:numId w:val="1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pPr>
      <w:widowControl/>
      <w:numPr>
        <w:ilvl w:val="5"/>
        <w:numId w:val="14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pPr>
      <w:widowControl/>
      <w:numPr>
        <w:ilvl w:val="7"/>
        <w:numId w:val="14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pPr>
      <w:widowControl/>
      <w:numPr>
        <w:ilvl w:val="8"/>
        <w:numId w:val="14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pPr>
      <w:widowControl/>
      <w:numPr>
        <w:numId w:val="15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pPr>
      <w:spacing w:before="240"/>
    </w:pPr>
  </w:style>
  <w:style w:type="paragraph" w:customStyle="1" w:styleId="Accordtitre">
    <w:name w:val="Accord titre"/>
    <w:basedOn w:val="Normal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nnexetitre">
    <w:name w:val="Annexe titre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Pr>
      <w:rFonts w:eastAsia="Calibri"/>
      <w:lang w:val="sk-SK" w:eastAsia="en-US"/>
    </w:rPr>
  </w:style>
  <w:style w:type="character" w:styleId="EndnoteReference">
    <w:name w:val="endnote reference"/>
    <w:basedOn w:val="DefaultParagraphFont"/>
    <w:uiPriority w:val="99"/>
    <w:unhideWhenUsed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Pr>
      <w:b/>
      <w:i/>
    </w:rPr>
  </w:style>
  <w:style w:type="character" w:customStyle="1" w:styleId="diff-tte-removed">
    <w:name w:val="diff-tte-removed"/>
    <w:basedOn w:val="DefaultParagraphFont"/>
    <w:rPr>
      <w:strike/>
    </w:rPr>
  </w:style>
  <w:style w:type="table" w:customStyle="1" w:styleId="TableGrid2">
    <w:name w:val="Table Grid2"/>
    <w:basedOn w:val="TableNormal"/>
    <w:next w:val="TableGrid"/>
    <w:uiPriority w:val="59"/>
    <w:rPr>
      <w:rFonts w:ascii="Calibri" w:eastAsia="Calibri" w:hAnsi="Calibri" w:cs="Arial"/>
      <w:sz w:val="22"/>
      <w:szCs w:val="22"/>
      <w:lang w:val="sk-SK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39"/>
    <w:rPr>
      <w:rFonts w:ascii="Calibri" w:eastAsia="Calibri" w:hAnsi="Calibri" w:cs="Arial"/>
      <w:sz w:val="22"/>
      <w:szCs w:val="22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j-normal">
    <w:name w:val="oj-normal"/>
    <w:basedOn w:val="Normal"/>
    <w:pPr>
      <w:widowControl/>
      <w:spacing w:before="100" w:beforeAutospacing="1" w:after="100" w:afterAutospacing="1"/>
    </w:pPr>
    <w:rPr>
      <w:szCs w:val="24"/>
    </w:rPr>
  </w:style>
  <w:style w:type="character" w:customStyle="1" w:styleId="Hyperlink1">
    <w:name w:val="Hyperlink1"/>
    <w:basedOn w:val="DefaultParagraphFont"/>
    <w:uiPriority w:val="99"/>
    <w:unhideWhenUsed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10F7E-760C-4DED-9130-0C0B9A3EE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344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3</cp:revision>
  <cp:lastPrinted>2004-11-19T15:42:00Z</cp:lastPrinted>
  <dcterms:created xsi:type="dcterms:W3CDTF">2024-04-26T12:38:00Z</dcterms:created>
  <dcterms:modified xsi:type="dcterms:W3CDTF">2024-09-09T11:36:00Z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A9-0184/2023</vt:lpwstr>
  </property>
  <property fmtid="{D5CDD505-2E9C-101B-9397-08002B2CF9AE}" pid="4" name="&lt;Type&gt;">
    <vt:lpwstr>RR</vt:lpwstr>
  </property>
</Properties>
</file>