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D27FA" w:rsidRPr="008D05A0" w:rsidTr="003A167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DD27FA" w:rsidRPr="008D05A0" w:rsidRDefault="00DD27FA" w:rsidP="003A1671">
            <w:pPr>
              <w:pStyle w:val="EPName"/>
            </w:pPr>
            <w:r w:rsidRPr="008D05A0">
              <w:t>Parlament Ewropew</w:t>
            </w:r>
          </w:p>
          <w:p w:rsidR="00DD27FA" w:rsidRPr="008D05A0" w:rsidRDefault="00DD27FA" w:rsidP="003A167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6D02">
              <w:t>2019</w:t>
            </w:r>
            <w:r w:rsidRPr="008D05A0">
              <w:t>-</w:t>
            </w:r>
            <w:r w:rsidRPr="008F6D02">
              <w:t>2024</w:t>
            </w:r>
          </w:p>
        </w:tc>
        <w:tc>
          <w:tcPr>
            <w:tcW w:w="2268" w:type="dxa"/>
            <w:shd w:val="clear" w:color="auto" w:fill="auto"/>
          </w:tcPr>
          <w:p w:rsidR="00DD27FA" w:rsidRPr="008D05A0" w:rsidRDefault="00DD27FA" w:rsidP="003A1671">
            <w:pPr>
              <w:pStyle w:val="EPLogo"/>
            </w:pPr>
            <w:r w:rsidRPr="008D05A0">
              <w:rPr>
                <w:noProof/>
                <w:lang w:val="en-GB"/>
              </w:rPr>
              <w:drawing>
                <wp:inline distT="0" distB="0" distL="0" distR="0" wp14:anchorId="3D6E36AB" wp14:editId="48340A2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D27FA" w:rsidRPr="008D05A0" w:rsidRDefault="00DD27FA" w:rsidP="00DD27FA">
      <w:pPr>
        <w:pStyle w:val="LineTop"/>
      </w:pPr>
    </w:p>
    <w:p w:rsidR="00DD27FA" w:rsidRPr="008D05A0" w:rsidRDefault="00DD27FA" w:rsidP="00DD27FA">
      <w:pPr>
        <w:pStyle w:val="EPBodyTA1"/>
      </w:pPr>
      <w:r w:rsidRPr="008D05A0">
        <w:t>TESTI ADOTTATI</w:t>
      </w:r>
    </w:p>
    <w:p w:rsidR="00DD27FA" w:rsidRPr="008D05A0" w:rsidRDefault="00DD27FA" w:rsidP="00DD27FA">
      <w:pPr>
        <w:pStyle w:val="LineBottom"/>
      </w:pPr>
    </w:p>
    <w:p w:rsidR="00DD27FA" w:rsidRPr="008D05A0" w:rsidRDefault="00DD27FA" w:rsidP="00DD27FA">
      <w:pPr>
        <w:pStyle w:val="ATHeading1"/>
      </w:pPr>
      <w:bookmarkStart w:id="0" w:name="TANumber"/>
      <w:r w:rsidRPr="008D05A0">
        <w:t>P</w:t>
      </w:r>
      <w:r w:rsidRPr="008F6D02">
        <w:t>9</w:t>
      </w:r>
      <w:r w:rsidRPr="008D05A0">
        <w:t>_TA(</w:t>
      </w:r>
      <w:r w:rsidRPr="008F6D02">
        <w:t>2024</w:t>
      </w:r>
      <w:r w:rsidRPr="008D05A0">
        <w:t>)</w:t>
      </w:r>
      <w:r w:rsidRPr="008F6D02">
        <w:t>0</w:t>
      </w:r>
      <w:bookmarkEnd w:id="0"/>
      <w:r w:rsidRPr="008F6D02">
        <w:t>330</w:t>
      </w:r>
    </w:p>
    <w:p w:rsidR="00DD27FA" w:rsidRPr="008D05A0" w:rsidRDefault="00DD27FA" w:rsidP="00DD27FA">
      <w:pPr>
        <w:pStyle w:val="ATHeading2"/>
      </w:pPr>
      <w:bookmarkStart w:id="1" w:name="title"/>
      <w:r w:rsidRPr="008D05A0">
        <w:t>It-titjib tal-kondizzjonijiet tax-xogħol fix-xogħol fuq il-pjattaformi</w:t>
      </w:r>
      <w:bookmarkEnd w:id="1"/>
    </w:p>
    <w:p w:rsidR="00DD27FA" w:rsidRPr="008D05A0" w:rsidRDefault="00DD27FA" w:rsidP="00DD27FA">
      <w:pPr>
        <w:rPr>
          <w:i/>
          <w:vanish/>
        </w:rPr>
      </w:pPr>
      <w:r w:rsidRPr="008D05A0">
        <w:rPr>
          <w:i/>
        </w:rPr>
        <w:fldChar w:fldCharType="begin"/>
      </w:r>
      <w:r w:rsidRPr="008D05A0">
        <w:rPr>
          <w:i/>
        </w:rPr>
        <w:instrText xml:space="preserve"> TC"(</w:instrText>
      </w:r>
      <w:bookmarkStart w:id="2" w:name="DocNumber"/>
      <w:r w:rsidRPr="008D05A0">
        <w:rPr>
          <w:i/>
        </w:rPr>
        <w:instrText>A</w:instrText>
      </w:r>
      <w:r w:rsidRPr="008F6D02">
        <w:rPr>
          <w:i/>
        </w:rPr>
        <w:instrText>9</w:instrText>
      </w:r>
      <w:r w:rsidRPr="008D05A0">
        <w:rPr>
          <w:i/>
        </w:rPr>
        <w:instrText>-</w:instrText>
      </w:r>
      <w:r w:rsidRPr="008F6D02">
        <w:rPr>
          <w:i/>
        </w:rPr>
        <w:instrText>0301</w:instrText>
      </w:r>
      <w:r w:rsidRPr="008D05A0">
        <w:rPr>
          <w:i/>
        </w:rPr>
        <w:instrText>/</w:instrText>
      </w:r>
      <w:r w:rsidRPr="008F6D02">
        <w:rPr>
          <w:i/>
        </w:rPr>
        <w:instrText>2022</w:instrText>
      </w:r>
      <w:bookmarkEnd w:id="2"/>
      <w:r w:rsidRPr="008D05A0">
        <w:rPr>
          <w:i/>
        </w:rPr>
        <w:instrText xml:space="preserve"> - Rapporteur: Elisabetta Gualmini)"\l</w:instrText>
      </w:r>
      <w:r w:rsidRPr="008F6D02">
        <w:rPr>
          <w:i/>
        </w:rPr>
        <w:instrText>3</w:instrText>
      </w:r>
      <w:r w:rsidRPr="008D05A0">
        <w:rPr>
          <w:i/>
        </w:rPr>
        <w:instrText xml:space="preserve"> \n&gt; \* MERGEFORMAT </w:instrText>
      </w:r>
      <w:r w:rsidRPr="008D05A0">
        <w:rPr>
          <w:i/>
        </w:rPr>
        <w:fldChar w:fldCharType="end"/>
      </w:r>
    </w:p>
    <w:p w:rsidR="00DD27FA" w:rsidRPr="008D05A0" w:rsidRDefault="00DD27FA" w:rsidP="00DD27FA">
      <w:pPr>
        <w:rPr>
          <w:vanish/>
        </w:rPr>
      </w:pPr>
      <w:bookmarkStart w:id="3" w:name="Commission"/>
      <w:r w:rsidRPr="008D05A0">
        <w:rPr>
          <w:vanish/>
        </w:rPr>
        <w:t>Kumitat għall-Impjiegi u l-Affarijiet Soċjali</w:t>
      </w:r>
      <w:bookmarkEnd w:id="3"/>
    </w:p>
    <w:p w:rsidR="00DD27FA" w:rsidRPr="008D05A0" w:rsidRDefault="00DD27FA" w:rsidP="00DD27FA">
      <w:pPr>
        <w:rPr>
          <w:vanish/>
        </w:rPr>
      </w:pPr>
      <w:bookmarkStart w:id="4" w:name="PE"/>
      <w:r w:rsidRPr="008D05A0">
        <w:rPr>
          <w:vanish/>
        </w:rPr>
        <w:t>PE</w:t>
      </w:r>
      <w:r w:rsidRPr="008F6D02">
        <w:rPr>
          <w:vanish/>
        </w:rPr>
        <w:t>731</w:t>
      </w:r>
      <w:r w:rsidRPr="008D05A0">
        <w:rPr>
          <w:vanish/>
        </w:rPr>
        <w:t>.</w:t>
      </w:r>
      <w:r w:rsidRPr="008F6D02">
        <w:rPr>
          <w:vanish/>
        </w:rPr>
        <w:t>497</w:t>
      </w:r>
      <w:bookmarkEnd w:id="4"/>
    </w:p>
    <w:p w:rsidR="00DD27FA" w:rsidRPr="008D05A0" w:rsidRDefault="00DD27FA" w:rsidP="00DD27FA">
      <w:pPr>
        <w:pStyle w:val="ATHeading3"/>
      </w:pPr>
      <w:bookmarkStart w:id="5" w:name="Sujet"/>
      <w:r w:rsidRPr="008D05A0">
        <w:t>Riżoluzzjoni leġiżlattiva tal-Parlament Ewropew tal-</w:t>
      </w:r>
      <w:r w:rsidRPr="008F6D02">
        <w:t>24</w:t>
      </w:r>
      <w:r w:rsidRPr="008D05A0">
        <w:t xml:space="preserve"> ta' April </w:t>
      </w:r>
      <w:r w:rsidRPr="008F6D02">
        <w:t>2024</w:t>
      </w:r>
      <w:r w:rsidRPr="008D05A0">
        <w:t xml:space="preserve"> dwar il-proposta għal direttiva tal-Parlament Ewropew u tal-Kunsill dwar it-titjib tal-kondizzjonijiet tax-xogħol fix-xogħol fuq il-pjattaformi</w:t>
      </w:r>
      <w:bookmarkEnd w:id="5"/>
      <w:r w:rsidRPr="008D05A0">
        <w:t xml:space="preserve"> </w:t>
      </w:r>
      <w:bookmarkStart w:id="6" w:name="References"/>
      <w:r w:rsidRPr="008D05A0">
        <w:t>(COM(</w:t>
      </w:r>
      <w:r w:rsidRPr="008F6D02">
        <w:t>2021</w:t>
      </w:r>
      <w:r w:rsidRPr="008D05A0">
        <w:t>)</w:t>
      </w:r>
      <w:r w:rsidRPr="008F6D02">
        <w:t>0762</w:t>
      </w:r>
      <w:r w:rsidRPr="008D05A0">
        <w:t xml:space="preserve"> – C</w:t>
      </w:r>
      <w:r w:rsidRPr="008F6D02">
        <w:t>9</w:t>
      </w:r>
      <w:r w:rsidRPr="008D05A0">
        <w:t>-</w:t>
      </w:r>
      <w:r w:rsidRPr="008F6D02">
        <w:t>0454</w:t>
      </w:r>
      <w:r w:rsidRPr="008D05A0">
        <w:t>/</w:t>
      </w:r>
      <w:r w:rsidRPr="008F6D02">
        <w:t>2021</w:t>
      </w:r>
      <w:r w:rsidRPr="008D05A0">
        <w:t xml:space="preserve"> – </w:t>
      </w:r>
      <w:r w:rsidRPr="008F6D02">
        <w:t>2021</w:t>
      </w:r>
      <w:r w:rsidRPr="008D05A0">
        <w:t>/</w:t>
      </w:r>
      <w:r w:rsidRPr="008F6D02">
        <w:t>0414</w:t>
      </w:r>
      <w:r w:rsidRPr="008D05A0">
        <w:t>(COD))</w:t>
      </w:r>
      <w:bookmarkEnd w:id="6"/>
    </w:p>
    <w:p w:rsidR="00DD27FA" w:rsidRPr="008D05A0" w:rsidRDefault="00DD27FA" w:rsidP="00DD27FA"/>
    <w:p w:rsidR="00DD27FA" w:rsidRPr="008D05A0" w:rsidRDefault="00DD27FA" w:rsidP="00DD27FA">
      <w:pPr>
        <w:pStyle w:val="NormalBold"/>
      </w:pPr>
      <w:bookmarkStart w:id="7" w:name="TextBodyBegin"/>
      <w:bookmarkEnd w:id="7"/>
      <w:r w:rsidRPr="008D05A0">
        <w:t>(Proċedura leġiżlattiva ordinarja: l-ewwel qari)</w:t>
      </w:r>
    </w:p>
    <w:p w:rsidR="00DD27FA" w:rsidRPr="008D05A0" w:rsidRDefault="00DD27FA" w:rsidP="00DD27FA">
      <w:pPr>
        <w:pStyle w:val="EPComma"/>
      </w:pPr>
      <w:r w:rsidRPr="008D05A0">
        <w:rPr>
          <w:i/>
        </w:rPr>
        <w:t>Il-Parlament Ewropew</w:t>
      </w:r>
      <w:r w:rsidRPr="008D05A0">
        <w:t>,</w:t>
      </w:r>
    </w:p>
    <w:p w:rsidR="00DD27FA" w:rsidRPr="008D05A0" w:rsidRDefault="00DD27FA" w:rsidP="00DD27FA">
      <w:pPr>
        <w:pStyle w:val="NormalHanging12a"/>
      </w:pPr>
      <w:r w:rsidRPr="008D05A0">
        <w:t>–</w:t>
      </w:r>
      <w:r w:rsidRPr="008D05A0">
        <w:tab/>
        <w:t>wara li kkunsidra l-proposta tal-Kummissjoni lill-Parlament Ewropew u lill-Kunsill (COM(</w:t>
      </w:r>
      <w:r w:rsidRPr="008F6D02">
        <w:t>2021</w:t>
      </w:r>
      <w:r w:rsidRPr="008D05A0">
        <w:t>)</w:t>
      </w:r>
      <w:r w:rsidRPr="008F6D02">
        <w:t>0762</w:t>
      </w:r>
      <w:r w:rsidRPr="008D05A0">
        <w:t>),</w:t>
      </w:r>
    </w:p>
    <w:p w:rsidR="00DD27FA" w:rsidRPr="008D05A0" w:rsidRDefault="00DD27FA" w:rsidP="00DD27FA">
      <w:pPr>
        <w:pStyle w:val="NormalHanging12a"/>
      </w:pPr>
      <w:r w:rsidRPr="008D05A0">
        <w:t>–</w:t>
      </w:r>
      <w:r w:rsidRPr="008D05A0">
        <w:tab/>
        <w:t>wara li kkunsidra l-Artikolu </w:t>
      </w:r>
      <w:r w:rsidRPr="008F6D02">
        <w:t>294</w:t>
      </w:r>
      <w:r w:rsidRPr="008D05A0">
        <w:t>(</w:t>
      </w:r>
      <w:r w:rsidRPr="008F6D02">
        <w:t>2</w:t>
      </w:r>
      <w:r w:rsidRPr="008D05A0">
        <w:t>) u l-Artikolu </w:t>
      </w:r>
      <w:r w:rsidRPr="008F6D02">
        <w:t>153</w:t>
      </w:r>
      <w:r w:rsidRPr="008D05A0">
        <w:t>(</w:t>
      </w:r>
      <w:r w:rsidRPr="008F6D02">
        <w:t>2</w:t>
      </w:r>
      <w:r w:rsidRPr="008D05A0">
        <w:t>), il-punt (b), flimkien mal-Artikolu </w:t>
      </w:r>
      <w:r w:rsidRPr="008F6D02">
        <w:t>153</w:t>
      </w:r>
      <w:r w:rsidRPr="008D05A0">
        <w:t>(</w:t>
      </w:r>
      <w:r w:rsidRPr="008F6D02">
        <w:t>1</w:t>
      </w:r>
      <w:r w:rsidRPr="008D05A0">
        <w:t>), il-punt (b), u l-Artikolu </w:t>
      </w:r>
      <w:r w:rsidRPr="008F6D02">
        <w:t>16</w:t>
      </w:r>
      <w:r w:rsidRPr="008D05A0">
        <w:t>(</w:t>
      </w:r>
      <w:r w:rsidRPr="008F6D02">
        <w:t>2</w:t>
      </w:r>
      <w:r w:rsidRPr="008D05A0">
        <w:t>) tat-Trattat dwar il-Funzjonament tal-Unjoni Ewropea, skont liema artikoli l-Kummissjoni ppreżentat il-proposta lill-Parlament (C</w:t>
      </w:r>
      <w:r w:rsidRPr="008F6D02">
        <w:t>9</w:t>
      </w:r>
      <w:r w:rsidRPr="008D05A0">
        <w:noBreakHyphen/>
      </w:r>
      <w:r w:rsidRPr="008F6D02">
        <w:t>0454</w:t>
      </w:r>
      <w:r w:rsidRPr="008D05A0">
        <w:t>/</w:t>
      </w:r>
      <w:r w:rsidRPr="008F6D02">
        <w:t>2021</w:t>
      </w:r>
      <w:r w:rsidRPr="008D05A0">
        <w:t>),</w:t>
      </w:r>
    </w:p>
    <w:p w:rsidR="00DD27FA" w:rsidRPr="008D05A0" w:rsidRDefault="00DD27FA" w:rsidP="00DD27FA">
      <w:pPr>
        <w:pStyle w:val="NormalHanging12a"/>
      </w:pPr>
      <w:r w:rsidRPr="008D05A0">
        <w:t>–</w:t>
      </w:r>
      <w:r w:rsidRPr="008D05A0">
        <w:tab/>
        <w:t>wara li kkunsidra l-Artikolu </w:t>
      </w:r>
      <w:r w:rsidRPr="008F6D02">
        <w:t>294</w:t>
      </w:r>
      <w:r w:rsidRPr="008D05A0">
        <w:t>(</w:t>
      </w:r>
      <w:r w:rsidRPr="008F6D02">
        <w:t>3</w:t>
      </w:r>
      <w:r w:rsidRPr="008D05A0">
        <w:t>) tat-Trattat dwar il-Funzjonament tal-Unjoni Ewropea,</w:t>
      </w:r>
    </w:p>
    <w:p w:rsidR="00DD27FA" w:rsidRPr="008D05A0" w:rsidRDefault="00DD27FA" w:rsidP="00DD27FA">
      <w:pPr>
        <w:pStyle w:val="NormalHanging12a"/>
      </w:pPr>
      <w:r w:rsidRPr="008D05A0">
        <w:t>–</w:t>
      </w:r>
      <w:r w:rsidRPr="008D05A0">
        <w:tab/>
        <w:t>wara li kkunsidra l-opinjoni motivata ppreżentata mill-Parlament Żvediż, fil-qafas tal-Protokoll Nru </w:t>
      </w:r>
      <w:r w:rsidRPr="008F6D02">
        <w:t>2</w:t>
      </w:r>
      <w:r w:rsidRPr="008D05A0">
        <w:t xml:space="preserve"> dwar l-applikazzjoni tal-prinċipji ta' sussidjarjetà u proporzjonalità li tiddikjara li l-abbozz ta' att leġiżlattiv ma jimxix mal-prinċipju ta' sussidjarjetà,</w:t>
      </w:r>
    </w:p>
    <w:p w:rsidR="00DD27FA" w:rsidRPr="008D05A0" w:rsidRDefault="00DD27FA" w:rsidP="00DD27FA">
      <w:pPr>
        <w:pStyle w:val="NormalHanging12a"/>
      </w:pPr>
      <w:r w:rsidRPr="008D05A0">
        <w:t>–</w:t>
      </w:r>
      <w:r w:rsidRPr="008D05A0">
        <w:tab/>
        <w:t>wara li kkunsidra l-opinjoni tal-Kumitat Ekonomiku u Soċjali Ewropewtat-</w:t>
      </w:r>
      <w:r w:rsidRPr="008F6D02">
        <w:t>23</w:t>
      </w:r>
      <w:r w:rsidRPr="008D05A0">
        <w:t xml:space="preserve"> ta’ Marzu </w:t>
      </w:r>
      <w:r w:rsidRPr="008F6D02">
        <w:t>2022</w:t>
      </w:r>
      <w:r w:rsidRPr="008D05A0">
        <w:rPr>
          <w:rStyle w:val="FootnoteReference"/>
        </w:rPr>
        <w:footnoteReference w:id="1"/>
      </w:r>
      <w:r w:rsidRPr="008D05A0">
        <w:t>,</w:t>
      </w:r>
    </w:p>
    <w:p w:rsidR="00DD27FA" w:rsidRPr="008D05A0" w:rsidRDefault="00DD27FA" w:rsidP="00DD27FA">
      <w:pPr>
        <w:pStyle w:val="NormalHanging12a"/>
      </w:pPr>
      <w:r w:rsidRPr="008D05A0">
        <w:t>–</w:t>
      </w:r>
      <w:r w:rsidRPr="008D05A0">
        <w:tab/>
        <w:t>wara li kkunsidra l-opinjoni tal-Kumitat tar-Reġjunitad-</w:t>
      </w:r>
      <w:r w:rsidRPr="008F6D02">
        <w:t>29</w:t>
      </w:r>
      <w:r w:rsidRPr="008D05A0">
        <w:t xml:space="preserve"> ta’ Ġunju </w:t>
      </w:r>
      <w:r w:rsidRPr="008F6D02">
        <w:t>2022</w:t>
      </w:r>
      <w:r w:rsidRPr="008D05A0">
        <w:rPr>
          <w:rStyle w:val="FootnoteReference"/>
        </w:rPr>
        <w:footnoteReference w:id="2"/>
      </w:r>
      <w:r w:rsidRPr="008D05A0">
        <w:t>,</w:t>
      </w:r>
    </w:p>
    <w:p w:rsidR="00DD27FA" w:rsidRPr="008D05A0" w:rsidRDefault="00557379" w:rsidP="00DD27FA">
      <w:pPr>
        <w:pStyle w:val="NormalHanging12a"/>
      </w:pPr>
      <w:r w:rsidRPr="008D05A0">
        <w:t>–</w:t>
      </w:r>
      <w:r w:rsidR="00DD27FA" w:rsidRPr="008D05A0">
        <w:tab/>
        <w:t>wara li kkunsidra l-ftehim proviżorju approvat mill-kumitat responsabbli fis-sens tal-Artikolu </w:t>
      </w:r>
      <w:r w:rsidR="00DD27FA" w:rsidRPr="008F6D02">
        <w:t>74</w:t>
      </w:r>
      <w:r w:rsidR="00DD27FA" w:rsidRPr="008D05A0">
        <w:t>(</w:t>
      </w:r>
      <w:r w:rsidR="00DD27FA" w:rsidRPr="008F6D02">
        <w:t>4</w:t>
      </w:r>
      <w:r w:rsidR="00DD27FA" w:rsidRPr="008D05A0">
        <w:t>)</w:t>
      </w:r>
      <w:bookmarkStart w:id="8" w:name="_GoBack"/>
      <w:bookmarkEnd w:id="8"/>
      <w:r w:rsidR="00DD27FA" w:rsidRPr="008D05A0">
        <w:t xml:space="preserve"> tar-Regoli ta' Proċedura tiegħu u l-impenn meħud mir-rappreżentant tal-</w:t>
      </w:r>
      <w:r w:rsidR="00DD27FA" w:rsidRPr="008D05A0">
        <w:lastRenderedPageBreak/>
        <w:t>Kunsill, permezz tal-ittra tal-</w:t>
      </w:r>
      <w:r w:rsidR="00DD27FA" w:rsidRPr="008F6D02">
        <w:t>11</w:t>
      </w:r>
      <w:r w:rsidR="00DD27FA" w:rsidRPr="008D05A0">
        <w:t xml:space="preserve"> ta’ Marzu </w:t>
      </w:r>
      <w:r w:rsidR="00DD27FA" w:rsidRPr="008F6D02">
        <w:t>2024</w:t>
      </w:r>
      <w:r w:rsidR="00DD27FA" w:rsidRPr="008D05A0">
        <w:t>, li japprova l-pożizzjoni tal-Parlament, skont l-Artikolu </w:t>
      </w:r>
      <w:r w:rsidR="00DD27FA" w:rsidRPr="008F6D02">
        <w:t>294</w:t>
      </w:r>
      <w:r w:rsidR="00DD27FA" w:rsidRPr="008D05A0">
        <w:t>(</w:t>
      </w:r>
      <w:r w:rsidR="00DD27FA" w:rsidRPr="008F6D02">
        <w:t>4</w:t>
      </w:r>
      <w:r w:rsidR="00DD27FA" w:rsidRPr="008D05A0">
        <w:t>) tat-Trattat dwar il-Funzjonament tal-Unjoni Ewropea,</w:t>
      </w:r>
    </w:p>
    <w:p w:rsidR="00DD27FA" w:rsidRPr="008D05A0" w:rsidRDefault="00DD27FA" w:rsidP="00DD27FA">
      <w:pPr>
        <w:pStyle w:val="NormalHanging12a"/>
      </w:pPr>
      <w:r w:rsidRPr="008D05A0">
        <w:t>–</w:t>
      </w:r>
      <w:r w:rsidRPr="008D05A0">
        <w:tab/>
        <w:t>wara li kkunsidra l-Artikolu </w:t>
      </w:r>
      <w:r w:rsidRPr="008F6D02">
        <w:t>59</w:t>
      </w:r>
      <w:r w:rsidRPr="008D05A0">
        <w:t xml:space="preserve"> tar-Regoli ta' Proċedura tiegħu,</w:t>
      </w:r>
    </w:p>
    <w:p w:rsidR="00DD27FA" w:rsidRPr="008D05A0" w:rsidRDefault="00DD27FA" w:rsidP="00DD27FA">
      <w:pPr>
        <w:pStyle w:val="NormalHanging12a"/>
      </w:pPr>
      <w:r w:rsidRPr="008D05A0">
        <w:t>–</w:t>
      </w:r>
      <w:r w:rsidRPr="008D05A0">
        <w:tab/>
        <w:t xml:space="preserve">wara li kkunsidra l-opinjoni tal-Kumitat għat-Trasport u t-Turiżmu, </w:t>
      </w:r>
    </w:p>
    <w:p w:rsidR="00DD27FA" w:rsidRPr="008D05A0" w:rsidRDefault="00DD27FA" w:rsidP="00DD27FA">
      <w:pPr>
        <w:pStyle w:val="NormalHanging12a"/>
      </w:pPr>
      <w:r w:rsidRPr="008D05A0">
        <w:t>–</w:t>
      </w:r>
      <w:r w:rsidRPr="008D05A0">
        <w:tab/>
        <w:t>wara li kkunsidra r-rapport tal-Kumitat għall-Impjiegi u l-Affarijiet Soċjali (A</w:t>
      </w:r>
      <w:r w:rsidRPr="008F6D02">
        <w:t>9</w:t>
      </w:r>
      <w:r w:rsidRPr="008D05A0">
        <w:t>-</w:t>
      </w:r>
      <w:r w:rsidRPr="008F6D02">
        <w:t>0301</w:t>
      </w:r>
      <w:r w:rsidRPr="008D05A0">
        <w:t>/</w:t>
      </w:r>
      <w:r w:rsidRPr="008F6D02">
        <w:t>2022</w:t>
      </w:r>
      <w:r w:rsidRPr="008D05A0">
        <w:t>),</w:t>
      </w:r>
    </w:p>
    <w:p w:rsidR="00DD27FA" w:rsidRPr="008D05A0" w:rsidRDefault="00DD27FA" w:rsidP="00DD27FA">
      <w:pPr>
        <w:pStyle w:val="NormalHanging12a"/>
      </w:pPr>
      <w:r w:rsidRPr="008F6D02">
        <w:t>1</w:t>
      </w:r>
      <w:r w:rsidRPr="008D05A0">
        <w:t>.</w:t>
      </w:r>
      <w:r w:rsidRPr="008D05A0">
        <w:tab/>
        <w:t>Jadotta l-pożizzjoni fl-ewwel qari li tidher hawn taħt;</w:t>
      </w:r>
    </w:p>
    <w:p w:rsidR="00DD27FA" w:rsidRPr="008D05A0" w:rsidRDefault="00DD27FA" w:rsidP="00DD27FA">
      <w:pPr>
        <w:pStyle w:val="NormalHanging12a"/>
      </w:pPr>
      <w:r w:rsidRPr="008F6D02">
        <w:t>2</w:t>
      </w:r>
      <w:r w:rsidRPr="008D05A0">
        <w:t>.</w:t>
      </w:r>
      <w:r w:rsidRPr="008D05A0">
        <w:tab/>
        <w:t>Jitlob lill-Kummissjoni terġa' tirreferi l-kwistjoni lill-Parlament jekk tibdel il-proposta tagħha, temendaha b'mod sustanzjali jew ikollha l-ħsieb li temendaha b'mod sustanzjali;</w:t>
      </w:r>
    </w:p>
    <w:p w:rsidR="00DD27FA" w:rsidRPr="008D05A0" w:rsidRDefault="00DD27FA" w:rsidP="00DD27FA">
      <w:pPr>
        <w:pStyle w:val="NormalHanging12a"/>
      </w:pPr>
      <w:r w:rsidRPr="008F6D02">
        <w:t>3</w:t>
      </w:r>
      <w:r w:rsidRPr="008D05A0">
        <w:t>.</w:t>
      </w:r>
      <w:r w:rsidRPr="008D05A0">
        <w:tab/>
        <w:t>Jagħti istruzzjonijiet lill-President tiegħu biex jgħaddi l-pożizzjoni tal-Parlament lill-Kunsill u lill-Kummissjoni kif ukoll lill-parlamenti nazzjonali.</w:t>
      </w:r>
    </w:p>
    <w:p w:rsidR="00DD27FA" w:rsidRPr="008D05A0" w:rsidRDefault="00DD27FA" w:rsidP="00DD27FA">
      <w:pPr>
        <w:sectPr w:rsidR="00DD27FA" w:rsidRPr="008D05A0" w:rsidSect="005636F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D27FA" w:rsidRPr="008D05A0" w:rsidRDefault="00DD27FA" w:rsidP="00DD27F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D05A0">
        <w:rPr>
          <w:rFonts w:eastAsia="Calibri"/>
          <w:b/>
          <w:bCs/>
          <w:color w:val="000000"/>
          <w:szCs w:val="24"/>
        </w:rPr>
        <w:lastRenderedPageBreak/>
        <w:t>P</w:t>
      </w:r>
      <w:r w:rsidRPr="008F6D02">
        <w:rPr>
          <w:rFonts w:eastAsia="Calibri"/>
          <w:b/>
          <w:bCs/>
          <w:color w:val="000000"/>
          <w:szCs w:val="24"/>
        </w:rPr>
        <w:t>9</w:t>
      </w:r>
      <w:r w:rsidRPr="008D05A0">
        <w:rPr>
          <w:rFonts w:eastAsia="Calibri"/>
          <w:b/>
          <w:bCs/>
          <w:color w:val="000000"/>
          <w:szCs w:val="24"/>
        </w:rPr>
        <w:t>_TC</w:t>
      </w:r>
      <w:r w:rsidRPr="008F6D02">
        <w:rPr>
          <w:rFonts w:eastAsia="Calibri"/>
          <w:b/>
          <w:bCs/>
          <w:color w:val="000000"/>
          <w:szCs w:val="24"/>
        </w:rPr>
        <w:t>1</w:t>
      </w:r>
      <w:r w:rsidRPr="008D05A0">
        <w:rPr>
          <w:rFonts w:eastAsia="Calibri"/>
          <w:b/>
          <w:bCs/>
          <w:color w:val="000000"/>
          <w:szCs w:val="24"/>
        </w:rPr>
        <w:t>-COD(</w:t>
      </w:r>
      <w:r w:rsidRPr="008F6D02">
        <w:rPr>
          <w:rFonts w:eastAsia="Calibri"/>
          <w:b/>
          <w:bCs/>
          <w:color w:val="000000"/>
          <w:szCs w:val="24"/>
        </w:rPr>
        <w:t>2021</w:t>
      </w:r>
      <w:r w:rsidRPr="008D05A0">
        <w:rPr>
          <w:rFonts w:eastAsia="Calibri"/>
          <w:b/>
          <w:bCs/>
          <w:color w:val="000000"/>
          <w:szCs w:val="24"/>
        </w:rPr>
        <w:t>)</w:t>
      </w:r>
      <w:r w:rsidRPr="008F6D02">
        <w:rPr>
          <w:rFonts w:eastAsia="Calibri"/>
          <w:b/>
          <w:bCs/>
          <w:color w:val="000000"/>
          <w:szCs w:val="24"/>
        </w:rPr>
        <w:t>0414</w:t>
      </w:r>
    </w:p>
    <w:p w:rsidR="00DD27FA" w:rsidRPr="00E44112" w:rsidRDefault="00DD27FA" w:rsidP="00DD27FA">
      <w:pPr>
        <w:spacing w:after="240"/>
        <w:rPr>
          <w:rFonts w:eastAsia="Calibri"/>
          <w:b/>
          <w:szCs w:val="24"/>
          <w:lang w:eastAsia="en-US"/>
        </w:rPr>
      </w:pPr>
      <w:r w:rsidRPr="008D05A0">
        <w:rPr>
          <w:rFonts w:eastAsia="Calibri"/>
          <w:b/>
          <w:bCs/>
        </w:rPr>
        <w:t>Pożizzjoni tal-Parlament Ewropew adottata fl-ewwel qari tal-</w:t>
      </w:r>
      <w:r w:rsidRPr="008F6D02">
        <w:rPr>
          <w:rFonts w:eastAsia="Calibri"/>
          <w:b/>
          <w:bCs/>
        </w:rPr>
        <w:t>24</w:t>
      </w:r>
      <w:r w:rsidRPr="008D05A0">
        <w:rPr>
          <w:b/>
        </w:rPr>
        <w:t xml:space="preserve"> </w:t>
      </w:r>
      <w:r w:rsidRPr="008D05A0">
        <w:rPr>
          <w:rFonts w:eastAsia="Calibri"/>
          <w:b/>
          <w:bCs/>
        </w:rPr>
        <w:t xml:space="preserve">ta' April </w:t>
      </w:r>
      <w:r w:rsidRPr="008F6D02">
        <w:rPr>
          <w:rFonts w:eastAsia="Calibri"/>
          <w:b/>
          <w:bCs/>
        </w:rPr>
        <w:t>2024</w:t>
      </w:r>
      <w:r w:rsidRPr="008D05A0">
        <w:rPr>
          <w:rFonts w:eastAsia="Calibri"/>
          <w:b/>
          <w:bCs/>
        </w:rPr>
        <w:t xml:space="preserve"> bil-ħsieb tal-adozzjoni tad-Direttiva (UE) </w:t>
      </w:r>
      <w:r w:rsidRPr="008F6D02">
        <w:rPr>
          <w:rFonts w:eastAsia="Calibri"/>
          <w:b/>
          <w:bCs/>
        </w:rPr>
        <w:t>2024</w:t>
      </w:r>
      <w:r w:rsidRPr="008D05A0">
        <w:rPr>
          <w:rFonts w:eastAsia="Calibri"/>
          <w:b/>
          <w:bCs/>
        </w:rPr>
        <w:t xml:space="preserve">/... </w:t>
      </w:r>
      <w:r w:rsidRPr="008D05A0">
        <w:rPr>
          <w:b/>
          <w:color w:val="000000"/>
          <w:szCs w:val="22"/>
        </w:rPr>
        <w:t>tal-Parlament Ewropew u tal-Kunsill</w:t>
      </w:r>
      <w:r w:rsidRPr="008D05A0">
        <w:rPr>
          <w:rFonts w:eastAsia="Calibri"/>
          <w:b/>
          <w:szCs w:val="22"/>
        </w:rPr>
        <w:t xml:space="preserve"> </w:t>
      </w:r>
      <w:r w:rsidRPr="00E44112">
        <w:rPr>
          <w:rFonts w:eastAsia="Calibri"/>
          <w:b/>
          <w:szCs w:val="22"/>
          <w:lang w:eastAsia="en-US"/>
        </w:rPr>
        <w:t>dwar it-titjib tal-kundizzjonijiet tax-xogħol fix-xogħol fuq il-pjattaformi</w:t>
      </w:r>
    </w:p>
    <w:p w:rsidR="00DD27FA" w:rsidRPr="00253DF5" w:rsidRDefault="00253DF5" w:rsidP="00253DF5">
      <w:pPr>
        <w:rPr>
          <w:i/>
        </w:rPr>
      </w:pPr>
      <w:r w:rsidRPr="00B65E7E">
        <w:rPr>
          <w:i/>
        </w:rPr>
        <w:t xml:space="preserve">(Peress li ntlaħaq ftehim bejn il-Parlament u l-Kunsill, il-pożizzjoni tal-Parlament taqbel mal-att leġiżlattiv </w:t>
      </w:r>
      <w:r w:rsidRPr="00253DF5">
        <w:rPr>
          <w:i/>
        </w:rPr>
        <w:t xml:space="preserve">finali, </w:t>
      </w:r>
      <w:r w:rsidRPr="00253DF5">
        <w:rPr>
          <w:i/>
        </w:rPr>
        <w:t>id-Direttiva</w:t>
      </w:r>
      <w:r w:rsidRPr="00253DF5">
        <w:rPr>
          <w:i/>
        </w:rPr>
        <w:t xml:space="preserve"> (UE) </w:t>
      </w:r>
      <w:r w:rsidRPr="00253DF5">
        <w:rPr>
          <w:i/>
        </w:rPr>
        <w:t>2024/2831</w:t>
      </w:r>
      <w:r w:rsidRPr="00253DF5">
        <w:rPr>
          <w:i/>
        </w:rPr>
        <w:t>.)</w:t>
      </w:r>
    </w:p>
    <w:sectPr w:rsidR="00DD27FA" w:rsidRPr="00253DF5" w:rsidSect="00253DF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2240" w:h="15840" w:code="1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398" w:rsidRPr="005636F8" w:rsidRDefault="00664398">
      <w:r w:rsidRPr="005636F8">
        <w:separator/>
      </w:r>
    </w:p>
  </w:endnote>
  <w:endnote w:type="continuationSeparator" w:id="0">
    <w:p w:rsidR="00664398" w:rsidRPr="005636F8" w:rsidRDefault="00664398">
      <w:r w:rsidRPr="005636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7FA" w:rsidRPr="005636F8" w:rsidRDefault="00DD27F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7FA" w:rsidRPr="005636F8" w:rsidRDefault="00DD27F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7FA" w:rsidRPr="005636F8" w:rsidRDefault="00DD27F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36F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36F8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36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398" w:rsidRPr="005636F8" w:rsidRDefault="00664398">
      <w:r w:rsidRPr="005636F8">
        <w:separator/>
      </w:r>
    </w:p>
  </w:footnote>
  <w:footnote w:type="continuationSeparator" w:id="0">
    <w:p w:rsidR="00664398" w:rsidRPr="005636F8" w:rsidRDefault="00664398">
      <w:r w:rsidRPr="005636F8">
        <w:continuationSeparator/>
      </w:r>
    </w:p>
  </w:footnote>
  <w:footnote w:id="1">
    <w:p w:rsidR="00DD27FA" w:rsidRPr="008D05A0" w:rsidRDefault="00DD27FA" w:rsidP="00DD27FA">
      <w:pPr>
        <w:pStyle w:val="FootnoteText"/>
        <w:rPr>
          <w:sz w:val="24"/>
          <w:szCs w:val="24"/>
          <w:lang w:val="mt-MT"/>
        </w:rPr>
      </w:pPr>
      <w:r w:rsidRPr="008D05A0">
        <w:rPr>
          <w:rStyle w:val="FootnoteReference"/>
          <w:sz w:val="24"/>
          <w:szCs w:val="24"/>
        </w:rPr>
        <w:footnoteRef/>
      </w:r>
      <w:r w:rsidRPr="008D05A0">
        <w:rPr>
          <w:sz w:val="24"/>
          <w:szCs w:val="24"/>
          <w:lang w:val="it-IT"/>
        </w:rPr>
        <w:t xml:space="preserve"> </w:t>
      </w:r>
      <w:r w:rsidRPr="008D05A0">
        <w:rPr>
          <w:sz w:val="24"/>
          <w:szCs w:val="24"/>
          <w:lang w:val="mt-MT"/>
        </w:rPr>
        <w:tab/>
        <w:t xml:space="preserve">ĠU C </w:t>
      </w:r>
      <w:r w:rsidRPr="008F6D02">
        <w:rPr>
          <w:sz w:val="24"/>
          <w:szCs w:val="24"/>
          <w:lang w:val="mt-MT"/>
        </w:rPr>
        <w:t>290</w:t>
      </w:r>
      <w:r w:rsidRPr="008D05A0">
        <w:rPr>
          <w:sz w:val="24"/>
          <w:szCs w:val="24"/>
          <w:lang w:val="mt-MT"/>
        </w:rPr>
        <w:t xml:space="preserve">, </w:t>
      </w:r>
      <w:r w:rsidRPr="008F6D02">
        <w:rPr>
          <w:sz w:val="24"/>
          <w:szCs w:val="24"/>
          <w:lang w:val="mt-MT"/>
        </w:rPr>
        <w:t>29</w:t>
      </w:r>
      <w:r w:rsidRPr="008D05A0">
        <w:rPr>
          <w:sz w:val="24"/>
          <w:szCs w:val="24"/>
          <w:lang w:val="mt-MT"/>
        </w:rPr>
        <w:t>.</w:t>
      </w:r>
      <w:r w:rsidRPr="008F6D02">
        <w:rPr>
          <w:sz w:val="24"/>
          <w:szCs w:val="24"/>
          <w:lang w:val="mt-MT"/>
        </w:rPr>
        <w:t>7</w:t>
      </w:r>
      <w:r w:rsidRPr="008D05A0">
        <w:rPr>
          <w:sz w:val="24"/>
          <w:szCs w:val="24"/>
          <w:lang w:val="mt-MT"/>
        </w:rPr>
        <w:t>.</w:t>
      </w:r>
      <w:r w:rsidRPr="008F6D02">
        <w:rPr>
          <w:sz w:val="24"/>
          <w:szCs w:val="24"/>
          <w:lang w:val="mt-MT"/>
        </w:rPr>
        <w:t>2022</w:t>
      </w:r>
      <w:r w:rsidRPr="008D05A0">
        <w:rPr>
          <w:sz w:val="24"/>
          <w:szCs w:val="24"/>
          <w:lang w:val="mt-MT"/>
        </w:rPr>
        <w:t xml:space="preserve">, p. </w:t>
      </w:r>
      <w:r w:rsidRPr="008F6D02">
        <w:rPr>
          <w:sz w:val="24"/>
          <w:szCs w:val="24"/>
          <w:lang w:val="mt-MT"/>
        </w:rPr>
        <w:t>95</w:t>
      </w:r>
      <w:r w:rsidRPr="008D05A0">
        <w:rPr>
          <w:sz w:val="24"/>
          <w:szCs w:val="24"/>
          <w:lang w:val="mt-MT"/>
        </w:rPr>
        <w:t>.</w:t>
      </w:r>
    </w:p>
  </w:footnote>
  <w:footnote w:id="2">
    <w:p w:rsidR="00DD27FA" w:rsidRPr="008D05A0" w:rsidRDefault="00DD27FA" w:rsidP="00DD27FA">
      <w:pPr>
        <w:pStyle w:val="FootnoteText"/>
        <w:rPr>
          <w:sz w:val="24"/>
          <w:szCs w:val="24"/>
          <w:lang w:val="mt-MT"/>
        </w:rPr>
      </w:pPr>
      <w:r w:rsidRPr="008D05A0">
        <w:rPr>
          <w:rStyle w:val="FootnoteReference"/>
          <w:sz w:val="24"/>
          <w:szCs w:val="24"/>
        </w:rPr>
        <w:footnoteRef/>
      </w:r>
      <w:r w:rsidRPr="008D05A0">
        <w:rPr>
          <w:sz w:val="24"/>
          <w:szCs w:val="24"/>
          <w:lang w:val="it-IT"/>
        </w:rPr>
        <w:t xml:space="preserve"> </w:t>
      </w:r>
      <w:r w:rsidRPr="008D05A0">
        <w:rPr>
          <w:sz w:val="24"/>
          <w:szCs w:val="24"/>
          <w:lang w:val="mt-MT"/>
        </w:rPr>
        <w:tab/>
        <w:t xml:space="preserve">ĠU C </w:t>
      </w:r>
      <w:r w:rsidRPr="008F6D02">
        <w:rPr>
          <w:sz w:val="24"/>
          <w:szCs w:val="24"/>
          <w:lang w:val="mt-MT"/>
        </w:rPr>
        <w:t>375</w:t>
      </w:r>
      <w:r w:rsidRPr="008D05A0">
        <w:rPr>
          <w:sz w:val="24"/>
          <w:szCs w:val="24"/>
          <w:lang w:val="mt-MT"/>
        </w:rPr>
        <w:t xml:space="preserve">, </w:t>
      </w:r>
      <w:r w:rsidRPr="008F6D02">
        <w:rPr>
          <w:sz w:val="24"/>
          <w:szCs w:val="24"/>
          <w:lang w:val="mt-MT"/>
        </w:rPr>
        <w:t>30</w:t>
      </w:r>
      <w:r w:rsidRPr="008D05A0">
        <w:rPr>
          <w:sz w:val="24"/>
          <w:szCs w:val="24"/>
          <w:lang w:val="mt-MT"/>
        </w:rPr>
        <w:t>.</w:t>
      </w:r>
      <w:r w:rsidRPr="008F6D02">
        <w:rPr>
          <w:sz w:val="24"/>
          <w:szCs w:val="24"/>
          <w:lang w:val="mt-MT"/>
        </w:rPr>
        <w:t>9</w:t>
      </w:r>
      <w:r w:rsidRPr="008D05A0">
        <w:rPr>
          <w:sz w:val="24"/>
          <w:szCs w:val="24"/>
          <w:lang w:val="mt-MT"/>
        </w:rPr>
        <w:t>.</w:t>
      </w:r>
      <w:r w:rsidRPr="008F6D02">
        <w:rPr>
          <w:sz w:val="24"/>
          <w:szCs w:val="24"/>
          <w:lang w:val="mt-MT"/>
        </w:rPr>
        <w:t>2022</w:t>
      </w:r>
      <w:r w:rsidRPr="008D05A0">
        <w:rPr>
          <w:sz w:val="24"/>
          <w:szCs w:val="24"/>
          <w:lang w:val="mt-MT"/>
        </w:rPr>
        <w:t xml:space="preserve">, p. </w:t>
      </w:r>
      <w:r w:rsidRPr="008F6D02">
        <w:rPr>
          <w:sz w:val="24"/>
          <w:szCs w:val="24"/>
          <w:lang w:val="mt-MT"/>
        </w:rPr>
        <w:t>45</w:t>
      </w:r>
      <w:r w:rsidRPr="008D05A0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7FA" w:rsidRPr="005636F8" w:rsidRDefault="00DD27F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7FA" w:rsidRPr="005636F8" w:rsidRDefault="00DD27F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7FA" w:rsidRPr="005636F8" w:rsidRDefault="00DD27F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36F8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36F8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36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E4219E3"/>
    <w:multiLevelType w:val="hybridMultilevel"/>
    <w:tmpl w:val="A0F67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3BA6EF4"/>
    <w:multiLevelType w:val="hybridMultilevel"/>
    <w:tmpl w:val="C228190C"/>
    <w:lvl w:ilvl="0" w:tplc="EE3AE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2883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CCA2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A4BD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6A7E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9A3C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C46C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ECE4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9E26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8B7A4F"/>
    <w:multiLevelType w:val="hybridMultilevel"/>
    <w:tmpl w:val="C9844008"/>
    <w:lvl w:ilvl="0" w:tplc="09044E2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A9B898AC" w:tentative="1">
      <w:start w:val="1"/>
      <w:numFmt w:val="lowerLetter"/>
      <w:lvlText w:val="%2."/>
      <w:lvlJc w:val="left"/>
      <w:pPr>
        <w:ind w:left="1440" w:hanging="360"/>
      </w:pPr>
    </w:lvl>
    <w:lvl w:ilvl="2" w:tplc="694AD9F2" w:tentative="1">
      <w:start w:val="1"/>
      <w:numFmt w:val="lowerRoman"/>
      <w:lvlText w:val="%3."/>
      <w:lvlJc w:val="right"/>
      <w:pPr>
        <w:ind w:left="2160" w:hanging="180"/>
      </w:pPr>
    </w:lvl>
    <w:lvl w:ilvl="3" w:tplc="A23A2E34" w:tentative="1">
      <w:start w:val="1"/>
      <w:numFmt w:val="decimal"/>
      <w:lvlText w:val="%4."/>
      <w:lvlJc w:val="left"/>
      <w:pPr>
        <w:ind w:left="2880" w:hanging="360"/>
      </w:pPr>
    </w:lvl>
    <w:lvl w:ilvl="4" w:tplc="ED6CE98E" w:tentative="1">
      <w:start w:val="1"/>
      <w:numFmt w:val="lowerLetter"/>
      <w:lvlText w:val="%5."/>
      <w:lvlJc w:val="left"/>
      <w:pPr>
        <w:ind w:left="3600" w:hanging="360"/>
      </w:pPr>
    </w:lvl>
    <w:lvl w:ilvl="5" w:tplc="AE081F08" w:tentative="1">
      <w:start w:val="1"/>
      <w:numFmt w:val="lowerRoman"/>
      <w:lvlText w:val="%6."/>
      <w:lvlJc w:val="right"/>
      <w:pPr>
        <w:ind w:left="4320" w:hanging="180"/>
      </w:pPr>
    </w:lvl>
    <w:lvl w:ilvl="6" w:tplc="B608E70E" w:tentative="1">
      <w:start w:val="1"/>
      <w:numFmt w:val="decimal"/>
      <w:lvlText w:val="%7."/>
      <w:lvlJc w:val="left"/>
      <w:pPr>
        <w:ind w:left="5040" w:hanging="360"/>
      </w:pPr>
    </w:lvl>
    <w:lvl w:ilvl="7" w:tplc="A3AEE820" w:tentative="1">
      <w:start w:val="1"/>
      <w:numFmt w:val="lowerLetter"/>
      <w:lvlText w:val="%8."/>
      <w:lvlJc w:val="left"/>
      <w:pPr>
        <w:ind w:left="5760" w:hanging="360"/>
      </w:pPr>
    </w:lvl>
    <w:lvl w:ilvl="8" w:tplc="AC8E6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27C73"/>
    <w:multiLevelType w:val="hybridMultilevel"/>
    <w:tmpl w:val="1A684F98"/>
    <w:lvl w:ilvl="0" w:tplc="775EB2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AC96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B43C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0C89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2AB0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9840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3CB8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347F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F87C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4"/>
  </w:num>
  <w:num w:numId="46">
    <w:abstractNumId w:val="15"/>
  </w:num>
  <w:num w:numId="47">
    <w:abstractNumId w:val="13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MT"/>
    <w:docVar w:name="dvnumam" w:val="0"/>
    <w:docVar w:name="dvpe" w:val="731.497"/>
    <w:docVar w:name="dvrapporteur" w:val="Rapporteur: "/>
    <w:docVar w:name="dvstar" w:val="***I"/>
    <w:docVar w:name="dvtitre" w:val="Riżoluzzjoni leġiżlattiva tal-Parlament Ewropew tal-24 ta' April 2024 dwar il-proposta għal direttiva tal-Parlament Ewropew u tal-Kunsill dwar it-titjib tal-kondizzjonijiet tax-xogħol fix-xogħol fuq il-pjattaformi(COM(2021)0762 – C9-0454/2021 – 2021/0414(COD))"/>
  </w:docVars>
  <w:rsids>
    <w:rsidRoot w:val="00664398"/>
    <w:rsid w:val="00002272"/>
    <w:rsid w:val="000106C7"/>
    <w:rsid w:val="00064002"/>
    <w:rsid w:val="000677B9"/>
    <w:rsid w:val="000831BA"/>
    <w:rsid w:val="000A42CC"/>
    <w:rsid w:val="000E7DD9"/>
    <w:rsid w:val="0010095E"/>
    <w:rsid w:val="00125B37"/>
    <w:rsid w:val="00187494"/>
    <w:rsid w:val="001E67B2"/>
    <w:rsid w:val="001F32AE"/>
    <w:rsid w:val="00253DF5"/>
    <w:rsid w:val="002767FF"/>
    <w:rsid w:val="002B1040"/>
    <w:rsid w:val="002B18FE"/>
    <w:rsid w:val="002B5493"/>
    <w:rsid w:val="00343214"/>
    <w:rsid w:val="003568AD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51C9"/>
    <w:rsid w:val="004C0004"/>
    <w:rsid w:val="004C5D52"/>
    <w:rsid w:val="0050519A"/>
    <w:rsid w:val="005072A1"/>
    <w:rsid w:val="00513C7E"/>
    <w:rsid w:val="00514517"/>
    <w:rsid w:val="00545827"/>
    <w:rsid w:val="00557379"/>
    <w:rsid w:val="00560270"/>
    <w:rsid w:val="005636F8"/>
    <w:rsid w:val="005C2568"/>
    <w:rsid w:val="006037C0"/>
    <w:rsid w:val="006631B6"/>
    <w:rsid w:val="00664398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17E36"/>
    <w:rsid w:val="00842779"/>
    <w:rsid w:val="00865F67"/>
    <w:rsid w:val="00881A7B"/>
    <w:rsid w:val="008840E5"/>
    <w:rsid w:val="00887B3E"/>
    <w:rsid w:val="008C2AC6"/>
    <w:rsid w:val="008D05A0"/>
    <w:rsid w:val="008F6D02"/>
    <w:rsid w:val="00930C23"/>
    <w:rsid w:val="0093193B"/>
    <w:rsid w:val="009509D8"/>
    <w:rsid w:val="00950B64"/>
    <w:rsid w:val="0097397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75D4"/>
    <w:rsid w:val="00C05BFE"/>
    <w:rsid w:val="00C23CD4"/>
    <w:rsid w:val="00C61C0C"/>
    <w:rsid w:val="00C941CB"/>
    <w:rsid w:val="00CB1521"/>
    <w:rsid w:val="00CC2357"/>
    <w:rsid w:val="00CF071A"/>
    <w:rsid w:val="00D058B8"/>
    <w:rsid w:val="00D56C11"/>
    <w:rsid w:val="00D834A0"/>
    <w:rsid w:val="00D872DF"/>
    <w:rsid w:val="00D91E21"/>
    <w:rsid w:val="00DA7FCD"/>
    <w:rsid w:val="00DD27FA"/>
    <w:rsid w:val="00E365E1"/>
    <w:rsid w:val="00E820A4"/>
    <w:rsid w:val="00EB006A"/>
    <w:rsid w:val="00EB4772"/>
    <w:rsid w:val="00ED169E"/>
    <w:rsid w:val="00ED4235"/>
    <w:rsid w:val="00ED4B6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9AAC37"/>
  <w15:chartTrackingRefBased/>
  <w15:docId w15:val="{C4399AEE-766D-4862-9F72-78CB3E42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E67B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E67B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E67B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E67B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E67B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E67B2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1E67B2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1E67B2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1E67B2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1E67B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E67B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E67B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E67B2"/>
    <w:pPr>
      <w:spacing w:after="120"/>
    </w:pPr>
  </w:style>
  <w:style w:type="paragraph" w:customStyle="1" w:styleId="PageHeading">
    <w:name w:val="PageHeading"/>
    <w:basedOn w:val="Normal"/>
    <w:rsid w:val="001E67B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E67B2"/>
    <w:rPr>
      <w:b/>
    </w:rPr>
  </w:style>
  <w:style w:type="paragraph" w:customStyle="1" w:styleId="NormalBold12a">
    <w:name w:val="NormalBold12a"/>
    <w:basedOn w:val="Normal"/>
    <w:rsid w:val="001E67B2"/>
    <w:pPr>
      <w:spacing w:after="240"/>
    </w:pPr>
    <w:rPr>
      <w:b/>
    </w:rPr>
  </w:style>
  <w:style w:type="paragraph" w:customStyle="1" w:styleId="AmJustText">
    <w:name w:val="AmJustText"/>
    <w:basedOn w:val="Normal"/>
    <w:rsid w:val="001E67B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E67B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E67B2"/>
    <w:pPr>
      <w:spacing w:after="480"/>
      <w:ind w:left="1417"/>
    </w:pPr>
  </w:style>
  <w:style w:type="paragraph" w:customStyle="1" w:styleId="CoverNormal">
    <w:name w:val="CoverNormal"/>
    <w:basedOn w:val="Normal"/>
    <w:rsid w:val="001E67B2"/>
    <w:pPr>
      <w:ind w:left="1418"/>
    </w:pPr>
  </w:style>
  <w:style w:type="paragraph" w:customStyle="1" w:styleId="AmCrossRef">
    <w:name w:val="AmCrossRef"/>
    <w:basedOn w:val="Normal"/>
    <w:rsid w:val="001E67B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E67B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E67B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E67B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E67B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E67B2"/>
    <w:pPr>
      <w:spacing w:before="240" w:after="1200"/>
    </w:pPr>
  </w:style>
  <w:style w:type="paragraph" w:styleId="Header">
    <w:name w:val="header"/>
    <w:basedOn w:val="Normal"/>
    <w:link w:val="HeaderChar"/>
    <w:rsid w:val="001E67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E67B2"/>
    <w:rPr>
      <w:sz w:val="24"/>
      <w:lang w:val="mt-MT"/>
    </w:rPr>
  </w:style>
  <w:style w:type="paragraph" w:customStyle="1" w:styleId="AmOrLang">
    <w:name w:val="AmOrLang"/>
    <w:basedOn w:val="Normal"/>
    <w:rsid w:val="001E67B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E67B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E67B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E67B2"/>
    <w:pPr>
      <w:spacing w:before="240"/>
    </w:pPr>
    <w:rPr>
      <w:b/>
    </w:rPr>
  </w:style>
  <w:style w:type="paragraph" w:customStyle="1" w:styleId="EPBody">
    <w:name w:val="EPBody"/>
    <w:basedOn w:val="Normal"/>
    <w:rsid w:val="001E67B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E67B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E67B2"/>
    <w:pPr>
      <w:spacing w:before="480" w:after="240"/>
    </w:pPr>
  </w:style>
  <w:style w:type="paragraph" w:customStyle="1" w:styleId="Lgendesigne">
    <w:name w:val="Légende signe"/>
    <w:basedOn w:val="Normal"/>
    <w:rsid w:val="001E67B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E67B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1E67B2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1E67B2"/>
    <w:rPr>
      <w:b/>
      <w:sz w:val="24"/>
      <w:lang w:val="mt-MT"/>
    </w:rPr>
  </w:style>
  <w:style w:type="character" w:customStyle="1" w:styleId="FooterChar1">
    <w:name w:val="Footer Char1"/>
    <w:basedOn w:val="DefaultParagraphFont"/>
    <w:semiHidden/>
    <w:rsid w:val="001E67B2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1E67B2"/>
    <w:rPr>
      <w:noProof/>
      <w:sz w:val="24"/>
    </w:rPr>
  </w:style>
  <w:style w:type="paragraph" w:customStyle="1" w:styleId="Normal12">
    <w:name w:val="Normal12"/>
    <w:basedOn w:val="Normal"/>
    <w:link w:val="Normal12Char"/>
    <w:rsid w:val="001E67B2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1E67B2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1E67B2"/>
    <w:pPr>
      <w:spacing w:after="120"/>
    </w:pPr>
  </w:style>
  <w:style w:type="paragraph" w:customStyle="1" w:styleId="Normal12Italic">
    <w:name w:val="Normal12Italic"/>
    <w:basedOn w:val="Normal12"/>
    <w:rsid w:val="001E67B2"/>
    <w:rPr>
      <w:i/>
    </w:rPr>
  </w:style>
  <w:style w:type="paragraph" w:customStyle="1" w:styleId="EntPE">
    <w:name w:val="EntPE"/>
    <w:basedOn w:val="Normal12"/>
    <w:rsid w:val="001E67B2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1E67B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1E67B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1E67B2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rsid w:val="001E67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7B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E67B2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E67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67B2"/>
    <w:rPr>
      <w:b/>
      <w:bCs/>
      <w:lang w:val="mt-MT"/>
    </w:rPr>
  </w:style>
  <w:style w:type="paragraph" w:styleId="BalloonText">
    <w:name w:val="Balloon Text"/>
    <w:basedOn w:val="Normal"/>
    <w:link w:val="BalloonTextChar"/>
    <w:unhideWhenUsed/>
    <w:rsid w:val="001E67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E67B2"/>
    <w:rPr>
      <w:rFonts w:ascii="Segoe UI" w:hAnsi="Segoe UI" w:cs="Segoe UI"/>
      <w:sz w:val="18"/>
      <w:szCs w:val="18"/>
      <w:lang w:val="mt-MT"/>
    </w:rPr>
  </w:style>
  <w:style w:type="paragraph" w:styleId="Title">
    <w:name w:val="Title"/>
    <w:basedOn w:val="Normal"/>
    <w:next w:val="Normal"/>
    <w:link w:val="TitleChar"/>
    <w:uiPriority w:val="10"/>
    <w:qFormat/>
    <w:rsid w:val="001E67B2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E67B2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67B2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E67B2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1E67B2"/>
    <w:rPr>
      <w:b/>
      <w:bCs/>
    </w:rPr>
  </w:style>
  <w:style w:type="character" w:styleId="Emphasis">
    <w:name w:val="Emphasis"/>
    <w:basedOn w:val="DefaultParagraphFont"/>
    <w:uiPriority w:val="20"/>
    <w:qFormat/>
    <w:rsid w:val="001E67B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1E67B2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1E67B2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E67B2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E67B2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7B2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7B2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1E67B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1E67B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E67B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E67B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E67B2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Normal12a">
    <w:name w:val="Normal12a"/>
    <w:basedOn w:val="Normal"/>
    <w:rsid w:val="001E67B2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1E67B2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1E67B2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character" w:customStyle="1" w:styleId="Sup">
    <w:name w:val="Sup"/>
    <w:uiPriority w:val="1"/>
    <w:qFormat/>
    <w:rsid w:val="001E67B2"/>
    <w:rPr>
      <w:vertAlign w:val="superscript"/>
    </w:rPr>
  </w:style>
  <w:style w:type="paragraph" w:customStyle="1" w:styleId="RollCallSymbols14pt">
    <w:name w:val="RollCallSymbols14pt"/>
    <w:basedOn w:val="Normal"/>
    <w:rsid w:val="001E67B2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1E67B2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1E67B2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1E67B2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msonormal0">
    <w:name w:val="msonormal"/>
    <w:basedOn w:val="Normal"/>
    <w:rsid w:val="001E67B2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24a">
    <w:name w:val="Normal24a"/>
    <w:basedOn w:val="Normal"/>
    <w:link w:val="Normal24aChar"/>
    <w:rsid w:val="001E67B2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1E67B2"/>
    <w:rPr>
      <w:sz w:val="24"/>
    </w:rPr>
  </w:style>
  <w:style w:type="character" w:customStyle="1" w:styleId="NormalBold12bChar">
    <w:name w:val="NormalBold12b Char"/>
    <w:basedOn w:val="DefaultParagraphFont"/>
    <w:link w:val="NormalBold12b"/>
    <w:locked/>
    <w:rsid w:val="001E67B2"/>
    <w:rPr>
      <w:b/>
      <w:sz w:val="24"/>
      <w:lang w:val="mt-MT"/>
    </w:rPr>
  </w:style>
  <w:style w:type="paragraph" w:styleId="EndnoteText">
    <w:name w:val="endnote text"/>
    <w:basedOn w:val="Normal"/>
    <w:link w:val="EndnoteTextChar"/>
    <w:rsid w:val="001E67B2"/>
    <w:rPr>
      <w:lang w:val="en-GB"/>
    </w:rPr>
  </w:style>
  <w:style w:type="character" w:customStyle="1" w:styleId="EndnoteTextChar">
    <w:name w:val="Endnote Text Char"/>
    <w:basedOn w:val="DefaultParagraphFont"/>
    <w:link w:val="EndnoteText"/>
    <w:rsid w:val="001E67B2"/>
    <w:rPr>
      <w:sz w:val="24"/>
    </w:rPr>
  </w:style>
  <w:style w:type="paragraph" w:customStyle="1" w:styleId="Normal12Centre">
    <w:name w:val="Normal12Centre"/>
    <w:basedOn w:val="Normal"/>
    <w:rsid w:val="001E67B2"/>
    <w:pPr>
      <w:spacing w:after="240"/>
      <w:jc w:val="center"/>
    </w:pPr>
    <w:rPr>
      <w:snapToGrid w:val="0"/>
      <w:lang w:val="fr-FR"/>
    </w:rPr>
  </w:style>
  <w:style w:type="paragraph" w:styleId="Footer">
    <w:name w:val="footer"/>
    <w:basedOn w:val="Normal"/>
    <w:link w:val="FooterChar"/>
    <w:unhideWhenUsed/>
    <w:rsid w:val="001E67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E67B2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1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1A81E-5F3B-4151-9610-EE312D8E6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2594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2025-03-11T09:22:00Z</dcterms:created>
  <dcterms:modified xsi:type="dcterms:W3CDTF">2025-03-11T09:22:00Z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