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2B8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2B8F" w:rsidRDefault="00171DF4" w:rsidP="0010095E">
            <w:pPr>
              <w:pStyle w:val="EPName"/>
            </w:pPr>
            <w:r w:rsidRPr="001D2B8F">
              <w:t>Parlamentul European</w:t>
            </w:r>
          </w:p>
          <w:p w:rsidR="00751A4A" w:rsidRPr="001D2B8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8194C">
              <w:t>2019</w:t>
            </w:r>
            <w:r w:rsidRPr="001D2B8F">
              <w:t>-</w:t>
            </w:r>
            <w:r w:rsidRPr="00B8194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D2B8F" w:rsidRDefault="00187494" w:rsidP="0010095E">
            <w:pPr>
              <w:pStyle w:val="EPLogo"/>
            </w:pPr>
            <w:r w:rsidRPr="001D2B8F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2B8F" w:rsidRDefault="00D058B8" w:rsidP="004C5D52">
      <w:pPr>
        <w:pStyle w:val="LineTop"/>
      </w:pPr>
    </w:p>
    <w:p w:rsidR="00680577" w:rsidRPr="001D2B8F" w:rsidRDefault="00171DF4" w:rsidP="00680577">
      <w:pPr>
        <w:pStyle w:val="EPBodyTA1"/>
      </w:pPr>
      <w:r w:rsidRPr="001D2B8F">
        <w:t>TEXTE ADOPTATE</w:t>
      </w:r>
    </w:p>
    <w:p w:rsidR="00D058B8" w:rsidRPr="001D2B8F" w:rsidRDefault="00D058B8" w:rsidP="00D058B8">
      <w:pPr>
        <w:pStyle w:val="LineBottom"/>
      </w:pPr>
    </w:p>
    <w:p w:rsidR="00171DF4" w:rsidRPr="001D2B8F" w:rsidRDefault="00171DF4" w:rsidP="00171DF4">
      <w:pPr>
        <w:pStyle w:val="ATHeading1"/>
      </w:pPr>
      <w:bookmarkStart w:id="0" w:name="TANumber"/>
      <w:r w:rsidRPr="001D2B8F">
        <w:t>P</w:t>
      </w:r>
      <w:r w:rsidRPr="00B8194C">
        <w:t>9</w:t>
      </w:r>
      <w:r w:rsidRPr="001D2B8F">
        <w:t>_TA(</w:t>
      </w:r>
      <w:r w:rsidRPr="00B8194C">
        <w:t>2024</w:t>
      </w:r>
      <w:r w:rsidRPr="001D2B8F">
        <w:t>)</w:t>
      </w:r>
      <w:r w:rsidRPr="00B8194C">
        <w:t>0</w:t>
      </w:r>
      <w:bookmarkEnd w:id="0"/>
      <w:r w:rsidR="001D2B8F" w:rsidRPr="00B8194C">
        <w:t>330</w:t>
      </w:r>
    </w:p>
    <w:p w:rsidR="00171DF4" w:rsidRPr="001D2B8F" w:rsidRDefault="00171DF4" w:rsidP="00171DF4">
      <w:pPr>
        <w:pStyle w:val="ATHeading2"/>
      </w:pPr>
      <w:bookmarkStart w:id="1" w:name="title"/>
      <w:r w:rsidRPr="001D2B8F">
        <w:t>Îmbunătățirea condițiilor de muncă pentru lucrul pe platforme</w:t>
      </w:r>
      <w:bookmarkEnd w:id="1"/>
    </w:p>
    <w:p w:rsidR="00171DF4" w:rsidRPr="001D2B8F" w:rsidRDefault="00171DF4" w:rsidP="00171DF4">
      <w:pPr>
        <w:rPr>
          <w:i/>
          <w:vanish/>
        </w:rPr>
      </w:pPr>
      <w:r w:rsidRPr="001D2B8F">
        <w:rPr>
          <w:i/>
        </w:rPr>
        <w:fldChar w:fldCharType="begin"/>
      </w:r>
      <w:r w:rsidRPr="001D2B8F">
        <w:rPr>
          <w:i/>
        </w:rPr>
        <w:instrText xml:space="preserve"> TC"(</w:instrText>
      </w:r>
      <w:bookmarkStart w:id="2" w:name="DocNumber"/>
      <w:r w:rsidRPr="001D2B8F">
        <w:rPr>
          <w:i/>
        </w:rPr>
        <w:instrText>A</w:instrText>
      </w:r>
      <w:r w:rsidRPr="00B8194C">
        <w:rPr>
          <w:i/>
        </w:rPr>
        <w:instrText>9</w:instrText>
      </w:r>
      <w:r w:rsidRPr="001D2B8F">
        <w:rPr>
          <w:i/>
        </w:rPr>
        <w:instrText>-</w:instrText>
      </w:r>
      <w:r w:rsidRPr="00B8194C">
        <w:rPr>
          <w:i/>
        </w:rPr>
        <w:instrText>0301</w:instrText>
      </w:r>
      <w:r w:rsidRPr="001D2B8F">
        <w:rPr>
          <w:i/>
        </w:rPr>
        <w:instrText>/</w:instrText>
      </w:r>
      <w:r w:rsidRPr="00B8194C">
        <w:rPr>
          <w:i/>
        </w:rPr>
        <w:instrText>2022</w:instrText>
      </w:r>
      <w:bookmarkEnd w:id="2"/>
      <w:r w:rsidRPr="001D2B8F">
        <w:rPr>
          <w:i/>
        </w:rPr>
        <w:instrText xml:space="preserve"> - Raportoare: Elisabetta Gualmini)"\l</w:instrText>
      </w:r>
      <w:r w:rsidRPr="00B8194C">
        <w:rPr>
          <w:i/>
        </w:rPr>
        <w:instrText>3</w:instrText>
      </w:r>
      <w:r w:rsidRPr="001D2B8F">
        <w:rPr>
          <w:i/>
        </w:rPr>
        <w:instrText xml:space="preserve"> \n&gt; \* MERGEFORMAT </w:instrText>
      </w:r>
      <w:r w:rsidRPr="001D2B8F">
        <w:rPr>
          <w:i/>
        </w:rPr>
        <w:fldChar w:fldCharType="end"/>
      </w:r>
    </w:p>
    <w:p w:rsidR="00171DF4" w:rsidRPr="001D2B8F" w:rsidRDefault="00171DF4" w:rsidP="00171DF4">
      <w:pPr>
        <w:rPr>
          <w:vanish/>
        </w:rPr>
      </w:pPr>
      <w:bookmarkStart w:id="3" w:name="Commission"/>
      <w:r w:rsidRPr="001D2B8F">
        <w:rPr>
          <w:vanish/>
        </w:rPr>
        <w:t>Comisia pentru ocuparea forței de muncă și afaceri sociale</w:t>
      </w:r>
      <w:bookmarkEnd w:id="3"/>
    </w:p>
    <w:p w:rsidR="00171DF4" w:rsidRPr="001D2B8F" w:rsidRDefault="00171DF4" w:rsidP="00171DF4">
      <w:pPr>
        <w:rPr>
          <w:vanish/>
        </w:rPr>
      </w:pPr>
      <w:bookmarkStart w:id="4" w:name="PE"/>
      <w:r w:rsidRPr="001D2B8F">
        <w:rPr>
          <w:vanish/>
        </w:rPr>
        <w:t>PE</w:t>
      </w:r>
      <w:r w:rsidRPr="00B8194C">
        <w:rPr>
          <w:vanish/>
        </w:rPr>
        <w:t>731</w:t>
      </w:r>
      <w:r w:rsidRPr="001D2B8F">
        <w:rPr>
          <w:vanish/>
        </w:rPr>
        <w:t>.</w:t>
      </w:r>
      <w:r w:rsidRPr="00B8194C">
        <w:rPr>
          <w:vanish/>
        </w:rPr>
        <w:t>497</w:t>
      </w:r>
      <w:bookmarkEnd w:id="4"/>
    </w:p>
    <w:p w:rsidR="00171DF4" w:rsidRPr="001D2B8F" w:rsidRDefault="00171DF4" w:rsidP="00171DF4">
      <w:pPr>
        <w:pStyle w:val="ATHeading3"/>
      </w:pPr>
      <w:bookmarkStart w:id="5" w:name="Sujet"/>
      <w:r w:rsidRPr="001D2B8F">
        <w:t xml:space="preserve">Rezoluția legislativă a Parlamentului European din </w:t>
      </w:r>
      <w:r w:rsidRPr="00B8194C">
        <w:t>24</w:t>
      </w:r>
      <w:r w:rsidRPr="001D2B8F">
        <w:t xml:space="preserve"> aprilie </w:t>
      </w:r>
      <w:r w:rsidRPr="00B8194C">
        <w:t>2024</w:t>
      </w:r>
      <w:r w:rsidRPr="001D2B8F">
        <w:t xml:space="preserve"> referitoare la propunerea de directivă a Parlamentului European și a Consiliului privind îmbunătățirea condițiilor de muncă pentru lucrul pe platforme</w:t>
      </w:r>
      <w:bookmarkEnd w:id="5"/>
      <w:r w:rsidRPr="001D2B8F">
        <w:t xml:space="preserve"> </w:t>
      </w:r>
      <w:bookmarkStart w:id="6" w:name="References"/>
      <w:r w:rsidRPr="001D2B8F">
        <w:t>(COM(</w:t>
      </w:r>
      <w:r w:rsidRPr="00B8194C">
        <w:t>2021</w:t>
      </w:r>
      <w:r w:rsidRPr="001D2B8F">
        <w:t>)</w:t>
      </w:r>
      <w:r w:rsidRPr="00B8194C">
        <w:t>0762</w:t>
      </w:r>
      <w:r w:rsidRPr="001D2B8F">
        <w:t xml:space="preserve"> – C</w:t>
      </w:r>
      <w:r w:rsidRPr="00B8194C">
        <w:t>9</w:t>
      </w:r>
      <w:r w:rsidRPr="001D2B8F">
        <w:t>-</w:t>
      </w:r>
      <w:r w:rsidRPr="00B8194C">
        <w:t>0454</w:t>
      </w:r>
      <w:r w:rsidRPr="001D2B8F">
        <w:t>/</w:t>
      </w:r>
      <w:r w:rsidRPr="00B8194C">
        <w:t>2021</w:t>
      </w:r>
      <w:r w:rsidRPr="001D2B8F">
        <w:t xml:space="preserve"> – </w:t>
      </w:r>
      <w:r w:rsidRPr="00B8194C">
        <w:t>2021</w:t>
      </w:r>
      <w:r w:rsidRPr="001D2B8F">
        <w:t>/</w:t>
      </w:r>
      <w:r w:rsidRPr="00B8194C">
        <w:t>0414</w:t>
      </w:r>
      <w:r w:rsidRPr="001D2B8F">
        <w:t>(COD))</w:t>
      </w:r>
      <w:bookmarkEnd w:id="6"/>
    </w:p>
    <w:p w:rsidR="0077597C" w:rsidRPr="001D2B8F" w:rsidRDefault="0077597C" w:rsidP="00A071C4">
      <w:pPr>
        <w:pStyle w:val="NormalBold"/>
        <w:spacing w:before="240"/>
      </w:pPr>
      <w:bookmarkStart w:id="7" w:name="TextBodyBegin"/>
      <w:bookmarkEnd w:id="7"/>
      <w:r w:rsidRPr="001D2B8F">
        <w:t>(Procedura legislativă ordinară: prima lectură)</w:t>
      </w:r>
    </w:p>
    <w:p w:rsidR="0077597C" w:rsidRPr="001D2B8F" w:rsidRDefault="0077597C" w:rsidP="0077597C">
      <w:pPr>
        <w:pStyle w:val="EPComma"/>
      </w:pPr>
      <w:r w:rsidRPr="001D2B8F">
        <w:rPr>
          <w:i/>
          <w:iCs/>
        </w:rPr>
        <w:t>Parlamentul European</w:t>
      </w:r>
      <w:r w:rsidRPr="001D2B8F">
        <w:t>,</w:t>
      </w:r>
    </w:p>
    <w:p w:rsidR="0077597C" w:rsidRPr="001D2B8F" w:rsidRDefault="0077597C" w:rsidP="0077597C">
      <w:pPr>
        <w:pStyle w:val="NormalHanging12a"/>
      </w:pPr>
      <w:r w:rsidRPr="001D2B8F">
        <w:t>–</w:t>
      </w:r>
      <w:r w:rsidRPr="001D2B8F">
        <w:tab/>
        <w:t>având în vedere propunerea Comisiei prezentată Parlamentului European și Consiliului (COM(</w:t>
      </w:r>
      <w:r w:rsidRPr="00B8194C">
        <w:t>2021</w:t>
      </w:r>
      <w:r w:rsidRPr="001D2B8F">
        <w:t>)</w:t>
      </w:r>
      <w:r w:rsidRPr="00B8194C">
        <w:t>0762</w:t>
      </w:r>
      <w:r w:rsidRPr="001D2B8F">
        <w:t>),</w:t>
      </w:r>
    </w:p>
    <w:p w:rsidR="0077597C" w:rsidRPr="001D2B8F" w:rsidRDefault="0077597C" w:rsidP="0077597C">
      <w:pPr>
        <w:pStyle w:val="NormalHanging12a"/>
      </w:pPr>
      <w:r w:rsidRPr="001D2B8F">
        <w:t>–</w:t>
      </w:r>
      <w:r w:rsidRPr="001D2B8F">
        <w:tab/>
        <w:t xml:space="preserve">având în vedere articolul </w:t>
      </w:r>
      <w:r w:rsidRPr="00B8194C">
        <w:t>294</w:t>
      </w:r>
      <w:r w:rsidRPr="001D2B8F">
        <w:t xml:space="preserve"> alineatul (</w:t>
      </w:r>
      <w:r w:rsidRPr="00B8194C">
        <w:t>2</w:t>
      </w:r>
      <w:r w:rsidRPr="001D2B8F">
        <w:t xml:space="preserve">) și articolul </w:t>
      </w:r>
      <w:r w:rsidRPr="00B8194C">
        <w:t>153</w:t>
      </w:r>
      <w:r w:rsidRPr="001D2B8F">
        <w:t xml:space="preserve"> alineatul (</w:t>
      </w:r>
      <w:r w:rsidRPr="00B8194C">
        <w:t>2</w:t>
      </w:r>
      <w:r w:rsidRPr="001D2B8F">
        <w:t xml:space="preserve">) litera (b) coroborat cu articolul </w:t>
      </w:r>
      <w:r w:rsidRPr="00B8194C">
        <w:t>153</w:t>
      </w:r>
      <w:r w:rsidRPr="001D2B8F">
        <w:t xml:space="preserve"> alineatul (</w:t>
      </w:r>
      <w:r w:rsidRPr="00B8194C">
        <w:t>1</w:t>
      </w:r>
      <w:r w:rsidRPr="001D2B8F">
        <w:t xml:space="preserve">) litera (b) și articolul </w:t>
      </w:r>
      <w:r w:rsidRPr="00B8194C">
        <w:t>16</w:t>
      </w:r>
      <w:r w:rsidRPr="001D2B8F">
        <w:t xml:space="preserve"> alineatul (</w:t>
      </w:r>
      <w:r w:rsidRPr="00B8194C">
        <w:t>2</w:t>
      </w:r>
      <w:r w:rsidRPr="001D2B8F">
        <w:t>) din Tratatul privind funcționarea Uniunii Europene, în temeiul cărora propunerea a fost prezentată de către Comisie (C</w:t>
      </w:r>
      <w:r w:rsidRPr="00B8194C">
        <w:t>9</w:t>
      </w:r>
      <w:r w:rsidRPr="001D2B8F">
        <w:t>-</w:t>
      </w:r>
      <w:r w:rsidRPr="00B8194C">
        <w:t>0454</w:t>
      </w:r>
      <w:r w:rsidRPr="001D2B8F">
        <w:t>/</w:t>
      </w:r>
      <w:r w:rsidRPr="00B8194C">
        <w:t>2021</w:t>
      </w:r>
      <w:r w:rsidRPr="001D2B8F">
        <w:t>),</w:t>
      </w:r>
    </w:p>
    <w:p w:rsidR="0077597C" w:rsidRPr="001D2B8F" w:rsidRDefault="0077597C" w:rsidP="0077597C">
      <w:pPr>
        <w:pStyle w:val="NormalHanging12a"/>
      </w:pPr>
      <w:r w:rsidRPr="001D2B8F">
        <w:t>–</w:t>
      </w:r>
      <w:r w:rsidRPr="001D2B8F">
        <w:tab/>
        <w:t xml:space="preserve">având în vedere articolul </w:t>
      </w:r>
      <w:r w:rsidRPr="00B8194C">
        <w:t>294</w:t>
      </w:r>
      <w:r w:rsidRPr="001D2B8F">
        <w:t xml:space="preserve"> alineatul (</w:t>
      </w:r>
      <w:r w:rsidRPr="00B8194C">
        <w:t>3</w:t>
      </w:r>
      <w:r w:rsidRPr="001D2B8F">
        <w:t>) din Tratatul privind funcționarea Uniunii Europene,</w:t>
      </w:r>
    </w:p>
    <w:p w:rsidR="00E2421B" w:rsidRPr="001D2B8F" w:rsidRDefault="00E2421B" w:rsidP="00E2421B">
      <w:pPr>
        <w:pStyle w:val="Normal12Hanging"/>
      </w:pPr>
      <w:r w:rsidRPr="001D2B8F">
        <w:t>–</w:t>
      </w:r>
      <w:r w:rsidRPr="001D2B8F">
        <w:tab/>
        <w:t>având în vedere aviz</w:t>
      </w:r>
      <w:r w:rsidR="001B14AA" w:rsidRPr="001D2B8F">
        <w:t>ul</w:t>
      </w:r>
      <w:r w:rsidRPr="001D2B8F">
        <w:t xml:space="preserve"> motivat prezentat de către Parlamentul Suediei în cadrul Protocolului nr. </w:t>
      </w:r>
      <w:r w:rsidRPr="00B8194C">
        <w:t>2</w:t>
      </w:r>
      <w:r w:rsidRPr="001D2B8F">
        <w:t xml:space="preserve"> privind aplicarea principiilor subsidiarității și proporționalității, în care se susține că proiectul de act legislativ nu respectă principiul subsidiarității,</w:t>
      </w:r>
    </w:p>
    <w:p w:rsidR="00E2421B" w:rsidRPr="001D2B8F" w:rsidRDefault="00E2421B" w:rsidP="00E2421B">
      <w:pPr>
        <w:spacing w:after="240"/>
        <w:ind w:left="567" w:hanging="567"/>
      </w:pPr>
      <w:r w:rsidRPr="001D2B8F">
        <w:t>–</w:t>
      </w:r>
      <w:r w:rsidRPr="001D2B8F">
        <w:tab/>
        <w:t xml:space="preserve">având în vedere avizul Comitetului Economic și Social European din </w:t>
      </w:r>
      <w:r w:rsidRPr="00B8194C">
        <w:t>23</w:t>
      </w:r>
      <w:r w:rsidRPr="001D2B8F">
        <w:t xml:space="preserve"> martie </w:t>
      </w:r>
      <w:r w:rsidRPr="00B8194C">
        <w:t>2022</w:t>
      </w:r>
      <w:r w:rsidRPr="001D2B8F">
        <w:rPr>
          <w:rStyle w:val="FootnoteReference"/>
        </w:rPr>
        <w:footnoteReference w:id="1"/>
      </w:r>
      <w:r w:rsidRPr="001D2B8F">
        <w:t>,</w:t>
      </w:r>
    </w:p>
    <w:p w:rsidR="00E2421B" w:rsidRPr="001D2B8F" w:rsidRDefault="00E2421B" w:rsidP="00E2421B">
      <w:pPr>
        <w:spacing w:after="240"/>
        <w:ind w:left="567" w:hanging="567"/>
      </w:pPr>
      <w:r w:rsidRPr="001D2B8F">
        <w:t>–</w:t>
      </w:r>
      <w:r w:rsidRPr="001D2B8F">
        <w:tab/>
        <w:t xml:space="preserve">având în vedere avizul Comitetului Regiunilor din </w:t>
      </w:r>
      <w:r w:rsidR="00935AD2" w:rsidRPr="00B8194C">
        <w:t>29</w:t>
      </w:r>
      <w:r w:rsidR="00935AD2" w:rsidRPr="001D2B8F">
        <w:t xml:space="preserve"> iunie</w:t>
      </w:r>
      <w:r w:rsidRPr="001D2B8F">
        <w:t xml:space="preserve"> </w:t>
      </w:r>
      <w:r w:rsidRPr="00B8194C">
        <w:t>2022</w:t>
      </w:r>
      <w:r w:rsidRPr="001D2B8F">
        <w:rPr>
          <w:rStyle w:val="FootnoteReference"/>
        </w:rPr>
        <w:footnoteReference w:id="2"/>
      </w:r>
      <w:r w:rsidRPr="001D2B8F">
        <w:t>,</w:t>
      </w:r>
    </w:p>
    <w:p w:rsidR="00E2421B" w:rsidRPr="001D2B8F" w:rsidRDefault="00E2421B" w:rsidP="00E2421B">
      <w:pPr>
        <w:spacing w:after="240"/>
        <w:ind w:left="567" w:hanging="567"/>
      </w:pPr>
      <w:r w:rsidRPr="001D2B8F">
        <w:t>–</w:t>
      </w:r>
      <w:r w:rsidRPr="001D2B8F">
        <w:tab/>
        <w:t xml:space="preserve">având în vedere acordul provizoriu aprobat de comisia competentă în temeiul articolului </w:t>
      </w:r>
      <w:r w:rsidRPr="00B8194C">
        <w:t>74</w:t>
      </w:r>
      <w:r w:rsidRPr="001D2B8F">
        <w:t xml:space="preserve"> alineatul (</w:t>
      </w:r>
      <w:r w:rsidRPr="00B8194C">
        <w:t>4</w:t>
      </w:r>
      <w:r w:rsidRPr="001D2B8F">
        <w:t xml:space="preserve">) din Regulamentul său de procedură și angajamentul reprezentantului Consiliului, exprimat în scrisoarea din </w:t>
      </w:r>
      <w:r w:rsidRPr="00B8194C">
        <w:t>11</w:t>
      </w:r>
      <w:r w:rsidRPr="001D2B8F">
        <w:t xml:space="preserve"> martie </w:t>
      </w:r>
      <w:r w:rsidRPr="00B8194C">
        <w:t>2024</w:t>
      </w:r>
      <w:r w:rsidRPr="001D2B8F">
        <w:t xml:space="preserve">, de a aproba poziția Parlamentului în conformitate cu articolul </w:t>
      </w:r>
      <w:r w:rsidRPr="00B8194C">
        <w:t>294</w:t>
      </w:r>
      <w:r w:rsidRPr="001D2B8F">
        <w:t xml:space="preserve"> alineatul (</w:t>
      </w:r>
      <w:r w:rsidRPr="00B8194C">
        <w:t>4</w:t>
      </w:r>
      <w:r w:rsidRPr="001D2B8F">
        <w:t xml:space="preserve">) din Tratatul privind </w:t>
      </w:r>
      <w:r w:rsidRPr="001D2B8F">
        <w:lastRenderedPageBreak/>
        <w:t>funcționarea Uniunii Europene,</w:t>
      </w:r>
    </w:p>
    <w:p w:rsidR="0077597C" w:rsidRPr="001D2B8F" w:rsidRDefault="0077597C" w:rsidP="0077597C">
      <w:pPr>
        <w:pStyle w:val="NormalHanging12a"/>
      </w:pPr>
      <w:r w:rsidRPr="001D2B8F">
        <w:t>–</w:t>
      </w:r>
      <w:r w:rsidRPr="001D2B8F">
        <w:tab/>
        <w:t xml:space="preserve">având în vedere articolul </w:t>
      </w:r>
      <w:r w:rsidRPr="00B8194C">
        <w:t>59</w:t>
      </w:r>
      <w:r w:rsidRPr="001D2B8F">
        <w:t xml:space="preserve"> din Regulamentul său de procedură,</w:t>
      </w:r>
    </w:p>
    <w:p w:rsidR="0077597C" w:rsidRPr="001D2B8F" w:rsidRDefault="0077597C" w:rsidP="0077597C">
      <w:pPr>
        <w:pStyle w:val="NormalHanging12a"/>
      </w:pPr>
      <w:r w:rsidRPr="001D2B8F">
        <w:t>–</w:t>
      </w:r>
      <w:r w:rsidRPr="001D2B8F">
        <w:tab/>
        <w:t xml:space="preserve">având în vedere avizul Comisiei pentru transport și turism, </w:t>
      </w:r>
    </w:p>
    <w:p w:rsidR="0077597C" w:rsidRPr="001D2B8F" w:rsidRDefault="0077597C" w:rsidP="0077597C">
      <w:pPr>
        <w:pStyle w:val="NormalHanging12a"/>
      </w:pPr>
      <w:r w:rsidRPr="001D2B8F">
        <w:t>–</w:t>
      </w:r>
      <w:r w:rsidRPr="001D2B8F">
        <w:tab/>
        <w:t>având în vedere raportul Comisiei pentru ocuparea forței de muncă și afaceri sociale (A</w:t>
      </w:r>
      <w:r w:rsidRPr="00B8194C">
        <w:t>9</w:t>
      </w:r>
      <w:r w:rsidRPr="001D2B8F">
        <w:t>-</w:t>
      </w:r>
      <w:r w:rsidRPr="00B8194C">
        <w:t>0301</w:t>
      </w:r>
      <w:r w:rsidRPr="001D2B8F">
        <w:t>/</w:t>
      </w:r>
      <w:r w:rsidRPr="00B8194C">
        <w:t>2022</w:t>
      </w:r>
      <w:r w:rsidRPr="001D2B8F">
        <w:t>),</w:t>
      </w:r>
    </w:p>
    <w:p w:rsidR="0077597C" w:rsidRPr="001D2B8F" w:rsidRDefault="0077597C" w:rsidP="0077597C">
      <w:pPr>
        <w:pStyle w:val="NormalHanging12a"/>
      </w:pPr>
      <w:r w:rsidRPr="00B8194C">
        <w:t>1</w:t>
      </w:r>
      <w:r w:rsidRPr="001D2B8F">
        <w:t>.</w:t>
      </w:r>
      <w:r w:rsidRPr="001D2B8F">
        <w:tab/>
        <w:t>adoptă poziția sa în primă lectură prezentată în continuare;</w:t>
      </w:r>
    </w:p>
    <w:p w:rsidR="00E2421B" w:rsidRPr="001D2B8F" w:rsidRDefault="00E2421B" w:rsidP="00E2421B">
      <w:pPr>
        <w:spacing w:after="240"/>
        <w:ind w:left="567" w:hanging="567"/>
      </w:pPr>
      <w:r w:rsidRPr="00B8194C">
        <w:t>2</w:t>
      </w:r>
      <w:r w:rsidRPr="001D2B8F">
        <w:t>.</w:t>
      </w:r>
      <w:r w:rsidRPr="001D2B8F">
        <w:tab/>
        <w:t>solicită Comisiei să îl sesizeze din nou în cazul în care își înlocuiește, își modifică în mod substanțial sau intenționează să-și modifice în mod substanțial propunerea;</w:t>
      </w:r>
    </w:p>
    <w:p w:rsidR="00E2421B" w:rsidRPr="001D2B8F" w:rsidRDefault="00E2421B" w:rsidP="00E2421B">
      <w:pPr>
        <w:pStyle w:val="NormalHanging12a"/>
        <w:sectPr w:rsidR="00E2421B" w:rsidRPr="001D2B8F" w:rsidSect="00E2421B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B8194C">
        <w:t>3</w:t>
      </w:r>
      <w:r w:rsidR="0077597C" w:rsidRPr="001D2B8F">
        <w:t>.</w:t>
      </w:r>
      <w:r w:rsidR="0077597C" w:rsidRPr="001D2B8F">
        <w:tab/>
        <w:t>încredințează Președintei sarcina de a transmite Consiliului și Comisiei, precum și parlamentelor naționale poziția Parlamentului.</w:t>
      </w:r>
    </w:p>
    <w:p w:rsidR="00E2421B" w:rsidRPr="001D2B8F" w:rsidRDefault="00E2421B" w:rsidP="00E2421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1D2B8F">
        <w:rPr>
          <w:rFonts w:eastAsia="Calibri"/>
          <w:b/>
          <w:bCs/>
          <w:color w:val="000000"/>
          <w:szCs w:val="24"/>
        </w:rPr>
        <w:lastRenderedPageBreak/>
        <w:t>P</w:t>
      </w:r>
      <w:r w:rsidRPr="00B8194C">
        <w:rPr>
          <w:rFonts w:eastAsia="Calibri"/>
          <w:b/>
          <w:bCs/>
          <w:color w:val="000000"/>
          <w:szCs w:val="24"/>
        </w:rPr>
        <w:t>9</w:t>
      </w:r>
      <w:r w:rsidRPr="001D2B8F">
        <w:rPr>
          <w:rFonts w:eastAsia="Calibri"/>
          <w:b/>
          <w:bCs/>
          <w:color w:val="000000"/>
          <w:szCs w:val="24"/>
        </w:rPr>
        <w:t>_TC</w:t>
      </w:r>
      <w:r w:rsidRPr="00B8194C">
        <w:rPr>
          <w:rFonts w:eastAsia="Calibri"/>
          <w:b/>
          <w:bCs/>
          <w:color w:val="000000"/>
          <w:szCs w:val="24"/>
        </w:rPr>
        <w:t>1</w:t>
      </w:r>
      <w:r w:rsidRPr="001D2B8F">
        <w:rPr>
          <w:rFonts w:eastAsia="Calibri"/>
          <w:b/>
          <w:bCs/>
          <w:color w:val="000000"/>
          <w:szCs w:val="24"/>
        </w:rPr>
        <w:t>-COD(</w:t>
      </w:r>
      <w:r w:rsidRPr="00B8194C">
        <w:rPr>
          <w:rFonts w:eastAsia="Calibri"/>
          <w:b/>
          <w:bCs/>
          <w:color w:val="000000"/>
          <w:szCs w:val="24"/>
        </w:rPr>
        <w:t>2021</w:t>
      </w:r>
      <w:r w:rsidRPr="001D2B8F">
        <w:rPr>
          <w:rFonts w:eastAsia="Calibri"/>
          <w:b/>
          <w:bCs/>
          <w:color w:val="000000"/>
          <w:szCs w:val="24"/>
        </w:rPr>
        <w:t>)</w:t>
      </w:r>
      <w:r w:rsidRPr="00B8194C">
        <w:rPr>
          <w:rFonts w:eastAsia="Calibri"/>
          <w:b/>
          <w:bCs/>
          <w:color w:val="000000"/>
          <w:szCs w:val="24"/>
        </w:rPr>
        <w:t>0414</w:t>
      </w:r>
    </w:p>
    <w:p w:rsidR="00E2421B" w:rsidRPr="008A6C18" w:rsidRDefault="00E2421B" w:rsidP="00935AD2">
      <w:pPr>
        <w:spacing w:before="240"/>
        <w:rPr>
          <w:b/>
          <w:szCs w:val="24"/>
        </w:rPr>
      </w:pPr>
      <w:r w:rsidRPr="008A6C18">
        <w:rPr>
          <w:rFonts w:eastAsia="Calibri"/>
          <w:b/>
        </w:rPr>
        <w:t xml:space="preserve">Poziția Parlamentului European adoptată în primă lectură la </w:t>
      </w:r>
      <w:r w:rsidR="00935AD2" w:rsidRPr="008A6C18">
        <w:rPr>
          <w:rFonts w:eastAsia="Calibri"/>
          <w:b/>
        </w:rPr>
        <w:t xml:space="preserve">24 aprilie </w:t>
      </w:r>
      <w:r w:rsidRPr="008A6C18">
        <w:rPr>
          <w:rFonts w:eastAsia="Calibri"/>
          <w:b/>
        </w:rPr>
        <w:t xml:space="preserve">2024 în vederea adoptării Directivei (UE) 2024/... a Parlamentului European și a Consiliului </w:t>
      </w:r>
      <w:r w:rsidRPr="008A6C18">
        <w:rPr>
          <w:b/>
          <w:szCs w:val="24"/>
        </w:rPr>
        <w:t xml:space="preserve">privind îmbunătățirea condițiilor de muncă în cadrul </w:t>
      </w:r>
      <w:r w:rsidR="008A6C18" w:rsidRPr="008A6C18">
        <w:rPr>
          <w:b/>
          <w:szCs w:val="24"/>
        </w:rPr>
        <w:t>muncii</w:t>
      </w:r>
      <w:r w:rsidRPr="008A6C18">
        <w:rPr>
          <w:b/>
          <w:szCs w:val="24"/>
        </w:rPr>
        <w:t xml:space="preserve"> pe p</w:t>
      </w:r>
      <w:bookmarkStart w:id="9" w:name="_GoBack"/>
      <w:bookmarkEnd w:id="9"/>
      <w:r w:rsidRPr="008A6C18">
        <w:rPr>
          <w:b/>
          <w:szCs w:val="24"/>
        </w:rPr>
        <w:t>latforme</w:t>
      </w:r>
    </w:p>
    <w:p w:rsidR="008A6C18" w:rsidRPr="008A6C18" w:rsidRDefault="008A6C18" w:rsidP="008A6C18">
      <w:pPr>
        <w:spacing w:before="360"/>
        <w:rPr>
          <w:rStyle w:val="ATHeading3Char"/>
          <w:b w:val="0"/>
          <w:i/>
        </w:rPr>
      </w:pPr>
      <w:r w:rsidRPr="008A6C18">
        <w:rPr>
          <w:rStyle w:val="ATHeading3Char"/>
          <w:b w:val="0"/>
          <w:i/>
        </w:rPr>
        <w:t>(Întrucât s-a ajuns la un acord între Parlament și Consiliu, poziția Parlamentului corespunde cu actul legislativ final, Directiva (UE) 202</w:t>
      </w:r>
      <w:r>
        <w:rPr>
          <w:rStyle w:val="ATHeading3Char"/>
          <w:b w:val="0"/>
          <w:i/>
        </w:rPr>
        <w:t>4</w:t>
      </w:r>
      <w:r w:rsidRPr="008A6C18">
        <w:rPr>
          <w:rStyle w:val="ATHeading3Char"/>
          <w:b w:val="0"/>
          <w:i/>
        </w:rPr>
        <w:t>/</w:t>
      </w:r>
      <w:r>
        <w:rPr>
          <w:rStyle w:val="ATHeading3Char"/>
          <w:b w:val="0"/>
          <w:i/>
        </w:rPr>
        <w:t>2831</w:t>
      </w:r>
      <w:r w:rsidRPr="008A6C18">
        <w:rPr>
          <w:rStyle w:val="ATHeading3Char"/>
          <w:b w:val="0"/>
          <w:i/>
        </w:rPr>
        <w:t>.)</w:t>
      </w:r>
    </w:p>
    <w:p w:rsidR="008A6C18" w:rsidRPr="00272DA5" w:rsidRDefault="008A6C18" w:rsidP="008A6C18">
      <w:pPr>
        <w:spacing w:before="120"/>
        <w:rPr>
          <w:rStyle w:val="ATHeading3Char"/>
          <w:b w:val="0"/>
          <w:i/>
        </w:rPr>
      </w:pPr>
    </w:p>
    <w:p w:rsidR="008A6C18" w:rsidRPr="001D2B8F" w:rsidRDefault="008A6C18" w:rsidP="00935AD2">
      <w:pPr>
        <w:spacing w:before="240"/>
        <w:rPr>
          <w:b/>
          <w:szCs w:val="24"/>
        </w:rPr>
      </w:pPr>
    </w:p>
    <w:sectPr w:rsidR="008A6C18" w:rsidRPr="001D2B8F" w:rsidSect="00505011"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1C4" w:rsidRPr="00505011" w:rsidRDefault="00A071C4">
      <w:r w:rsidRPr="00505011">
        <w:separator/>
      </w:r>
    </w:p>
  </w:endnote>
  <w:endnote w:type="continuationSeparator" w:id="0">
    <w:p w:rsidR="00A071C4" w:rsidRPr="00505011" w:rsidRDefault="00A071C4">
      <w:r w:rsidRPr="005050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1C4" w:rsidRPr="00505011" w:rsidRDefault="00A071C4">
      <w:r w:rsidRPr="00505011">
        <w:separator/>
      </w:r>
    </w:p>
  </w:footnote>
  <w:footnote w:type="continuationSeparator" w:id="0">
    <w:p w:rsidR="00A071C4" w:rsidRPr="00505011" w:rsidRDefault="00A071C4">
      <w:r w:rsidRPr="00505011">
        <w:continuationSeparator/>
      </w:r>
    </w:p>
  </w:footnote>
  <w:footnote w:id="1">
    <w:p w:rsidR="00A071C4" w:rsidRPr="001D2B8F" w:rsidRDefault="00A071C4" w:rsidP="00E2421B">
      <w:pPr>
        <w:pStyle w:val="FootnoteText"/>
        <w:rPr>
          <w:sz w:val="24"/>
          <w:szCs w:val="24"/>
          <w:lang w:val="ro-RO"/>
        </w:rPr>
      </w:pPr>
      <w:r w:rsidRPr="001D2B8F">
        <w:rPr>
          <w:rStyle w:val="FootnoteReference"/>
          <w:sz w:val="24"/>
          <w:szCs w:val="24"/>
          <w:lang w:val="ro-RO"/>
        </w:rPr>
        <w:footnoteRef/>
      </w:r>
      <w:r w:rsidRPr="001D2B8F">
        <w:rPr>
          <w:sz w:val="24"/>
          <w:szCs w:val="24"/>
          <w:lang w:val="ro-RO"/>
        </w:rPr>
        <w:tab/>
        <w:t xml:space="preserve">JO C </w:t>
      </w:r>
      <w:r w:rsidRPr="00B8194C">
        <w:rPr>
          <w:sz w:val="24"/>
          <w:szCs w:val="24"/>
          <w:lang w:val="ro-RO"/>
        </w:rPr>
        <w:t>290</w:t>
      </w:r>
      <w:r w:rsidRPr="001D2B8F">
        <w:rPr>
          <w:sz w:val="24"/>
          <w:szCs w:val="24"/>
          <w:lang w:val="ro-RO"/>
        </w:rPr>
        <w:t xml:space="preserve">, </w:t>
      </w:r>
      <w:r w:rsidRPr="00B8194C">
        <w:rPr>
          <w:sz w:val="24"/>
          <w:szCs w:val="24"/>
          <w:lang w:val="ro-RO"/>
        </w:rPr>
        <w:t>29</w:t>
      </w:r>
      <w:r w:rsidRPr="001D2B8F">
        <w:rPr>
          <w:sz w:val="24"/>
          <w:szCs w:val="24"/>
          <w:lang w:val="ro-RO"/>
        </w:rPr>
        <w:t>.</w:t>
      </w:r>
      <w:r w:rsidRPr="00B8194C">
        <w:rPr>
          <w:sz w:val="24"/>
          <w:szCs w:val="24"/>
          <w:lang w:val="ro-RO"/>
        </w:rPr>
        <w:t>7</w:t>
      </w:r>
      <w:r w:rsidRPr="001D2B8F">
        <w:rPr>
          <w:sz w:val="24"/>
          <w:szCs w:val="24"/>
          <w:lang w:val="ro-RO"/>
        </w:rPr>
        <w:t>.</w:t>
      </w:r>
      <w:r w:rsidRPr="00B8194C">
        <w:rPr>
          <w:sz w:val="24"/>
          <w:szCs w:val="24"/>
          <w:lang w:val="ro-RO"/>
        </w:rPr>
        <w:t>2022</w:t>
      </w:r>
      <w:r w:rsidRPr="001D2B8F">
        <w:rPr>
          <w:sz w:val="24"/>
          <w:szCs w:val="24"/>
          <w:lang w:val="ro-RO"/>
        </w:rPr>
        <w:t xml:space="preserve">, p. </w:t>
      </w:r>
      <w:r w:rsidRPr="00B8194C">
        <w:rPr>
          <w:sz w:val="24"/>
          <w:szCs w:val="24"/>
          <w:lang w:val="ro-RO"/>
        </w:rPr>
        <w:t>95</w:t>
      </w:r>
      <w:r w:rsidRPr="001D2B8F">
        <w:rPr>
          <w:sz w:val="24"/>
          <w:szCs w:val="24"/>
          <w:lang w:val="ro-RO"/>
        </w:rPr>
        <w:t>.</w:t>
      </w:r>
    </w:p>
  </w:footnote>
  <w:footnote w:id="2">
    <w:p w:rsidR="00A071C4" w:rsidRPr="001D2B8F" w:rsidRDefault="00A071C4" w:rsidP="00E2421B">
      <w:pPr>
        <w:pStyle w:val="FootnoteText"/>
        <w:rPr>
          <w:sz w:val="24"/>
          <w:szCs w:val="24"/>
          <w:lang w:val="ro-RO"/>
        </w:rPr>
      </w:pPr>
      <w:r w:rsidRPr="001D2B8F">
        <w:rPr>
          <w:rStyle w:val="FootnoteReference"/>
          <w:sz w:val="24"/>
          <w:szCs w:val="24"/>
          <w:lang w:val="ro-RO"/>
        </w:rPr>
        <w:footnoteRef/>
      </w:r>
      <w:r w:rsidRPr="001D2B8F">
        <w:rPr>
          <w:sz w:val="24"/>
          <w:szCs w:val="24"/>
          <w:lang w:val="ro-RO"/>
        </w:rPr>
        <w:tab/>
        <w:t xml:space="preserve">JO C </w:t>
      </w:r>
      <w:r w:rsidRPr="00B8194C">
        <w:rPr>
          <w:sz w:val="24"/>
          <w:szCs w:val="24"/>
          <w:lang w:val="ro-RO"/>
        </w:rPr>
        <w:t>375</w:t>
      </w:r>
      <w:r w:rsidRPr="001D2B8F">
        <w:rPr>
          <w:sz w:val="24"/>
          <w:szCs w:val="24"/>
          <w:lang w:val="ro-RO"/>
        </w:rPr>
        <w:t xml:space="preserve">, </w:t>
      </w:r>
      <w:r w:rsidRPr="00B8194C">
        <w:rPr>
          <w:sz w:val="24"/>
          <w:szCs w:val="24"/>
          <w:lang w:val="ro-RO"/>
        </w:rPr>
        <w:t>30</w:t>
      </w:r>
      <w:r w:rsidRPr="001D2B8F">
        <w:rPr>
          <w:sz w:val="24"/>
          <w:szCs w:val="24"/>
          <w:lang w:val="ro-RO"/>
        </w:rPr>
        <w:t>.</w:t>
      </w:r>
      <w:r w:rsidRPr="00B8194C">
        <w:rPr>
          <w:sz w:val="24"/>
          <w:szCs w:val="24"/>
          <w:lang w:val="ro-RO"/>
        </w:rPr>
        <w:t>9</w:t>
      </w:r>
      <w:r w:rsidRPr="001D2B8F">
        <w:rPr>
          <w:sz w:val="24"/>
          <w:szCs w:val="24"/>
          <w:lang w:val="ro-RO"/>
        </w:rPr>
        <w:t>.</w:t>
      </w:r>
      <w:r w:rsidRPr="00B8194C">
        <w:rPr>
          <w:sz w:val="24"/>
          <w:szCs w:val="24"/>
          <w:lang w:val="ro-RO"/>
        </w:rPr>
        <w:t>2022</w:t>
      </w:r>
      <w:r w:rsidRPr="001D2B8F">
        <w:rPr>
          <w:sz w:val="24"/>
          <w:szCs w:val="24"/>
          <w:lang w:val="ro-RO"/>
        </w:rPr>
        <w:t xml:space="preserve">, p. </w:t>
      </w:r>
      <w:r w:rsidRPr="00B8194C">
        <w:rPr>
          <w:sz w:val="24"/>
          <w:szCs w:val="24"/>
          <w:lang w:val="ro-RO"/>
        </w:rPr>
        <w:t>45</w:t>
      </w:r>
      <w:r w:rsidRPr="001D2B8F">
        <w:rPr>
          <w:sz w:val="24"/>
          <w:szCs w:val="24"/>
          <w:lang w:val="ro-RO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3"/>
  </w:num>
  <w:num w:numId="28">
    <w:abstractNumId w:val="11"/>
  </w:num>
  <w:num w:numId="29">
    <w:abstractNumId w:val="14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RO"/>
    <w:docVar w:name="dvnumam" w:val="251"/>
    <w:docVar w:name="dvpe" w:val="731.497"/>
    <w:docVar w:name="dvrapporteur" w:val="Raportoare: "/>
    <w:docVar w:name="dvstar" w:val="***I"/>
    <w:docVar w:name="dvtitre" w:val="Rezoluția legislativă a Parlamentului European din 24 aprilie 2024 referitoare la propunerea de directivă a Parlamentului European și a Consiliului privind îmbunătățirea condițiilor de muncă pentru lucrul pe platforme(COM(2021)0762 – C9-0454/2021 – 2021/0414(COD))"/>
  </w:docVars>
  <w:rsids>
    <w:rsidRoot w:val="00171DF4"/>
    <w:rsid w:val="00002272"/>
    <w:rsid w:val="00064002"/>
    <w:rsid w:val="000677B9"/>
    <w:rsid w:val="000831BA"/>
    <w:rsid w:val="000A42CC"/>
    <w:rsid w:val="000E7DD9"/>
    <w:rsid w:val="0010095E"/>
    <w:rsid w:val="00125B37"/>
    <w:rsid w:val="00171DF4"/>
    <w:rsid w:val="00187494"/>
    <w:rsid w:val="001B14AA"/>
    <w:rsid w:val="001D2B8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481"/>
    <w:rsid w:val="004C0004"/>
    <w:rsid w:val="004C5D52"/>
    <w:rsid w:val="0050501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2C0A"/>
    <w:rsid w:val="00731ADD"/>
    <w:rsid w:val="00734777"/>
    <w:rsid w:val="00747932"/>
    <w:rsid w:val="00751A4A"/>
    <w:rsid w:val="00756632"/>
    <w:rsid w:val="00762C74"/>
    <w:rsid w:val="0077597C"/>
    <w:rsid w:val="00786EC0"/>
    <w:rsid w:val="007C40F1"/>
    <w:rsid w:val="007D1690"/>
    <w:rsid w:val="007E22AD"/>
    <w:rsid w:val="00817416"/>
    <w:rsid w:val="00842779"/>
    <w:rsid w:val="00865F67"/>
    <w:rsid w:val="00881A7B"/>
    <w:rsid w:val="008840E5"/>
    <w:rsid w:val="00887B3E"/>
    <w:rsid w:val="008A6C18"/>
    <w:rsid w:val="008C2AC6"/>
    <w:rsid w:val="00930C23"/>
    <w:rsid w:val="0093193B"/>
    <w:rsid w:val="00935AD2"/>
    <w:rsid w:val="009509D8"/>
    <w:rsid w:val="00950B64"/>
    <w:rsid w:val="00981893"/>
    <w:rsid w:val="00A071C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94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0CA"/>
    <w:rsid w:val="00D564F1"/>
    <w:rsid w:val="00D56C11"/>
    <w:rsid w:val="00D834A0"/>
    <w:rsid w:val="00D872DF"/>
    <w:rsid w:val="00D91E21"/>
    <w:rsid w:val="00DA7FCD"/>
    <w:rsid w:val="00E2421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AB4858"/>
  <w15:chartTrackingRefBased/>
  <w15:docId w15:val="{59C6F2AA-7F1B-474B-B13A-B78EAAFB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7597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97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97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97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97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97C"/>
    <w:rPr>
      <w:i/>
      <w:sz w:val="22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97C"/>
    <w:rPr>
      <w:rFonts w:ascii="Arial" w:hAnsi="Arial"/>
      <w:sz w:val="24"/>
      <w:lang w:val="ro-RO"/>
    </w:rPr>
  </w:style>
  <w:style w:type="character" w:customStyle="1" w:styleId="Heading8Char">
    <w:name w:val="Heading 8 Char"/>
    <w:basedOn w:val="DefaultParagraphFont"/>
    <w:link w:val="Heading8"/>
    <w:semiHidden/>
    <w:rsid w:val="0077597C"/>
    <w:rPr>
      <w:rFonts w:ascii="Arial" w:hAnsi="Arial"/>
      <w:i/>
      <w:sz w:val="24"/>
      <w:lang w:val="ro-RO"/>
    </w:rPr>
  </w:style>
  <w:style w:type="character" w:customStyle="1" w:styleId="Heading9Char">
    <w:name w:val="Heading 9 Char"/>
    <w:basedOn w:val="DefaultParagraphFont"/>
    <w:link w:val="Heading9"/>
    <w:semiHidden/>
    <w:rsid w:val="0077597C"/>
    <w:rPr>
      <w:rFonts w:ascii="Arial" w:hAnsi="Arial"/>
      <w:b/>
      <w:i/>
      <w:sz w:val="18"/>
      <w:lang w:val="ro-RO"/>
    </w:rPr>
  </w:style>
  <w:style w:type="paragraph" w:styleId="TOCHeading">
    <w:name w:val="TOC Heading"/>
    <w:basedOn w:val="Normal"/>
    <w:next w:val="Normal"/>
    <w:uiPriority w:val="39"/>
    <w:unhideWhenUsed/>
    <w:qFormat/>
    <w:rsid w:val="0077597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7597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7597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7597C"/>
    <w:pPr>
      <w:spacing w:after="120"/>
    </w:pPr>
  </w:style>
  <w:style w:type="paragraph" w:customStyle="1" w:styleId="PageHeading">
    <w:name w:val="PageHeading"/>
    <w:basedOn w:val="Normal"/>
    <w:rsid w:val="0077597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7597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7597C"/>
    <w:rPr>
      <w:b/>
      <w:sz w:val="24"/>
      <w:lang w:val="ro-RO"/>
    </w:rPr>
  </w:style>
  <w:style w:type="paragraph" w:customStyle="1" w:styleId="NormalBold12a">
    <w:name w:val="NormalBold12a"/>
    <w:basedOn w:val="Normal"/>
    <w:rsid w:val="0077597C"/>
    <w:pPr>
      <w:spacing w:after="240"/>
    </w:pPr>
    <w:rPr>
      <w:b/>
    </w:rPr>
  </w:style>
  <w:style w:type="paragraph" w:customStyle="1" w:styleId="AmJustText">
    <w:name w:val="AmJustText"/>
    <w:basedOn w:val="Normal"/>
    <w:rsid w:val="0077597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7597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7597C"/>
    <w:pPr>
      <w:spacing w:after="480"/>
      <w:ind w:left="1417"/>
    </w:pPr>
  </w:style>
  <w:style w:type="paragraph" w:customStyle="1" w:styleId="CoverNormal">
    <w:name w:val="CoverNormal"/>
    <w:basedOn w:val="Normal"/>
    <w:rsid w:val="0077597C"/>
    <w:pPr>
      <w:ind w:left="1418"/>
    </w:pPr>
  </w:style>
  <w:style w:type="paragraph" w:customStyle="1" w:styleId="AmCrossRef">
    <w:name w:val="AmCrossRef"/>
    <w:basedOn w:val="Normal"/>
    <w:rsid w:val="0077597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7597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7597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7597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7597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7597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759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597C"/>
    <w:rPr>
      <w:sz w:val="24"/>
      <w:lang w:val="ro-RO"/>
    </w:rPr>
  </w:style>
  <w:style w:type="paragraph" w:customStyle="1" w:styleId="AmOrLang">
    <w:name w:val="AmOrLang"/>
    <w:basedOn w:val="Normal"/>
    <w:rsid w:val="0077597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7597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597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7597C"/>
    <w:pPr>
      <w:spacing w:before="240"/>
    </w:pPr>
    <w:rPr>
      <w:b/>
    </w:rPr>
  </w:style>
  <w:style w:type="paragraph" w:customStyle="1" w:styleId="EPBody">
    <w:name w:val="EPBody"/>
    <w:basedOn w:val="Normal"/>
    <w:rsid w:val="007759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7597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7597C"/>
    <w:pPr>
      <w:spacing w:before="480" w:after="240"/>
    </w:pPr>
  </w:style>
  <w:style w:type="paragraph" w:customStyle="1" w:styleId="Lgendesigne">
    <w:name w:val="Légende signe"/>
    <w:basedOn w:val="Normal"/>
    <w:rsid w:val="0077597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7597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7597C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77597C"/>
    <w:rPr>
      <w:noProof/>
      <w:sz w:val="24"/>
    </w:rPr>
  </w:style>
  <w:style w:type="paragraph" w:customStyle="1" w:styleId="Normal12">
    <w:name w:val="Normal12"/>
    <w:basedOn w:val="Normal"/>
    <w:link w:val="Normal12Char"/>
    <w:rsid w:val="0077597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7597C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77597C"/>
    <w:pPr>
      <w:spacing w:after="120"/>
    </w:pPr>
  </w:style>
  <w:style w:type="paragraph" w:customStyle="1" w:styleId="Normal12Italic">
    <w:name w:val="Normal12Italic"/>
    <w:basedOn w:val="Normal12"/>
    <w:rsid w:val="0077597C"/>
    <w:rPr>
      <w:i/>
    </w:rPr>
  </w:style>
  <w:style w:type="paragraph" w:customStyle="1" w:styleId="EntPE">
    <w:name w:val="EntPE"/>
    <w:basedOn w:val="Normal12"/>
    <w:rsid w:val="0077597C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77597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77597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7597C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7759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7597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97C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759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7597C"/>
    <w:rPr>
      <w:b/>
      <w:bCs/>
      <w:lang w:val="ro-RO"/>
    </w:rPr>
  </w:style>
  <w:style w:type="paragraph" w:styleId="BalloonText">
    <w:name w:val="Balloon Text"/>
    <w:basedOn w:val="Normal"/>
    <w:link w:val="BalloonTextChar"/>
    <w:uiPriority w:val="99"/>
    <w:unhideWhenUsed/>
    <w:rsid w:val="007759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7597C"/>
    <w:rPr>
      <w:rFonts w:ascii="Segoe UI" w:hAnsi="Segoe UI" w:cs="Segoe UI"/>
      <w:sz w:val="18"/>
      <w:szCs w:val="18"/>
      <w:lang w:val="ro-RO"/>
    </w:rPr>
  </w:style>
  <w:style w:type="paragraph" w:customStyle="1" w:styleId="Normal12a">
    <w:name w:val="Normal12a"/>
    <w:basedOn w:val="Normal"/>
    <w:rsid w:val="0077597C"/>
    <w:pPr>
      <w:spacing w:after="240"/>
    </w:pPr>
  </w:style>
  <w:style w:type="paragraph" w:customStyle="1" w:styleId="PageHeadingNotTOC">
    <w:name w:val="PageHeadingNotTOC"/>
    <w:basedOn w:val="Normal"/>
    <w:rsid w:val="0077597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7597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77597C"/>
    <w:rPr>
      <w:vertAlign w:val="superscript"/>
    </w:rPr>
  </w:style>
  <w:style w:type="paragraph" w:customStyle="1" w:styleId="RollCallSymbols14pt">
    <w:name w:val="RollCallSymbols14pt"/>
    <w:basedOn w:val="Normal"/>
    <w:rsid w:val="0077597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77597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77597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77597C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77597C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77597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77597C"/>
    <w:rPr>
      <w:sz w:val="24"/>
      <w:lang w:val="ro-RO"/>
    </w:rPr>
  </w:style>
  <w:style w:type="character" w:customStyle="1" w:styleId="NormalBold12bChar">
    <w:name w:val="NormalBold12b Char"/>
    <w:basedOn w:val="DefaultParagraphFont"/>
    <w:link w:val="NormalBold12b"/>
    <w:locked/>
    <w:rsid w:val="0077597C"/>
    <w:rPr>
      <w:b/>
      <w:sz w:val="24"/>
      <w:lang w:val="ro-RO"/>
    </w:rPr>
  </w:style>
  <w:style w:type="paragraph" w:styleId="EndnoteText">
    <w:name w:val="endnote text"/>
    <w:basedOn w:val="Normal"/>
    <w:link w:val="EndnoteTextChar"/>
    <w:uiPriority w:val="99"/>
    <w:rsid w:val="0077597C"/>
  </w:style>
  <w:style w:type="character" w:customStyle="1" w:styleId="EndnoteTextChar">
    <w:name w:val="Endnote Text Char"/>
    <w:basedOn w:val="DefaultParagraphFont"/>
    <w:link w:val="EndnoteText"/>
    <w:uiPriority w:val="99"/>
    <w:rsid w:val="0077597C"/>
    <w:rPr>
      <w:sz w:val="24"/>
      <w:lang w:val="ro-RO"/>
    </w:rPr>
  </w:style>
  <w:style w:type="paragraph" w:customStyle="1" w:styleId="Normal12Centre">
    <w:name w:val="Normal12Centre"/>
    <w:basedOn w:val="Normal"/>
    <w:rsid w:val="0077597C"/>
    <w:pPr>
      <w:spacing w:after="240"/>
      <w:jc w:val="center"/>
    </w:pPr>
    <w:rPr>
      <w:snapToGrid w:val="0"/>
    </w:rPr>
  </w:style>
  <w:style w:type="paragraph" w:styleId="Footer">
    <w:name w:val="footer"/>
    <w:basedOn w:val="Normal"/>
    <w:link w:val="FooterChar"/>
    <w:uiPriority w:val="99"/>
    <w:rsid w:val="007759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597C"/>
    <w:rPr>
      <w:sz w:val="24"/>
      <w:lang w:val="ro-RO"/>
    </w:rPr>
  </w:style>
  <w:style w:type="paragraph" w:customStyle="1" w:styleId="AmDocTypeTab">
    <w:name w:val="AmDocTypeTab"/>
    <w:basedOn w:val="Normal"/>
    <w:rsid w:val="00E2421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2421B"/>
    <w:pPr>
      <w:spacing w:after="240"/>
      <w:jc w:val="center"/>
    </w:pPr>
  </w:style>
  <w:style w:type="paragraph" w:customStyle="1" w:styleId="AmDateTab">
    <w:name w:val="AmDateTab"/>
    <w:basedOn w:val="Normal"/>
    <w:rsid w:val="00E2421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2421B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E2421B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2421B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E2421B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2421B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2421B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E2421B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2421B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2421B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2421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2421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rsid w:val="00E2421B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2421B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E2421B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E2421B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E2421B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E2421B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E2421B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E2421B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E2421B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E2421B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E2421B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E2421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E2421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E2421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E2421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E2421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E2421B"/>
    <w:pPr>
      <w:widowControl/>
      <w:numPr>
        <w:ilvl w:val="1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E2421B"/>
    <w:pPr>
      <w:widowControl/>
      <w:numPr>
        <w:ilvl w:val="3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E2421B"/>
    <w:pPr>
      <w:widowControl/>
      <w:numPr>
        <w:ilvl w:val="5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E2421B"/>
    <w:pPr>
      <w:widowControl/>
      <w:numPr>
        <w:ilvl w:val="7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E2421B"/>
    <w:pPr>
      <w:widowControl/>
      <w:numPr>
        <w:ilvl w:val="8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E2421B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E2421B"/>
    <w:pPr>
      <w:widowControl/>
      <w:numPr>
        <w:ilvl w:val="2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E2421B"/>
    <w:pPr>
      <w:widowControl/>
      <w:numPr>
        <w:ilvl w:val="4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E2421B"/>
    <w:pPr>
      <w:widowControl/>
      <w:numPr>
        <w:ilvl w:val="6"/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E2421B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E2421B"/>
    <w:pPr>
      <w:widowControl/>
      <w:numPr>
        <w:ilvl w:val="1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E2421B"/>
    <w:pPr>
      <w:widowControl/>
      <w:numPr>
        <w:ilvl w:val="2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E2421B"/>
    <w:pPr>
      <w:widowControl/>
      <w:numPr>
        <w:ilvl w:val="3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E2421B"/>
    <w:pPr>
      <w:widowControl/>
      <w:numPr>
        <w:ilvl w:val="4"/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E2421B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2421B"/>
    <w:pPr>
      <w:widowControl/>
      <w:numPr>
        <w:numId w:val="14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2421B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2421B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2421B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E2421B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E2421B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E2421B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E2421B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E2421B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E2421B"/>
    <w:pPr>
      <w:numPr>
        <w:numId w:val="8"/>
      </w:numPr>
    </w:pPr>
  </w:style>
  <w:style w:type="paragraph" w:customStyle="1" w:styleId="DashEqual1">
    <w:name w:val="Dash Equal 1"/>
    <w:basedOn w:val="Dash1"/>
    <w:rsid w:val="00E2421B"/>
    <w:pPr>
      <w:numPr>
        <w:numId w:val="9"/>
      </w:numPr>
    </w:pPr>
  </w:style>
  <w:style w:type="paragraph" w:customStyle="1" w:styleId="DashEqual2">
    <w:name w:val="Dash Equal 2"/>
    <w:basedOn w:val="Dash2"/>
    <w:rsid w:val="00E2421B"/>
    <w:pPr>
      <w:numPr>
        <w:numId w:val="10"/>
      </w:numPr>
    </w:pPr>
  </w:style>
  <w:style w:type="paragraph" w:customStyle="1" w:styleId="DashEqual3">
    <w:name w:val="Dash Equal 3"/>
    <w:basedOn w:val="Dash3"/>
    <w:rsid w:val="00E2421B"/>
    <w:pPr>
      <w:numPr>
        <w:numId w:val="11"/>
      </w:numPr>
    </w:pPr>
  </w:style>
  <w:style w:type="paragraph" w:customStyle="1" w:styleId="DashEqual4">
    <w:name w:val="Dash Equal 4"/>
    <w:basedOn w:val="Dash4"/>
    <w:rsid w:val="00E2421B"/>
    <w:pPr>
      <w:numPr>
        <w:numId w:val="12"/>
      </w:numPr>
    </w:pPr>
  </w:style>
  <w:style w:type="character" w:customStyle="1" w:styleId="Marker">
    <w:name w:val="Marker"/>
    <w:basedOn w:val="DefaultParagraphFont"/>
    <w:rsid w:val="00E2421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2421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2421B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2421B"/>
    <w:pPr>
      <w:numPr>
        <w:numId w:val="22"/>
      </w:numPr>
    </w:pPr>
  </w:style>
  <w:style w:type="paragraph" w:customStyle="1" w:styleId="Heading123">
    <w:name w:val="Heading 123"/>
    <w:basedOn w:val="HeadingLeft"/>
    <w:next w:val="Normal"/>
    <w:rsid w:val="00E2421B"/>
    <w:pPr>
      <w:numPr>
        <w:numId w:val="21"/>
      </w:numPr>
    </w:pPr>
  </w:style>
  <w:style w:type="paragraph" w:customStyle="1" w:styleId="HeadingABC">
    <w:name w:val="Heading ABC"/>
    <w:basedOn w:val="HeadingLeft"/>
    <w:next w:val="Normal"/>
    <w:rsid w:val="00E2421B"/>
    <w:pPr>
      <w:numPr>
        <w:numId w:val="20"/>
      </w:numPr>
    </w:pPr>
  </w:style>
  <w:style w:type="paragraph" w:customStyle="1" w:styleId="HeadingCentered">
    <w:name w:val="Heading Centered"/>
    <w:basedOn w:val="HeadingLeft"/>
    <w:next w:val="Normal"/>
    <w:rsid w:val="00E2421B"/>
    <w:pPr>
      <w:jc w:val="center"/>
    </w:pPr>
  </w:style>
  <w:style w:type="paragraph" w:customStyle="1" w:styleId="Jardin">
    <w:name w:val="Jardin"/>
    <w:basedOn w:val="Normal"/>
    <w:rsid w:val="00E2421B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E2421B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2421B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E2421B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2421B"/>
    <w:rPr>
      <w:b/>
    </w:rPr>
  </w:style>
  <w:style w:type="paragraph" w:customStyle="1" w:styleId="Annex">
    <w:name w:val="Annex"/>
    <w:basedOn w:val="Normal"/>
    <w:next w:val="Normal"/>
    <w:rsid w:val="00E2421B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2421B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2421B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2421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2421B"/>
    <w:pPr>
      <w:widowControl/>
      <w:spacing w:before="120" w:after="120"/>
    </w:pPr>
    <w:rPr>
      <w:rFonts w:eastAsiaTheme="minorHAns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E2421B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E2421B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E2421B"/>
    <w:rPr>
      <w:rFonts w:eastAsiaTheme="minorHAnsi"/>
      <w:sz w:val="24"/>
      <w:szCs w:val="22"/>
      <w:lang w:val="ro-RO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E2421B"/>
    <w:rPr>
      <w:rFonts w:eastAsiaTheme="minorHAnsi"/>
      <w:sz w:val="2"/>
      <w:szCs w:val="22"/>
      <w:lang w:val="ro-RO" w:eastAsia="en-US"/>
    </w:rPr>
  </w:style>
  <w:style w:type="paragraph" w:customStyle="1" w:styleId="FooterText">
    <w:name w:val="Footer Text"/>
    <w:basedOn w:val="Normal"/>
    <w:rsid w:val="00E2421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2421B"/>
    <w:rPr>
      <w:color w:val="808080"/>
    </w:rPr>
  </w:style>
  <w:style w:type="paragraph" w:styleId="ListParagraph">
    <w:name w:val="List Paragraph"/>
    <w:basedOn w:val="Normal"/>
    <w:uiPriority w:val="34"/>
    <w:qFormat/>
    <w:rsid w:val="00E2421B"/>
    <w:pPr>
      <w:widowControl/>
      <w:spacing w:before="120" w:after="120" w:line="360" w:lineRule="auto"/>
      <w:ind w:left="720"/>
      <w:contextualSpacing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E2421B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E2421B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Italic">
    <w:name w:val="Italic"/>
    <w:uiPriority w:val="1"/>
    <w:qFormat/>
    <w:rsid w:val="00E2421B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E2421B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E2421B"/>
    <w:rPr>
      <w:rFonts w:eastAsiaTheme="minorHAnsi"/>
      <w:sz w:val="24"/>
      <w:szCs w:val="22"/>
      <w:lang w:val="ro-RO" w:eastAsia="en-US"/>
    </w:rPr>
  </w:style>
  <w:style w:type="character" w:customStyle="1" w:styleId="ui-provider">
    <w:name w:val="ui-provider"/>
    <w:basedOn w:val="DefaultParagraphFont"/>
    <w:rsid w:val="00E2421B"/>
  </w:style>
  <w:style w:type="paragraph" w:styleId="ListNumber">
    <w:name w:val="List Number"/>
    <w:basedOn w:val="Normal"/>
    <w:rsid w:val="00E2421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E2421B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E2421B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E2421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E2421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2421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2421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year">
    <w:name w:val="year"/>
    <w:basedOn w:val="DefaultParagraphFont"/>
    <w:rsid w:val="00E2421B"/>
  </w:style>
  <w:style w:type="paragraph" w:styleId="NormalWeb">
    <w:name w:val="Normal (Web)"/>
    <w:basedOn w:val="Normal"/>
    <w:uiPriority w:val="99"/>
    <w:unhideWhenUsed/>
    <w:rsid w:val="00E2421B"/>
    <w:pPr>
      <w:widowControl/>
      <w:spacing w:after="160" w:line="259" w:lineRule="auto"/>
    </w:pPr>
    <w:rPr>
      <w:rFonts w:eastAsiaTheme="minorHAnsi"/>
      <w:szCs w:val="24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E2421B"/>
    <w:rPr>
      <w:color w:val="954F72" w:themeColor="followedHyperlink"/>
      <w:u w:val="single"/>
    </w:rPr>
  </w:style>
  <w:style w:type="paragraph" w:customStyle="1" w:styleId="Briefinglist1">
    <w:name w:val="Briefing list 1"/>
    <w:basedOn w:val="Normal"/>
    <w:uiPriority w:val="99"/>
    <w:rsid w:val="00E2421B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421B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E2421B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2421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2421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2421B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E2421B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E2421B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2421B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2421B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2421B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2421B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2421B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2421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2421B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2421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E2421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2421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242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2421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2421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2421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2421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2421B"/>
    <w:pPr>
      <w:numPr>
        <w:numId w:val="24"/>
      </w:numPr>
    </w:pPr>
  </w:style>
  <w:style w:type="paragraph" w:customStyle="1" w:styleId="Tiret1">
    <w:name w:val="Tiret 1"/>
    <w:basedOn w:val="Point1"/>
    <w:rsid w:val="00E2421B"/>
    <w:pPr>
      <w:numPr>
        <w:numId w:val="26"/>
      </w:numPr>
    </w:pPr>
  </w:style>
  <w:style w:type="paragraph" w:customStyle="1" w:styleId="Tiret2">
    <w:name w:val="Tiret 2"/>
    <w:basedOn w:val="Point2"/>
    <w:rsid w:val="00E2421B"/>
    <w:pPr>
      <w:numPr>
        <w:numId w:val="27"/>
      </w:numPr>
    </w:pPr>
  </w:style>
  <w:style w:type="paragraph" w:customStyle="1" w:styleId="Tiret3">
    <w:name w:val="Tiret 3"/>
    <w:basedOn w:val="Point3"/>
    <w:rsid w:val="00E2421B"/>
    <w:pPr>
      <w:numPr>
        <w:numId w:val="28"/>
      </w:numPr>
    </w:pPr>
  </w:style>
  <w:style w:type="paragraph" w:customStyle="1" w:styleId="Tiret4">
    <w:name w:val="Tiret 4"/>
    <w:basedOn w:val="Point4"/>
    <w:rsid w:val="00E2421B"/>
    <w:pPr>
      <w:numPr>
        <w:numId w:val="29"/>
      </w:numPr>
    </w:pPr>
  </w:style>
  <w:style w:type="paragraph" w:customStyle="1" w:styleId="PointDouble0">
    <w:name w:val="PointDouble 0"/>
    <w:basedOn w:val="Normal"/>
    <w:rsid w:val="00E2421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2421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2421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2421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2421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2421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2421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2421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2421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2421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2421B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2421B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2421B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242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242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242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242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2421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2421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2421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2421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2421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2421B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2421B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2421B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2421B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2">
    <w:name w:val="Marker2"/>
    <w:basedOn w:val="DefaultParagraphFont"/>
    <w:rsid w:val="00E2421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2421B"/>
    <w:pPr>
      <w:widowControl/>
      <w:numPr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2421B"/>
    <w:pPr>
      <w:widowControl/>
      <w:numPr>
        <w:ilvl w:val="2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2421B"/>
    <w:pPr>
      <w:widowControl/>
      <w:numPr>
        <w:ilvl w:val="4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2421B"/>
    <w:pPr>
      <w:widowControl/>
      <w:numPr>
        <w:ilvl w:val="6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2421B"/>
    <w:pPr>
      <w:widowControl/>
      <w:numPr>
        <w:ilvl w:val="1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E2421B"/>
    <w:pPr>
      <w:widowControl/>
      <w:numPr>
        <w:ilvl w:val="3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2421B"/>
    <w:pPr>
      <w:widowControl/>
      <w:numPr>
        <w:ilvl w:val="5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2421B"/>
    <w:pPr>
      <w:widowControl/>
      <w:numPr>
        <w:ilvl w:val="7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2421B"/>
    <w:pPr>
      <w:widowControl/>
      <w:numPr>
        <w:ilvl w:val="8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2421B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2421B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2421B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2421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2421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2421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2421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2421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E2421B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E2421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2421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242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242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242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2421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2421B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2421B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2421B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2421B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2421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242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2421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2421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2421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2421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2421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2421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2421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2421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2421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2421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2421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2421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E2421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2421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2421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2421B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2421B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2421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E2421B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2421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2421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2421B"/>
  </w:style>
  <w:style w:type="paragraph" w:customStyle="1" w:styleId="StatutPagedecouverture">
    <w:name w:val="Statut (Page de couverture)"/>
    <w:basedOn w:val="Statut"/>
    <w:next w:val="TypedudocumentPagedecouverture"/>
    <w:rsid w:val="00E2421B"/>
  </w:style>
  <w:style w:type="paragraph" w:customStyle="1" w:styleId="TitreobjetPagedecouverture">
    <w:name w:val="Titre objet (Page de couverture)"/>
    <w:basedOn w:val="Titreobjet"/>
    <w:next w:val="IntrtEEEPagedecouverture"/>
    <w:rsid w:val="00E2421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E2421B"/>
  </w:style>
  <w:style w:type="paragraph" w:customStyle="1" w:styleId="Volume">
    <w:name w:val="Volume"/>
    <w:basedOn w:val="Normal"/>
    <w:next w:val="Confidentialit"/>
    <w:rsid w:val="00E2421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2421B"/>
    <w:pPr>
      <w:spacing w:after="240"/>
    </w:pPr>
  </w:style>
  <w:style w:type="paragraph" w:customStyle="1" w:styleId="Accompagnant">
    <w:name w:val="Accompagnant"/>
    <w:basedOn w:val="Normal"/>
    <w:next w:val="Typeacteprincipal"/>
    <w:rsid w:val="00E2421B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2421B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2421B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2421B"/>
  </w:style>
  <w:style w:type="paragraph" w:customStyle="1" w:styleId="AccompagnantPagedecouverture">
    <w:name w:val="Accompagnant (Page de couverture)"/>
    <w:basedOn w:val="Accompagnant"/>
    <w:next w:val="TypeacteprincipalPagedecouverture"/>
    <w:rsid w:val="00E2421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2421B"/>
  </w:style>
  <w:style w:type="paragraph" w:customStyle="1" w:styleId="ObjetacteprincipalPagedecouverture">
    <w:name w:val="Objet acte principal (Page de couverture)"/>
    <w:basedOn w:val="Objetacteprincipal"/>
    <w:next w:val="Rfrencecroise"/>
    <w:rsid w:val="00E2421B"/>
  </w:style>
  <w:style w:type="paragraph" w:customStyle="1" w:styleId="LanguesfaisantfoiPagedecouverture">
    <w:name w:val="Langues faisant foi (Page de couverture)"/>
    <w:basedOn w:val="Normal"/>
    <w:next w:val="Normal"/>
    <w:rsid w:val="00E2421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2421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2421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2421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E2421B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E2421B"/>
    <w:pPr>
      <w:numPr>
        <w:numId w:val="31"/>
      </w:numPr>
    </w:pPr>
  </w:style>
  <w:style w:type="paragraph" w:customStyle="1" w:styleId="NumPar5">
    <w:name w:val="NumPar 5"/>
    <w:basedOn w:val="Normal"/>
    <w:next w:val="Text2"/>
    <w:rsid w:val="00E2421B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E2421B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E2421B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2421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2421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2421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rmal12Hanging">
    <w:name w:val="Normal12Hanging"/>
    <w:basedOn w:val="Normal"/>
    <w:rsid w:val="00E2421B"/>
    <w:pPr>
      <w:spacing w:after="240"/>
      <w:ind w:left="567" w:hanging="567"/>
    </w:pPr>
  </w:style>
  <w:style w:type="paragraph" w:customStyle="1" w:styleId="HeadingDocType24a">
    <w:name w:val="HeadingDocType24a"/>
    <w:basedOn w:val="Normal"/>
    <w:rsid w:val="00712C0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12C0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12C0A"/>
    <w:pPr>
      <w:jc w:val="center"/>
    </w:pPr>
  </w:style>
  <w:style w:type="paragraph" w:customStyle="1" w:styleId="LineSingle">
    <w:name w:val="LineSingle"/>
    <w:basedOn w:val="Normal"/>
    <w:next w:val="Normal"/>
    <w:rsid w:val="00712C0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12C0A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2C0A"/>
    <w:rPr>
      <w:color w:val="605E5C"/>
      <w:shd w:val="clear" w:color="auto" w:fill="E1DFDD"/>
    </w:rPr>
  </w:style>
  <w:style w:type="character" w:customStyle="1" w:styleId="ATHeading3Char">
    <w:name w:val="AT Heading 3 Char"/>
    <w:link w:val="ATHeading3"/>
    <w:locked/>
    <w:rsid w:val="008A6C18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E4494-CAB9-4940-8B77-4468CD089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2025-03-21T11:20:00Z</dcterms:created>
  <dcterms:modified xsi:type="dcterms:W3CDTF">2025-03-21T11:20:00Z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