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9768B" w:rsidRPr="009D2C6A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C9768B" w:rsidRPr="009D2C6A" w:rsidRDefault="001C3BE7">
            <w:pPr>
              <w:pStyle w:val="EPName"/>
            </w:pPr>
            <w:r w:rsidRPr="009D2C6A">
              <w:t>Európsky parlament</w:t>
            </w:r>
          </w:p>
          <w:p w:rsidR="00C9768B" w:rsidRPr="009D2C6A" w:rsidRDefault="001C3BE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662B0">
              <w:t>2019</w:t>
            </w:r>
            <w:r w:rsidRPr="009D2C6A">
              <w:t>-</w:t>
            </w:r>
            <w:r w:rsidRPr="004662B0">
              <w:t>2024</w:t>
            </w:r>
          </w:p>
        </w:tc>
        <w:tc>
          <w:tcPr>
            <w:tcW w:w="2268" w:type="dxa"/>
            <w:shd w:val="clear" w:color="auto" w:fill="auto"/>
          </w:tcPr>
          <w:p w:rsidR="00C9768B" w:rsidRPr="009D2C6A" w:rsidRDefault="001C3BE7">
            <w:pPr>
              <w:pStyle w:val="EPLogo"/>
            </w:pPr>
            <w:r w:rsidRPr="009D2C6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9768B" w:rsidRPr="009D2C6A" w:rsidRDefault="00C9768B">
      <w:pPr>
        <w:pStyle w:val="LineTop"/>
      </w:pPr>
    </w:p>
    <w:p w:rsidR="00C9768B" w:rsidRPr="009D2C6A" w:rsidRDefault="001C3BE7">
      <w:pPr>
        <w:pStyle w:val="EPBodyTA1"/>
      </w:pPr>
      <w:r w:rsidRPr="009D2C6A">
        <w:t>PRIJATÉ TEXTY</w:t>
      </w:r>
    </w:p>
    <w:p w:rsidR="00C9768B" w:rsidRPr="009D2C6A" w:rsidRDefault="00C9768B">
      <w:pPr>
        <w:pStyle w:val="LineBottom"/>
      </w:pPr>
    </w:p>
    <w:p w:rsidR="00C9768B" w:rsidRPr="009D2C6A" w:rsidRDefault="001C3BE7">
      <w:pPr>
        <w:pStyle w:val="ATHeading1"/>
      </w:pPr>
      <w:bookmarkStart w:id="0" w:name="TANumber"/>
      <w:r w:rsidRPr="009D2C6A">
        <w:t>P</w:t>
      </w:r>
      <w:r w:rsidRPr="004662B0">
        <w:t>9</w:t>
      </w:r>
      <w:r w:rsidRPr="009D2C6A">
        <w:t>_TA(</w:t>
      </w:r>
      <w:r w:rsidRPr="004662B0">
        <w:t>2024</w:t>
      </w:r>
      <w:r w:rsidRPr="009D2C6A">
        <w:t>)</w:t>
      </w:r>
      <w:r w:rsidRPr="004662B0">
        <w:t>0</w:t>
      </w:r>
      <w:r w:rsidR="00BA4068" w:rsidRPr="004662B0">
        <w:t>3</w:t>
      </w:r>
      <w:r w:rsidR="000E5DF5">
        <w:t>30</w:t>
      </w:r>
      <w:bookmarkEnd w:id="0"/>
    </w:p>
    <w:p w:rsidR="00C9768B" w:rsidRPr="009D2C6A" w:rsidRDefault="001C3BE7">
      <w:pPr>
        <w:pStyle w:val="ATHeading2"/>
      </w:pPr>
      <w:bookmarkStart w:id="1" w:name="title"/>
      <w:r w:rsidRPr="009D2C6A">
        <w:t>Zlepšenie pracovných podmienok práce pre platformy</w:t>
      </w:r>
      <w:bookmarkEnd w:id="1"/>
    </w:p>
    <w:p w:rsidR="00C9768B" w:rsidRPr="009D2C6A" w:rsidRDefault="001C3BE7">
      <w:pPr>
        <w:rPr>
          <w:i/>
          <w:vanish/>
        </w:rPr>
      </w:pPr>
      <w:r w:rsidRPr="009D2C6A">
        <w:rPr>
          <w:i/>
        </w:rPr>
        <w:fldChar w:fldCharType="begin"/>
      </w:r>
      <w:r w:rsidRPr="009D2C6A">
        <w:rPr>
          <w:i/>
        </w:rPr>
        <w:instrText xml:space="preserve"> TC"(</w:instrText>
      </w:r>
      <w:bookmarkStart w:id="2" w:name="DocNumber"/>
      <w:r w:rsidRPr="009D2C6A">
        <w:rPr>
          <w:i/>
        </w:rPr>
        <w:instrText>A</w:instrText>
      </w:r>
      <w:r w:rsidRPr="004662B0">
        <w:rPr>
          <w:i/>
        </w:rPr>
        <w:instrText>9</w:instrText>
      </w:r>
      <w:r w:rsidRPr="009D2C6A">
        <w:rPr>
          <w:i/>
        </w:rPr>
        <w:instrText>-</w:instrText>
      </w:r>
      <w:r w:rsidRPr="004662B0">
        <w:rPr>
          <w:i/>
        </w:rPr>
        <w:instrText>0301</w:instrText>
      </w:r>
      <w:r w:rsidRPr="009D2C6A">
        <w:rPr>
          <w:i/>
        </w:rPr>
        <w:instrText>/</w:instrText>
      </w:r>
      <w:r w:rsidRPr="004662B0">
        <w:rPr>
          <w:i/>
        </w:rPr>
        <w:instrText>2022</w:instrText>
      </w:r>
      <w:bookmarkEnd w:id="2"/>
      <w:r w:rsidRPr="009D2C6A">
        <w:rPr>
          <w:i/>
        </w:rPr>
        <w:instrText xml:space="preserve"> - Spravodajkyňa: Elisabetta Gualmini)"\l</w:instrText>
      </w:r>
      <w:r w:rsidRPr="004662B0">
        <w:rPr>
          <w:i/>
        </w:rPr>
        <w:instrText>3</w:instrText>
      </w:r>
      <w:r w:rsidRPr="009D2C6A">
        <w:rPr>
          <w:i/>
        </w:rPr>
        <w:instrText xml:space="preserve"> \n&gt; \* MERGEFORMAT </w:instrText>
      </w:r>
      <w:r w:rsidRPr="009D2C6A">
        <w:rPr>
          <w:i/>
        </w:rPr>
        <w:fldChar w:fldCharType="end"/>
      </w:r>
    </w:p>
    <w:p w:rsidR="00C9768B" w:rsidRPr="009D2C6A" w:rsidRDefault="001C3BE7">
      <w:pPr>
        <w:rPr>
          <w:vanish/>
        </w:rPr>
      </w:pPr>
      <w:bookmarkStart w:id="3" w:name="Commission"/>
      <w:r w:rsidRPr="009D2C6A">
        <w:rPr>
          <w:vanish/>
        </w:rPr>
        <w:t>Výbor pre zamestnanosť a sociálne veci</w:t>
      </w:r>
      <w:bookmarkEnd w:id="3"/>
    </w:p>
    <w:p w:rsidR="00C9768B" w:rsidRPr="009D2C6A" w:rsidRDefault="001C3BE7">
      <w:pPr>
        <w:rPr>
          <w:vanish/>
        </w:rPr>
      </w:pPr>
      <w:bookmarkStart w:id="4" w:name="PE"/>
      <w:r w:rsidRPr="009D2C6A">
        <w:rPr>
          <w:vanish/>
        </w:rPr>
        <w:t>PE</w:t>
      </w:r>
      <w:r w:rsidRPr="004662B0">
        <w:rPr>
          <w:vanish/>
        </w:rPr>
        <w:t>731</w:t>
      </w:r>
      <w:r w:rsidRPr="009D2C6A">
        <w:rPr>
          <w:vanish/>
        </w:rPr>
        <w:t>.</w:t>
      </w:r>
      <w:r w:rsidRPr="004662B0">
        <w:rPr>
          <w:vanish/>
        </w:rPr>
        <w:t>497</w:t>
      </w:r>
      <w:bookmarkEnd w:id="4"/>
    </w:p>
    <w:p w:rsidR="00C9768B" w:rsidRPr="009D2C6A" w:rsidRDefault="001C3BE7">
      <w:pPr>
        <w:pStyle w:val="ATHeading3"/>
      </w:pPr>
      <w:bookmarkStart w:id="5" w:name="Sujet"/>
      <w:r w:rsidRPr="009D2C6A">
        <w:t xml:space="preserve">Legislatívne uznesenie Európskeho parlamentu z </w:t>
      </w:r>
      <w:r w:rsidRPr="004662B0">
        <w:t>24</w:t>
      </w:r>
      <w:r w:rsidRPr="009D2C6A">
        <w:t xml:space="preserve">. apríla </w:t>
      </w:r>
      <w:r w:rsidRPr="004662B0">
        <w:t>2024</w:t>
      </w:r>
      <w:r w:rsidRPr="009D2C6A">
        <w:t xml:space="preserve"> o návrhu smernice Európskeho parlamentu a Rady o zlepšení pracovných podmienok v oblasti práce pre platformy</w:t>
      </w:r>
      <w:bookmarkEnd w:id="5"/>
      <w:r w:rsidRPr="009D2C6A">
        <w:t xml:space="preserve"> </w:t>
      </w:r>
      <w:bookmarkStart w:id="6" w:name="References"/>
      <w:r w:rsidRPr="009D2C6A">
        <w:t>(COM(</w:t>
      </w:r>
      <w:r w:rsidRPr="004662B0">
        <w:t>2021</w:t>
      </w:r>
      <w:r w:rsidRPr="009D2C6A">
        <w:t>)</w:t>
      </w:r>
      <w:r w:rsidRPr="004662B0">
        <w:t>0762</w:t>
      </w:r>
      <w:r w:rsidRPr="009D2C6A">
        <w:t xml:space="preserve"> – C</w:t>
      </w:r>
      <w:r w:rsidRPr="004662B0">
        <w:t>9</w:t>
      </w:r>
      <w:r w:rsidRPr="009D2C6A">
        <w:t>-</w:t>
      </w:r>
      <w:r w:rsidRPr="004662B0">
        <w:t>0454</w:t>
      </w:r>
      <w:r w:rsidRPr="009D2C6A">
        <w:t>/</w:t>
      </w:r>
      <w:r w:rsidRPr="004662B0">
        <w:t>2021</w:t>
      </w:r>
      <w:r w:rsidRPr="009D2C6A">
        <w:t xml:space="preserve"> – </w:t>
      </w:r>
      <w:r w:rsidRPr="004662B0">
        <w:t>2021</w:t>
      </w:r>
      <w:r w:rsidRPr="009D2C6A">
        <w:t>/</w:t>
      </w:r>
      <w:r w:rsidRPr="004662B0">
        <w:t>0414</w:t>
      </w:r>
      <w:r w:rsidRPr="009D2C6A">
        <w:t>(COD))</w:t>
      </w:r>
      <w:bookmarkEnd w:id="6"/>
    </w:p>
    <w:p w:rsidR="00C9768B" w:rsidRPr="009D2C6A" w:rsidRDefault="00C9768B"/>
    <w:p w:rsidR="00C9768B" w:rsidRPr="009D2C6A" w:rsidRDefault="001C3BE7">
      <w:pPr>
        <w:pStyle w:val="NormalBold"/>
      </w:pPr>
      <w:bookmarkStart w:id="7" w:name="TextBodyBegin"/>
      <w:bookmarkEnd w:id="7"/>
      <w:r w:rsidRPr="009D2C6A">
        <w:t>(Riadny legislatívny postup: prvé čítanie)</w:t>
      </w:r>
    </w:p>
    <w:p w:rsidR="00C9768B" w:rsidRPr="009D2C6A" w:rsidRDefault="001C3BE7">
      <w:pPr>
        <w:pStyle w:val="EPComma"/>
      </w:pPr>
      <w:r w:rsidRPr="009D2C6A">
        <w:rPr>
          <w:i/>
          <w:iCs/>
        </w:rPr>
        <w:t>Európsky parlament</w:t>
      </w:r>
      <w:r w:rsidRPr="009D2C6A">
        <w:t>,</w:t>
      </w:r>
    </w:p>
    <w:p w:rsidR="00C9768B" w:rsidRPr="009D2C6A" w:rsidRDefault="001C3BE7">
      <w:pPr>
        <w:pStyle w:val="NormalHanging12a"/>
      </w:pPr>
      <w:r w:rsidRPr="009D2C6A">
        <w:t>–</w:t>
      </w:r>
      <w:r w:rsidRPr="009D2C6A">
        <w:tab/>
        <w:t>so zreteľom na návrh Komisie pre Európsky parlament a Radu (COM(</w:t>
      </w:r>
      <w:r w:rsidRPr="004662B0">
        <w:t>2021</w:t>
      </w:r>
      <w:r w:rsidRPr="009D2C6A">
        <w:t>)</w:t>
      </w:r>
      <w:r w:rsidRPr="004662B0">
        <w:t>0762</w:t>
      </w:r>
      <w:r w:rsidRPr="009D2C6A">
        <w:t>),</w:t>
      </w:r>
    </w:p>
    <w:p w:rsidR="00C9768B" w:rsidRPr="009D2C6A" w:rsidRDefault="001C3BE7">
      <w:pPr>
        <w:pStyle w:val="NormalHanging12a"/>
      </w:pPr>
      <w:r w:rsidRPr="009D2C6A">
        <w:t>–</w:t>
      </w:r>
      <w:r w:rsidRPr="009D2C6A">
        <w:tab/>
        <w:t xml:space="preserve">so zreteľom na článok </w:t>
      </w:r>
      <w:r w:rsidRPr="004662B0">
        <w:t>294</w:t>
      </w:r>
      <w:r w:rsidRPr="009D2C6A">
        <w:t xml:space="preserve"> ods. </w:t>
      </w:r>
      <w:r w:rsidRPr="004662B0">
        <w:t>2</w:t>
      </w:r>
      <w:r w:rsidRPr="009D2C6A">
        <w:t xml:space="preserve"> a článok </w:t>
      </w:r>
      <w:r w:rsidRPr="004662B0">
        <w:t>153</w:t>
      </w:r>
      <w:r w:rsidRPr="009D2C6A">
        <w:t xml:space="preserve"> ods. </w:t>
      </w:r>
      <w:r w:rsidRPr="004662B0">
        <w:t>2</w:t>
      </w:r>
      <w:r w:rsidRPr="009D2C6A">
        <w:t xml:space="preserve"> písm. b) v spojení s článkom </w:t>
      </w:r>
      <w:r w:rsidRPr="004662B0">
        <w:t>153</w:t>
      </w:r>
      <w:r w:rsidRPr="009D2C6A">
        <w:t xml:space="preserve"> ods. </w:t>
      </w:r>
      <w:r w:rsidRPr="004662B0">
        <w:t>1</w:t>
      </w:r>
      <w:r w:rsidRPr="009D2C6A">
        <w:t xml:space="preserve"> písm. b) a článkom </w:t>
      </w:r>
      <w:r w:rsidRPr="004662B0">
        <w:t>16</w:t>
      </w:r>
      <w:r w:rsidRPr="009D2C6A">
        <w:t xml:space="preserve"> ods. </w:t>
      </w:r>
      <w:r w:rsidRPr="004662B0">
        <w:t>2</w:t>
      </w:r>
      <w:r w:rsidRPr="009D2C6A">
        <w:t xml:space="preserve"> Zmluvy o fungovaní Európskej únie, v súlade s ktorými Komisia predložila návrh Európskemu parlamentu (C</w:t>
      </w:r>
      <w:r w:rsidRPr="004662B0">
        <w:t>9</w:t>
      </w:r>
      <w:r w:rsidRPr="009D2C6A">
        <w:t>-</w:t>
      </w:r>
      <w:r w:rsidRPr="004662B0">
        <w:t>0454</w:t>
      </w:r>
      <w:r w:rsidRPr="009D2C6A">
        <w:t>/</w:t>
      </w:r>
      <w:r w:rsidRPr="004662B0">
        <w:t>2021</w:t>
      </w:r>
      <w:r w:rsidRPr="009D2C6A">
        <w:t>),</w:t>
      </w:r>
    </w:p>
    <w:p w:rsidR="00C9768B" w:rsidRPr="009D2C6A" w:rsidRDefault="001C3BE7">
      <w:pPr>
        <w:pStyle w:val="NormalHanging12a"/>
      </w:pPr>
      <w:r w:rsidRPr="009D2C6A">
        <w:t>–</w:t>
      </w:r>
      <w:r w:rsidRPr="009D2C6A">
        <w:tab/>
        <w:t xml:space="preserve">so zreteľom na článok </w:t>
      </w:r>
      <w:r w:rsidRPr="004662B0">
        <w:t>294</w:t>
      </w:r>
      <w:r w:rsidRPr="009D2C6A">
        <w:t xml:space="preserve"> ods. </w:t>
      </w:r>
      <w:r w:rsidRPr="004662B0">
        <w:t>3</w:t>
      </w:r>
      <w:r w:rsidRPr="009D2C6A">
        <w:t xml:space="preserve"> Zmluvy o fungovaní Európskej únie,</w:t>
      </w:r>
    </w:p>
    <w:p w:rsidR="00BA590C" w:rsidRPr="009D2C6A" w:rsidRDefault="00BA590C" w:rsidP="00BA590C">
      <w:pPr>
        <w:pStyle w:val="NormalHanging12a"/>
      </w:pPr>
      <w:r w:rsidRPr="009D2C6A">
        <w:t>–</w:t>
      </w:r>
      <w:r w:rsidRPr="009D2C6A">
        <w:tab/>
      </w:r>
      <w:r w:rsidRPr="009D2C6A">
        <w:rPr>
          <w:noProof/>
          <w:snapToGrid w:val="0"/>
        </w:rPr>
        <w:t xml:space="preserve">so zreteľom na odôvodnené stanovisko predložené na základe Protokolu č. </w:t>
      </w:r>
      <w:r w:rsidRPr="004662B0">
        <w:rPr>
          <w:noProof/>
          <w:snapToGrid w:val="0"/>
        </w:rPr>
        <w:t>2</w:t>
      </w:r>
      <w:r w:rsidRPr="009D2C6A">
        <w:rPr>
          <w:noProof/>
          <w:snapToGrid w:val="0"/>
        </w:rPr>
        <w:t xml:space="preserve"> o uplatňovaní zásad subsidiarity a proporcionality </w:t>
      </w:r>
      <w:r w:rsidRPr="009D2C6A">
        <w:t>švédskym Parlamentom</w:t>
      </w:r>
      <w:r w:rsidRPr="009D2C6A">
        <w:rPr>
          <w:snapToGrid w:val="0"/>
        </w:rPr>
        <w:t xml:space="preserve">, </w:t>
      </w:r>
      <w:r w:rsidRPr="009D2C6A">
        <w:rPr>
          <w:noProof/>
          <w:snapToGrid w:val="0"/>
        </w:rPr>
        <w:t>ktoré tvrdí, že návrh legislatívneho aktu nie je v súlade so zásadou subsidiarity,</w:t>
      </w:r>
    </w:p>
    <w:p w:rsidR="00BA590C" w:rsidRPr="009D2C6A" w:rsidRDefault="00BA590C" w:rsidP="00BA590C">
      <w:pPr>
        <w:pStyle w:val="NormalHanging12a"/>
      </w:pPr>
      <w:r w:rsidRPr="009D2C6A">
        <w:t>–</w:t>
      </w:r>
      <w:r w:rsidRPr="009D2C6A">
        <w:tab/>
        <w:t>so zreteľom na stanovisko Európskeho hospodárskeho a sociálneho výboru z </w:t>
      </w:r>
      <w:r w:rsidRPr="004662B0">
        <w:t>23</w:t>
      </w:r>
      <w:r w:rsidRPr="009D2C6A">
        <w:t>. marca </w:t>
      </w:r>
      <w:r w:rsidRPr="004662B0">
        <w:t>2022</w:t>
      </w:r>
      <w:r w:rsidRPr="009D2C6A">
        <w:rPr>
          <w:rStyle w:val="FootnoteReference"/>
        </w:rPr>
        <w:footnoteReference w:id="1"/>
      </w:r>
      <w:r w:rsidRPr="009D2C6A">
        <w:t>,</w:t>
      </w:r>
    </w:p>
    <w:p w:rsidR="00BA590C" w:rsidRPr="009D2C6A" w:rsidRDefault="00BA590C" w:rsidP="00BA590C">
      <w:pPr>
        <w:pStyle w:val="NormalHanging12a"/>
      </w:pPr>
      <w:r w:rsidRPr="009D2C6A">
        <w:t>–</w:t>
      </w:r>
      <w:r w:rsidRPr="009D2C6A">
        <w:tab/>
        <w:t>so zreteľom na stanovisko Výboru regiónov z </w:t>
      </w:r>
      <w:r w:rsidRPr="004662B0">
        <w:t>29</w:t>
      </w:r>
      <w:r w:rsidRPr="009D2C6A">
        <w:t>. júna </w:t>
      </w:r>
      <w:r w:rsidRPr="004662B0">
        <w:t>2022</w:t>
      </w:r>
      <w:r w:rsidRPr="009D2C6A">
        <w:rPr>
          <w:rStyle w:val="FootnoteReference"/>
        </w:rPr>
        <w:footnoteReference w:id="2"/>
      </w:r>
      <w:r w:rsidRPr="009D2C6A">
        <w:t>,</w:t>
      </w:r>
    </w:p>
    <w:p w:rsidR="00BA590C" w:rsidRPr="009D2C6A" w:rsidRDefault="00BA590C" w:rsidP="00BA590C">
      <w:pPr>
        <w:pStyle w:val="NormalHanging12a"/>
      </w:pPr>
      <w:r w:rsidRPr="009D2C6A">
        <w:t>–</w:t>
      </w:r>
      <w:r w:rsidRPr="009D2C6A">
        <w:tab/>
        <w:t xml:space="preserve">so zreteľom na predbežnú dohodu schválenú gestorským výborom podľa článku </w:t>
      </w:r>
      <w:r w:rsidRPr="004662B0">
        <w:t>74</w:t>
      </w:r>
      <w:r w:rsidRPr="009D2C6A">
        <w:t xml:space="preserve"> ods. </w:t>
      </w:r>
      <w:r w:rsidRPr="004662B0">
        <w:t>4</w:t>
      </w:r>
      <w:r w:rsidRPr="009D2C6A">
        <w:t xml:space="preserve"> rokovacieho poriadku, a na záväzok zástupcu Rady, vyj</w:t>
      </w:r>
      <w:r w:rsidR="00716DEC" w:rsidRPr="009D2C6A">
        <w:t xml:space="preserve">adrený v liste z </w:t>
      </w:r>
      <w:r w:rsidR="00716DEC" w:rsidRPr="004662B0">
        <w:t>11</w:t>
      </w:r>
      <w:r w:rsidR="00716DEC" w:rsidRPr="009D2C6A">
        <w:t>. marca</w:t>
      </w:r>
      <w:r w:rsidRPr="009D2C6A">
        <w:t> </w:t>
      </w:r>
      <w:r w:rsidRPr="004662B0">
        <w:t>2024</w:t>
      </w:r>
      <w:r w:rsidRPr="009D2C6A">
        <w:t xml:space="preserve">, schváliť pozíciu Európskeho parlamentu v súlade s článkom </w:t>
      </w:r>
      <w:r w:rsidRPr="004662B0">
        <w:t>294</w:t>
      </w:r>
      <w:r w:rsidRPr="009D2C6A">
        <w:t xml:space="preserve"> ods. </w:t>
      </w:r>
      <w:r w:rsidRPr="004662B0">
        <w:t>4</w:t>
      </w:r>
      <w:r w:rsidRPr="009D2C6A">
        <w:t xml:space="preserve"> Zmluvy o fungovaní Európskej únie,</w:t>
      </w:r>
    </w:p>
    <w:p w:rsidR="00C9768B" w:rsidRPr="009D2C6A" w:rsidRDefault="001C3BE7">
      <w:pPr>
        <w:pStyle w:val="NormalHanging12a"/>
      </w:pPr>
      <w:r w:rsidRPr="009D2C6A">
        <w:lastRenderedPageBreak/>
        <w:t>–</w:t>
      </w:r>
      <w:r w:rsidRPr="009D2C6A">
        <w:tab/>
        <w:t xml:space="preserve">so zreteľom na článok </w:t>
      </w:r>
      <w:r w:rsidRPr="004662B0">
        <w:t>59</w:t>
      </w:r>
      <w:r w:rsidRPr="009D2C6A">
        <w:t xml:space="preserve"> rokovacieho poriadku,</w:t>
      </w:r>
    </w:p>
    <w:p w:rsidR="00C9768B" w:rsidRPr="009D2C6A" w:rsidRDefault="001C3BE7">
      <w:pPr>
        <w:pStyle w:val="NormalHanging12a"/>
      </w:pPr>
      <w:r w:rsidRPr="009D2C6A">
        <w:t>–</w:t>
      </w:r>
      <w:r w:rsidRPr="009D2C6A">
        <w:tab/>
        <w:t xml:space="preserve">so zreteľom na stanovisko Výboru pre dopravu a cestovný ruch, </w:t>
      </w:r>
    </w:p>
    <w:p w:rsidR="00C9768B" w:rsidRPr="009D2C6A" w:rsidRDefault="001C3BE7">
      <w:pPr>
        <w:pStyle w:val="NormalHanging12a"/>
      </w:pPr>
      <w:r w:rsidRPr="009D2C6A">
        <w:t>–</w:t>
      </w:r>
      <w:r w:rsidRPr="009D2C6A">
        <w:tab/>
        <w:t>so zreteľom na správu Výboru pre zamestnanosť a sociálne veci (A</w:t>
      </w:r>
      <w:r w:rsidRPr="004662B0">
        <w:t>9</w:t>
      </w:r>
      <w:r w:rsidRPr="009D2C6A">
        <w:t>-</w:t>
      </w:r>
      <w:r w:rsidRPr="004662B0">
        <w:t>0301</w:t>
      </w:r>
      <w:r w:rsidRPr="009D2C6A">
        <w:t>/</w:t>
      </w:r>
      <w:r w:rsidRPr="004662B0">
        <w:t>2022</w:t>
      </w:r>
      <w:r w:rsidRPr="009D2C6A">
        <w:t>),</w:t>
      </w:r>
    </w:p>
    <w:p w:rsidR="00C9768B" w:rsidRPr="009D2C6A" w:rsidRDefault="001C3BE7">
      <w:pPr>
        <w:pStyle w:val="NormalHanging12a"/>
      </w:pPr>
      <w:r w:rsidRPr="004662B0">
        <w:t>1</w:t>
      </w:r>
      <w:r w:rsidRPr="009D2C6A">
        <w:t>.</w:t>
      </w:r>
      <w:r w:rsidRPr="009D2C6A">
        <w:tab/>
        <w:t>prijíma nasledujúcu pozíciu v prvom čítaní;</w:t>
      </w:r>
    </w:p>
    <w:p w:rsidR="00CB73F3" w:rsidRPr="009D2C6A" w:rsidRDefault="00CB73F3">
      <w:pPr>
        <w:pStyle w:val="NormalHanging12a"/>
      </w:pPr>
      <w:r w:rsidRPr="004662B0">
        <w:t>2</w:t>
      </w:r>
      <w:r w:rsidRPr="009D2C6A">
        <w:t>.</w:t>
      </w:r>
      <w:r w:rsidRPr="009D2C6A">
        <w:tab/>
        <w:t>žiada Komisiu, aby mu vec znovu predložila, ak nahrádza, podstatne mení alebo má v úmysle podstatne zmeniť svoj návrh;</w:t>
      </w:r>
    </w:p>
    <w:p w:rsidR="00C9768B" w:rsidRPr="009D2C6A" w:rsidRDefault="00CB73F3">
      <w:pPr>
        <w:pStyle w:val="NormalHanging12a"/>
      </w:pPr>
      <w:r w:rsidRPr="004662B0">
        <w:t>3</w:t>
      </w:r>
      <w:r w:rsidR="001C3BE7" w:rsidRPr="009D2C6A">
        <w:t>.</w:t>
      </w:r>
      <w:r w:rsidR="001C3BE7" w:rsidRPr="009D2C6A">
        <w:tab/>
        <w:t>poveruje svoju predsedníčku, aby postúpila túto pozíciu Rade, Komisii a národným parlamentom.</w:t>
      </w:r>
    </w:p>
    <w:p w:rsidR="00C9768B" w:rsidRPr="009D2C6A" w:rsidRDefault="00C9768B">
      <w:pPr>
        <w:sectPr w:rsidR="00C9768B" w:rsidRPr="009D2C6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CB73F3" w:rsidRPr="009D2C6A" w:rsidRDefault="00CB73F3" w:rsidP="00CB73F3">
      <w:pPr>
        <w:pStyle w:val="Institutionquiagit"/>
        <w:keepNext w:val="0"/>
        <w:spacing w:before="0" w:after="240"/>
        <w:jc w:val="left"/>
        <w:outlineLvl w:val="0"/>
        <w:rPr>
          <w:b/>
        </w:rPr>
      </w:pPr>
      <w:r w:rsidRPr="009D2C6A">
        <w:rPr>
          <w:b/>
        </w:rPr>
        <w:t>P</w:t>
      </w:r>
      <w:r w:rsidRPr="004662B0">
        <w:rPr>
          <w:b/>
        </w:rPr>
        <w:t>9</w:t>
      </w:r>
      <w:r w:rsidRPr="009D2C6A">
        <w:rPr>
          <w:b/>
        </w:rPr>
        <w:t>_TC</w:t>
      </w:r>
      <w:r w:rsidRPr="004662B0">
        <w:rPr>
          <w:b/>
        </w:rPr>
        <w:t>1</w:t>
      </w:r>
      <w:r w:rsidRPr="009D2C6A">
        <w:rPr>
          <w:b/>
        </w:rPr>
        <w:t>-COD(</w:t>
      </w:r>
      <w:r w:rsidRPr="004662B0">
        <w:rPr>
          <w:b/>
        </w:rPr>
        <w:t>2021</w:t>
      </w:r>
      <w:r w:rsidRPr="009D2C6A">
        <w:rPr>
          <w:b/>
        </w:rPr>
        <w:t>)</w:t>
      </w:r>
      <w:r w:rsidRPr="004662B0">
        <w:rPr>
          <w:b/>
        </w:rPr>
        <w:t>0414</w:t>
      </w:r>
    </w:p>
    <w:p w:rsidR="00C9768B" w:rsidRDefault="00CB73F3" w:rsidP="00CB73F3">
      <w:pPr>
        <w:rPr>
          <w:rFonts w:eastAsia="Calibri"/>
          <w:b/>
          <w:szCs w:val="22"/>
          <w:lang w:eastAsia="en-US"/>
        </w:rPr>
      </w:pPr>
      <w:r w:rsidRPr="009D2C6A">
        <w:rPr>
          <w:b/>
        </w:rPr>
        <w:t xml:space="preserve">Pozícia Európskeho parlamentu prijatá v prvom čítaní </w:t>
      </w:r>
      <w:r w:rsidRPr="004662B0">
        <w:rPr>
          <w:b/>
        </w:rPr>
        <w:t>24</w:t>
      </w:r>
      <w:r w:rsidRPr="009D2C6A">
        <w:rPr>
          <w:b/>
        </w:rPr>
        <w:t xml:space="preserve">. apríla </w:t>
      </w:r>
      <w:r w:rsidRPr="004662B0">
        <w:rPr>
          <w:b/>
        </w:rPr>
        <w:t>2024</w:t>
      </w:r>
      <w:r w:rsidRPr="009D2C6A">
        <w:rPr>
          <w:b/>
        </w:rPr>
        <w:t xml:space="preserve"> na účely prijatia smernice Európskeho parlamentu a Rady (EÚ) </w:t>
      </w:r>
      <w:r w:rsidRPr="004662B0">
        <w:rPr>
          <w:b/>
        </w:rPr>
        <w:t>2024</w:t>
      </w:r>
      <w:r w:rsidRPr="009D2C6A">
        <w:rPr>
          <w:b/>
        </w:rPr>
        <w:t xml:space="preserve">/... </w:t>
      </w:r>
      <w:r w:rsidRPr="009D2C6A">
        <w:rPr>
          <w:rFonts w:eastAsia="Calibri"/>
          <w:b/>
          <w:szCs w:val="22"/>
          <w:lang w:eastAsia="en-US"/>
        </w:rPr>
        <w:t>o zlepšení pracovných podmienok v oblasti práce pre platformy</w:t>
      </w:r>
    </w:p>
    <w:p w:rsidR="000E5DF5" w:rsidRDefault="000E5DF5" w:rsidP="00CB73F3">
      <w:pPr>
        <w:rPr>
          <w:rFonts w:eastAsia="Calibri"/>
          <w:b/>
          <w:szCs w:val="22"/>
          <w:lang w:eastAsia="en-US"/>
        </w:rPr>
      </w:pPr>
    </w:p>
    <w:p w:rsidR="000E5DF5" w:rsidRDefault="000E5DF5" w:rsidP="00CB73F3">
      <w:pPr>
        <w:rPr>
          <w:rFonts w:eastAsia="Calibri"/>
          <w:b/>
          <w:szCs w:val="22"/>
          <w:lang w:eastAsia="en-US"/>
        </w:rPr>
      </w:pPr>
    </w:p>
    <w:p w:rsidR="000E5DF5" w:rsidRPr="00536688" w:rsidRDefault="000E5DF5" w:rsidP="000E5DF5">
      <w:pPr>
        <w:pStyle w:val="AmNumberTabs"/>
        <w:rPr>
          <w:rFonts w:eastAsia="Calibri"/>
          <w:b w:val="0"/>
          <w:szCs w:val="22"/>
          <w:lang w:eastAsia="en-US"/>
        </w:rPr>
      </w:pPr>
      <w:r w:rsidRPr="00536688">
        <w:rPr>
          <w:b w:val="0"/>
          <w:i/>
          <w:iCs/>
        </w:rPr>
        <w:t xml:space="preserve">(Keďže bola dosiahnutá dohoda medzi Európskym parlamentom a Radou, pozícia Európskeho parlamentu zodpovedá záverečnému legislatívnemu aktu, </w:t>
      </w:r>
      <w:r>
        <w:rPr>
          <w:b w:val="0"/>
          <w:i/>
          <w:iCs/>
        </w:rPr>
        <w:t>smernici</w:t>
      </w:r>
      <w:r w:rsidRPr="00536688">
        <w:rPr>
          <w:b w:val="0"/>
          <w:i/>
          <w:iCs/>
        </w:rPr>
        <w:t xml:space="preserve"> (EÚ) 202</w:t>
      </w:r>
      <w:r>
        <w:rPr>
          <w:b w:val="0"/>
          <w:i/>
          <w:iCs/>
        </w:rPr>
        <w:t>4</w:t>
      </w:r>
      <w:r w:rsidRPr="00536688">
        <w:rPr>
          <w:b w:val="0"/>
          <w:i/>
          <w:iCs/>
        </w:rPr>
        <w:t>/</w:t>
      </w:r>
      <w:r>
        <w:rPr>
          <w:b w:val="0"/>
          <w:i/>
          <w:iCs/>
        </w:rPr>
        <w:t>2831</w:t>
      </w:r>
      <w:bookmarkStart w:id="8" w:name="_GoBack"/>
      <w:bookmarkEnd w:id="8"/>
      <w:r w:rsidRPr="00536688">
        <w:rPr>
          <w:b w:val="0"/>
          <w:i/>
          <w:iCs/>
        </w:rPr>
        <w:t>.)</w:t>
      </w:r>
    </w:p>
    <w:p w:rsidR="000E5DF5" w:rsidRDefault="000E5DF5" w:rsidP="00CB73F3">
      <w:pPr>
        <w:rPr>
          <w:rFonts w:eastAsia="Calibri"/>
          <w:b/>
          <w:szCs w:val="22"/>
          <w:lang w:eastAsia="en-US"/>
        </w:rPr>
      </w:pPr>
    </w:p>
    <w:sectPr w:rsidR="000E5DF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73F3" w:rsidRDefault="00CB73F3">
      <w:r>
        <w:separator/>
      </w:r>
    </w:p>
  </w:endnote>
  <w:endnote w:type="continuationSeparator" w:id="0">
    <w:p w:rsidR="00CB73F3" w:rsidRDefault="00CB7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73F3" w:rsidRDefault="00CB73F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73F3" w:rsidRDefault="00CB73F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73F3" w:rsidRDefault="00CB73F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73F3" w:rsidRDefault="00CB73F3">
      <w:r>
        <w:separator/>
      </w:r>
    </w:p>
  </w:footnote>
  <w:footnote w:type="continuationSeparator" w:id="0">
    <w:p w:rsidR="00CB73F3" w:rsidRDefault="00CB73F3">
      <w:r>
        <w:continuationSeparator/>
      </w:r>
    </w:p>
  </w:footnote>
  <w:footnote w:id="1">
    <w:p w:rsidR="00CB73F3" w:rsidRPr="001C72DE" w:rsidRDefault="00CB73F3" w:rsidP="00BA590C">
      <w:pPr>
        <w:pStyle w:val="FootnoteText"/>
        <w:ind w:left="567" w:hanging="567"/>
        <w:rPr>
          <w:sz w:val="24"/>
          <w:lang w:val="sk-SK"/>
        </w:rPr>
      </w:pPr>
      <w:r w:rsidRPr="001C72DE">
        <w:rPr>
          <w:rStyle w:val="FootnoteReference"/>
          <w:sz w:val="24"/>
          <w:lang w:val="sk-SK"/>
        </w:rPr>
        <w:footnoteRef/>
      </w:r>
      <w:r w:rsidRPr="001C72DE">
        <w:rPr>
          <w:sz w:val="24"/>
          <w:lang w:val="sk-SK"/>
        </w:rPr>
        <w:t xml:space="preserve"> </w:t>
      </w:r>
      <w:r w:rsidRPr="001C72DE">
        <w:rPr>
          <w:sz w:val="24"/>
          <w:lang w:val="sk-SK"/>
        </w:rPr>
        <w:tab/>
        <w:t xml:space="preserve">Ú. v. EÚ C </w:t>
      </w:r>
      <w:r w:rsidRPr="004662B0">
        <w:rPr>
          <w:sz w:val="24"/>
          <w:lang w:val="sk-SK"/>
        </w:rPr>
        <w:t>290</w:t>
      </w:r>
      <w:r w:rsidRPr="001C72DE">
        <w:rPr>
          <w:sz w:val="24"/>
          <w:lang w:val="sk-SK"/>
        </w:rPr>
        <w:t xml:space="preserve">, </w:t>
      </w:r>
      <w:r w:rsidRPr="004662B0">
        <w:rPr>
          <w:sz w:val="24"/>
          <w:lang w:val="sk-SK"/>
        </w:rPr>
        <w:t>29</w:t>
      </w:r>
      <w:r w:rsidRPr="001C72DE">
        <w:rPr>
          <w:sz w:val="24"/>
          <w:lang w:val="sk-SK"/>
        </w:rPr>
        <w:t>.</w:t>
      </w:r>
      <w:r w:rsidRPr="004662B0">
        <w:rPr>
          <w:sz w:val="24"/>
          <w:lang w:val="sk-SK"/>
        </w:rPr>
        <w:t>7</w:t>
      </w:r>
      <w:r w:rsidRPr="001C72DE">
        <w:rPr>
          <w:sz w:val="24"/>
          <w:lang w:val="sk-SK"/>
        </w:rPr>
        <w:t>.</w:t>
      </w:r>
      <w:r w:rsidRPr="004662B0">
        <w:rPr>
          <w:sz w:val="24"/>
          <w:lang w:val="sk-SK"/>
        </w:rPr>
        <w:t>2022</w:t>
      </w:r>
      <w:r w:rsidRPr="001C72DE">
        <w:rPr>
          <w:sz w:val="24"/>
          <w:lang w:val="sk-SK"/>
        </w:rPr>
        <w:t xml:space="preserve">, s. </w:t>
      </w:r>
      <w:r w:rsidR="001E5DFD" w:rsidRPr="004662B0">
        <w:rPr>
          <w:sz w:val="24"/>
          <w:lang w:val="sk-SK"/>
        </w:rPr>
        <w:t>9</w:t>
      </w:r>
      <w:r w:rsidRPr="004662B0">
        <w:rPr>
          <w:sz w:val="24"/>
          <w:lang w:val="sk-SK"/>
        </w:rPr>
        <w:t>5</w:t>
      </w:r>
      <w:r w:rsidRPr="001C72DE">
        <w:rPr>
          <w:sz w:val="24"/>
          <w:lang w:val="sk-SK"/>
        </w:rPr>
        <w:t>.</w:t>
      </w:r>
    </w:p>
  </w:footnote>
  <w:footnote w:id="2">
    <w:p w:rsidR="00CB73F3" w:rsidRPr="009D2C6A" w:rsidRDefault="00CB73F3" w:rsidP="009D2C6A">
      <w:pPr>
        <w:pStyle w:val="FootnoteText"/>
        <w:ind w:left="567" w:hanging="567"/>
        <w:rPr>
          <w:lang w:val="sk-SK"/>
        </w:rPr>
      </w:pPr>
      <w:r w:rsidRPr="009D2C6A">
        <w:rPr>
          <w:rStyle w:val="FootnoteReference"/>
          <w:lang w:val="sk-SK"/>
        </w:rPr>
        <w:footnoteRef/>
      </w:r>
      <w:r w:rsidRPr="009D2C6A">
        <w:rPr>
          <w:lang w:val="sk-SK"/>
        </w:rPr>
        <w:t xml:space="preserve"> </w:t>
      </w:r>
      <w:r w:rsidRPr="001C72DE">
        <w:rPr>
          <w:lang w:val="sk-SK"/>
        </w:rPr>
        <w:tab/>
      </w:r>
      <w:r w:rsidRPr="001C72DE">
        <w:rPr>
          <w:sz w:val="24"/>
          <w:lang w:val="sk-SK"/>
        </w:rPr>
        <w:t xml:space="preserve">Ú. v. EÚ C </w:t>
      </w:r>
      <w:r w:rsidRPr="004662B0">
        <w:rPr>
          <w:sz w:val="24"/>
          <w:lang w:val="sk-SK"/>
        </w:rPr>
        <w:t>375</w:t>
      </w:r>
      <w:r w:rsidRPr="001C72DE">
        <w:rPr>
          <w:sz w:val="24"/>
          <w:lang w:val="sk-SK"/>
        </w:rPr>
        <w:t xml:space="preserve">, </w:t>
      </w:r>
      <w:r w:rsidRPr="004662B0">
        <w:rPr>
          <w:sz w:val="24"/>
          <w:lang w:val="sk-SK"/>
        </w:rPr>
        <w:t>30</w:t>
      </w:r>
      <w:r w:rsidRPr="001C72DE">
        <w:rPr>
          <w:sz w:val="24"/>
          <w:lang w:val="sk-SK"/>
        </w:rPr>
        <w:t>.</w:t>
      </w:r>
      <w:r w:rsidRPr="004662B0">
        <w:rPr>
          <w:sz w:val="24"/>
          <w:lang w:val="sk-SK"/>
        </w:rPr>
        <w:t>9</w:t>
      </w:r>
      <w:r w:rsidRPr="001C72DE">
        <w:rPr>
          <w:sz w:val="24"/>
          <w:lang w:val="sk-SK"/>
        </w:rPr>
        <w:t>.</w:t>
      </w:r>
      <w:r w:rsidRPr="004662B0">
        <w:rPr>
          <w:sz w:val="24"/>
          <w:lang w:val="sk-SK"/>
        </w:rPr>
        <w:t>2022</w:t>
      </w:r>
      <w:r w:rsidRPr="001C72DE">
        <w:rPr>
          <w:sz w:val="24"/>
          <w:lang w:val="sk-SK"/>
        </w:rPr>
        <w:t xml:space="preserve">, s. </w:t>
      </w:r>
      <w:r w:rsidRPr="004662B0">
        <w:rPr>
          <w:sz w:val="24"/>
          <w:lang w:val="sk-SK"/>
        </w:rPr>
        <w:t>45</w:t>
      </w:r>
      <w:r w:rsidRPr="001C72DE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73F3" w:rsidRDefault="00CB73F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73F3" w:rsidRDefault="00CB73F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73F3" w:rsidRDefault="00CB73F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4996626"/>
    <w:multiLevelType w:val="hybridMultilevel"/>
    <w:tmpl w:val="07662758"/>
    <w:lvl w:ilvl="0" w:tplc="1F961EDC">
      <w:start w:val="1"/>
      <w:numFmt w:val="bullet"/>
      <w:pStyle w:val="Briefinglist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b w:val="0"/>
        <w:i w:val="0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7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4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5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6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7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8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19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1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3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4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5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6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27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28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29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0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>
    <w:abstractNumId w:val="2"/>
  </w:num>
  <w:num w:numId="2">
    <w:abstractNumId w:val="12"/>
  </w:num>
  <w:num w:numId="3">
    <w:abstractNumId w:val="25"/>
  </w:num>
  <w:num w:numId="4">
    <w:abstractNumId w:val="1"/>
  </w:num>
  <w:num w:numId="5">
    <w:abstractNumId w:val="26"/>
  </w:num>
  <w:num w:numId="6">
    <w:abstractNumId w:val="21"/>
  </w:num>
  <w:num w:numId="7">
    <w:abstractNumId w:val="3"/>
  </w:num>
  <w:num w:numId="8">
    <w:abstractNumId w:val="28"/>
  </w:num>
  <w:num w:numId="9">
    <w:abstractNumId w:val="30"/>
  </w:num>
  <w:num w:numId="10">
    <w:abstractNumId w:val="18"/>
  </w:num>
  <w:num w:numId="11">
    <w:abstractNumId w:val="27"/>
  </w:num>
  <w:num w:numId="12">
    <w:abstractNumId w:val="22"/>
  </w:num>
  <w:num w:numId="13">
    <w:abstractNumId w:val="16"/>
  </w:num>
  <w:num w:numId="14">
    <w:abstractNumId w:val="8"/>
  </w:num>
  <w:num w:numId="15">
    <w:abstractNumId w:val="6"/>
  </w:num>
  <w:num w:numId="16">
    <w:abstractNumId w:val="24"/>
  </w:num>
  <w:num w:numId="17">
    <w:abstractNumId w:val="29"/>
  </w:num>
  <w:num w:numId="18">
    <w:abstractNumId w:val="0"/>
  </w:num>
  <w:num w:numId="19">
    <w:abstractNumId w:val="9"/>
  </w:num>
  <w:num w:numId="20">
    <w:abstractNumId w:val="5"/>
  </w:num>
  <w:num w:numId="21">
    <w:abstractNumId w:val="10"/>
  </w:num>
  <w:num w:numId="22">
    <w:abstractNumId w:val="19"/>
  </w:num>
  <w:num w:numId="23">
    <w:abstractNumId w:val="4"/>
  </w:num>
  <w:num w:numId="24">
    <w:abstractNumId w:val="20"/>
    <w:lvlOverride w:ilvl="0">
      <w:startOverride w:val="1"/>
    </w:lvlOverride>
  </w:num>
  <w:num w:numId="25">
    <w:abstractNumId w:val="13"/>
  </w:num>
  <w:num w:numId="26">
    <w:abstractNumId w:val="23"/>
  </w:num>
  <w:num w:numId="27">
    <w:abstractNumId w:val="11"/>
  </w:num>
  <w:num w:numId="28">
    <w:abstractNumId w:val="14"/>
  </w:num>
  <w:num w:numId="29">
    <w:abstractNumId w:val="7"/>
  </w:num>
  <w:num w:numId="30">
    <w:abstractNumId w:val="17"/>
  </w:num>
  <w:num w:numId="31">
    <w:abstractNumId w:val="15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01/2022"/>
    <w:docVar w:name="dvlangue" w:val="SK"/>
    <w:docVar w:name="dvnumam" w:val="251"/>
    <w:docVar w:name="dvpe" w:val="731.497"/>
    <w:docVar w:name="dvrapporteur" w:val="Spravodajkyňa: "/>
    <w:docVar w:name="dvstar" w:val="***I"/>
    <w:docVar w:name="dvtitre" w:val="Legislatívne uznesenie Európskeho parlamentu z xx. apríla 2024 Návrh smernice Európskeho parlamentu a Rady o zlepšení pracovných podmienok v oblasti práce pre platformy(COM(2021)0762 – C9-0454/2021 – 2021/0414(COD))"/>
  </w:docVars>
  <w:rsids>
    <w:rsidRoot w:val="00C9768B"/>
    <w:rsid w:val="00082A55"/>
    <w:rsid w:val="000E5DF5"/>
    <w:rsid w:val="0014294A"/>
    <w:rsid w:val="001802DE"/>
    <w:rsid w:val="001C3BE7"/>
    <w:rsid w:val="001C72DE"/>
    <w:rsid w:val="001E5DFD"/>
    <w:rsid w:val="00392E05"/>
    <w:rsid w:val="003C1279"/>
    <w:rsid w:val="004662B0"/>
    <w:rsid w:val="00587895"/>
    <w:rsid w:val="005B27E8"/>
    <w:rsid w:val="006328B6"/>
    <w:rsid w:val="006F25DD"/>
    <w:rsid w:val="00716DEC"/>
    <w:rsid w:val="007D10E2"/>
    <w:rsid w:val="007E633F"/>
    <w:rsid w:val="008A16D2"/>
    <w:rsid w:val="008C19CB"/>
    <w:rsid w:val="009D2C6A"/>
    <w:rsid w:val="00A6111A"/>
    <w:rsid w:val="00A70C80"/>
    <w:rsid w:val="00BA4068"/>
    <w:rsid w:val="00BA590C"/>
    <w:rsid w:val="00C330FD"/>
    <w:rsid w:val="00C9768B"/>
    <w:rsid w:val="00CB73F3"/>
    <w:rsid w:val="00D66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EFE860"/>
  <w15:chartTrackingRefBased/>
  <w15:docId w15:val="{D234390D-88C6-45BF-999B-E14EDE99B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symbol,Footnote,Footnote reference number,Times 10 Point,Exposant 3 Point,Ref,de nota al pie,note TESI,SUPERS,EN Footnote text,EN Footnote Reference,Voetnootverwijzing,Footnote number,fr,o,Footnotemark,FR,Footnotemark1,E"/>
    <w:uiPriority w:val="99"/>
    <w:rPr>
      <w:b w:val="0"/>
      <w:vertAlign w:val="superscript"/>
    </w:rPr>
  </w:style>
  <w:style w:type="paragraph" w:styleId="FootnoteText">
    <w:name w:val="footnote text"/>
    <w:aliases w:val="FA Fußnotentext,Fußnotentext Char1,Fußnotentext Char Char,Fußnotentext Char1 Char,Fußnotentext Char Char Char Char Char,Fußnotentext Char Char Char Char,Fußnotentext Char Char Char Char1,Footnote Text2,Footnote Text11,Char"/>
    <w:basedOn w:val="Normal"/>
    <w:link w:val="FootnoteTextChar"/>
    <w:uiPriority w:val="99"/>
    <w:qFormat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A Fußnotentext Char,Fußnotentext Char1 Char1,Fußnotentext Char Char Char,Fußnotentext Char1 Char Char,Fußnotentext Char Char Char Char Char Char,Fußnotentext Char Char Char Char Char1,Fußnotentext Char Char Char Char1 Char,Char Char"/>
    <w:link w:val="FootnoteText"/>
    <w:uiPriority w:val="99"/>
    <w:rPr>
      <w:sz w:val="22"/>
      <w:lang w:val="fr-FR" w:eastAsia="fr-FR"/>
    </w:rPr>
  </w:style>
  <w:style w:type="character" w:styleId="PageNumber">
    <w:name w:val="page number"/>
  </w:style>
  <w:style w:type="paragraph" w:styleId="TOC2">
    <w:name w:val="toc 2"/>
    <w:basedOn w:val="Normal"/>
    <w:next w:val="Normal"/>
    <w:autoRedefine/>
    <w:uiPriority w:val="39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semiHidden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semiHidden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iPriority w:val="39"/>
    <w:unhideWhenUsed/>
    <w:qFormat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character" w:customStyle="1" w:styleId="NormalBoldChar">
    <w:name w:val="NormalBold Char"/>
    <w:basedOn w:val="DefaultParagraphFont"/>
    <w:link w:val="NormalBold"/>
    <w:locked/>
    <w:rPr>
      <w:b/>
      <w:sz w:val="24"/>
      <w:lang w:val="sk-SK"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CoverNormal24a">
    <w:name w:val="CoverNormal24a"/>
    <w:basedOn w:val="Normal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Pr>
      <w:sz w:val="24"/>
      <w:lang w:val="sk-SK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pPr>
      <w:spacing w:before="240"/>
    </w:pPr>
    <w:rPr>
      <w:b/>
    </w:rPr>
  </w:style>
  <w:style w:type="paragraph" w:customStyle="1" w:styleId="EPBody">
    <w:name w:val="EPBody"/>
    <w:basedOn w:val="Normal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Lgendesigne">
    <w:name w:val="Légende signe"/>
    <w:basedOn w:val="Normal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Pr>
      <w:sz w:val="18"/>
    </w:rPr>
  </w:style>
  <w:style w:type="character" w:customStyle="1" w:styleId="Normal12Char">
    <w:name w:val="Normal12 Char"/>
    <w:basedOn w:val="DefaultParagraphFont"/>
    <w:link w:val="Normal12"/>
    <w:locked/>
    <w:rPr>
      <w:noProof/>
      <w:sz w:val="24"/>
    </w:rPr>
  </w:style>
  <w:style w:type="paragraph" w:customStyle="1" w:styleId="Normal12">
    <w:name w:val="Normal12"/>
    <w:basedOn w:val="Normal"/>
    <w:link w:val="Normal12Char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Pr>
      <w:sz w:val="24"/>
      <w:lang w:val="sk-SK"/>
    </w:rPr>
  </w:style>
  <w:style w:type="paragraph" w:customStyle="1" w:styleId="Normal6">
    <w:name w:val="Normal6"/>
    <w:basedOn w:val="Normal"/>
    <w:link w:val="Normal6Char"/>
    <w:pPr>
      <w:spacing w:after="120"/>
    </w:pPr>
  </w:style>
  <w:style w:type="paragraph" w:customStyle="1" w:styleId="Normal12Italic">
    <w:name w:val="Normal12Italic"/>
    <w:basedOn w:val="Normal12"/>
    <w:rPr>
      <w:i/>
    </w:rPr>
  </w:style>
  <w:style w:type="paragraph" w:customStyle="1" w:styleId="EntPE">
    <w:name w:val="EntPE"/>
    <w:basedOn w:val="Normal12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pPr>
      <w:spacing w:after="240"/>
      <w:jc w:val="center"/>
    </w:pPr>
    <w:rPr>
      <w:i/>
    </w:rPr>
  </w:style>
  <w:style w:type="paragraph" w:customStyle="1" w:styleId="Olang">
    <w:name w:val="Olang"/>
    <w:basedOn w:val="Normal"/>
    <w:pPr>
      <w:spacing w:before="240" w:after="240"/>
      <w:jc w:val="right"/>
    </w:pPr>
    <w:rPr>
      <w:noProof/>
      <w:szCs w:val="24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lang w:val="sk-SK"/>
    </w:rPr>
  </w:style>
  <w:style w:type="paragraph" w:styleId="BalloonText">
    <w:name w:val="Balloon Text"/>
    <w:basedOn w:val="Normal"/>
    <w:link w:val="BalloonTextChar"/>
    <w:uiPriority w:val="99"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  <w:lang w:val="sk-SK"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PageHeadingNotTOC">
    <w:name w:val="PageHeadingNotTOC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Sup">
    <w:name w:val="Sup"/>
    <w:uiPriority w:val="1"/>
    <w:qFormat/>
    <w:rPr>
      <w:vertAlign w:val="superscript"/>
    </w:rPr>
  </w:style>
  <w:style w:type="paragraph" w:customStyle="1" w:styleId="RollCallSymbols14pt">
    <w:name w:val="RollCallSymbols14pt"/>
    <w:basedOn w:val="Normal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pPr>
      <w:spacing w:before="120" w:after="120"/>
    </w:pPr>
    <w:rPr>
      <w:snapToGrid w:val="0"/>
      <w:sz w:val="16"/>
      <w:lang w:eastAsia="en-US"/>
    </w:rPr>
  </w:style>
  <w:style w:type="paragraph" w:customStyle="1" w:styleId="msonormal0">
    <w:name w:val="msonormal"/>
    <w:basedOn w:val="Normal"/>
    <w:pPr>
      <w:widowControl/>
      <w:spacing w:before="100" w:beforeAutospacing="1" w:after="100" w:afterAutospacing="1"/>
    </w:pPr>
    <w:rPr>
      <w:szCs w:val="24"/>
    </w:rPr>
  </w:style>
  <w:style w:type="paragraph" w:customStyle="1" w:styleId="Normal24a">
    <w:name w:val="Normal24a"/>
    <w:basedOn w:val="Normal"/>
    <w:link w:val="Normal24aChar"/>
    <w:pPr>
      <w:spacing w:after="480"/>
    </w:pPr>
  </w:style>
  <w:style w:type="character" w:customStyle="1" w:styleId="Normal24aChar">
    <w:name w:val="Normal24a Char"/>
    <w:basedOn w:val="DefaultParagraphFont"/>
    <w:link w:val="Normal24a"/>
    <w:rPr>
      <w:sz w:val="24"/>
      <w:lang w:val="sk-SK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sk-SK"/>
    </w:rPr>
  </w:style>
  <w:style w:type="character" w:customStyle="1" w:styleId="NormalBold12bChar">
    <w:name w:val="NormalBold12b Char"/>
    <w:basedOn w:val="DefaultParagraphFont"/>
    <w:link w:val="NormalBold12b"/>
    <w:locked/>
    <w:rPr>
      <w:b/>
      <w:sz w:val="24"/>
      <w:lang w:val="sk-SK"/>
    </w:rPr>
  </w:style>
  <w:style w:type="paragraph" w:styleId="EndnoteText">
    <w:name w:val="endnote text"/>
    <w:basedOn w:val="Normal"/>
    <w:link w:val="EndnoteTextChar"/>
    <w:uiPriority w:val="99"/>
  </w:style>
  <w:style w:type="character" w:customStyle="1" w:styleId="EndnoteTextChar">
    <w:name w:val="Endnote Text Char"/>
    <w:basedOn w:val="DefaultParagraphFont"/>
    <w:link w:val="EndnoteText"/>
    <w:uiPriority w:val="99"/>
    <w:rPr>
      <w:sz w:val="24"/>
      <w:lang w:val="sk-SK"/>
    </w:rPr>
  </w:style>
  <w:style w:type="paragraph" w:customStyle="1" w:styleId="Normal12Centre">
    <w:name w:val="Normal12Centre"/>
    <w:basedOn w:val="Normal"/>
    <w:pPr>
      <w:spacing w:after="240"/>
      <w:jc w:val="center"/>
    </w:pPr>
    <w:rPr>
      <w:snapToGrid w:val="0"/>
    </w:rPr>
  </w:style>
  <w:style w:type="paragraph" w:customStyle="1" w:styleId="Institutionquiagit">
    <w:name w:val="Institution qui agit"/>
    <w:basedOn w:val="Normal"/>
    <w:next w:val="Normal"/>
    <w:rsid w:val="00CB73F3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AmDocTypeTab">
    <w:name w:val="AmDocTypeTab"/>
    <w:basedOn w:val="Normal"/>
    <w:rsid w:val="00CB73F3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CB73F3"/>
    <w:pPr>
      <w:spacing w:after="240"/>
      <w:jc w:val="center"/>
    </w:pPr>
  </w:style>
  <w:style w:type="paragraph" w:customStyle="1" w:styleId="AmDateTab">
    <w:name w:val="AmDateTab"/>
    <w:basedOn w:val="Normal"/>
    <w:rsid w:val="00CB73F3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CB73F3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CB73F3"/>
  </w:style>
  <w:style w:type="paragraph" w:customStyle="1" w:styleId="NormalCentered">
    <w:name w:val="Normal Centered"/>
    <w:basedOn w:val="Normal"/>
    <w:rsid w:val="00CB73F3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CB73F3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CB73F3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CB73F3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CB73F3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CB73F3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CB73F3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CB73F3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CB73F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CB73F3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CB73F3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CB73F3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CB73F3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CB73F3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CB73F3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CB73F3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CB73F3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CB73F3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CB73F3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CB73F3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CB73F3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CB73F3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CB73F3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CB73F3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CB73F3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CB73F3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CB73F3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CB73F3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CB73F3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CB73F3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CB73F3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CB73F3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CB73F3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CB73F3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CB73F3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CB73F3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CB73F3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CB73F3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CB73F3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CB73F3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CB73F3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CB73F3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CB73F3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CB73F3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CB73F3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CB73F3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CB73F3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CB73F3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CB73F3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CB73F3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CB73F3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CB73F3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CB73F3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CB73F3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CB73F3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CB73F3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CB73F3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CB73F3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CB73F3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CB73F3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CB73F3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CB73F3"/>
    <w:pPr>
      <w:jc w:val="center"/>
    </w:pPr>
  </w:style>
  <w:style w:type="paragraph" w:customStyle="1" w:styleId="Jardin">
    <w:name w:val="Jardin"/>
    <w:basedOn w:val="Normal"/>
    <w:rsid w:val="00CB73F3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CB73F3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CB73F3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CB73F3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CB73F3"/>
    <w:rPr>
      <w:b/>
    </w:rPr>
  </w:style>
  <w:style w:type="paragraph" w:customStyle="1" w:styleId="Annex">
    <w:name w:val="Annex"/>
    <w:basedOn w:val="Normal"/>
    <w:next w:val="Normal"/>
    <w:rsid w:val="00CB73F3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CB73F3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CB73F3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CB73F3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CB73F3"/>
    <w:pPr>
      <w:widowControl/>
      <w:spacing w:before="120" w:after="120"/>
    </w:pPr>
    <w:rPr>
      <w:rFonts w:eastAsia="Calibri"/>
      <w:szCs w:val="22"/>
      <w:lang w:eastAsia="en-US"/>
    </w:rPr>
  </w:style>
  <w:style w:type="character" w:styleId="EndnoteReference">
    <w:name w:val="endnote reference"/>
    <w:basedOn w:val="DefaultParagraphFont"/>
    <w:uiPriority w:val="99"/>
    <w:unhideWhenUsed/>
    <w:rsid w:val="00CB73F3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CB73F3"/>
    <w:pPr>
      <w:widowControl/>
      <w:spacing w:after="440" w:line="360" w:lineRule="auto"/>
      <w:ind w:left="-1134" w:right="-1134"/>
    </w:pPr>
    <w:rPr>
      <w:rFonts w:eastAsia="Calibri"/>
      <w:sz w:val="2"/>
      <w:szCs w:val="24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CB73F3"/>
    <w:rPr>
      <w:rFonts w:eastAsia="Calibri"/>
      <w:sz w:val="24"/>
      <w:szCs w:val="22"/>
      <w:lang w:val="sk-SK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CB73F3"/>
    <w:rPr>
      <w:rFonts w:eastAsia="Calibri"/>
      <w:sz w:val="2"/>
      <w:szCs w:val="24"/>
      <w:lang w:val="sk-SK" w:eastAsia="en-US"/>
    </w:rPr>
  </w:style>
  <w:style w:type="paragraph" w:customStyle="1" w:styleId="FooterText">
    <w:name w:val="Footer Text"/>
    <w:basedOn w:val="Normal"/>
    <w:rsid w:val="00CB73F3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CB73F3"/>
    <w:rPr>
      <w:color w:val="808080"/>
    </w:rPr>
  </w:style>
  <w:style w:type="paragraph" w:styleId="ListParagraph">
    <w:name w:val="List Paragraph"/>
    <w:basedOn w:val="Normal"/>
    <w:uiPriority w:val="34"/>
    <w:qFormat/>
    <w:rsid w:val="00CB73F3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qFormat/>
    <w:rsid w:val="00CB73F3"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CB73F3"/>
    <w:pPr>
      <w:widowControl/>
      <w:spacing w:before="120" w:after="120" w:line="360" w:lineRule="auto"/>
      <w:ind w:left="709" w:hanging="709"/>
      <w:jc w:val="both"/>
    </w:pPr>
    <w:rPr>
      <w:rFonts w:eastAsia="Calibri"/>
      <w:szCs w:val="22"/>
      <w:lang w:eastAsia="en-US"/>
    </w:rPr>
  </w:style>
  <w:style w:type="character" w:customStyle="1" w:styleId="Italic">
    <w:name w:val="Italic"/>
    <w:uiPriority w:val="1"/>
    <w:qFormat/>
    <w:rsid w:val="00CB73F3"/>
    <w:rPr>
      <w:rFonts w:ascii="Times New Roman" w:hAnsi="Times New Roman"/>
      <w:i/>
    </w:rPr>
  </w:style>
  <w:style w:type="character" w:customStyle="1" w:styleId="cf01">
    <w:name w:val="cf01"/>
    <w:basedOn w:val="DefaultParagraphFont"/>
    <w:rsid w:val="00CB73F3"/>
    <w:rPr>
      <w:rFonts w:ascii="Segoe UI" w:hAnsi="Segoe UI" w:cs="Segoe UI" w:hint="default"/>
      <w:sz w:val="18"/>
      <w:szCs w:val="18"/>
    </w:rPr>
  </w:style>
  <w:style w:type="paragraph" w:styleId="Revision">
    <w:name w:val="Revision"/>
    <w:hidden/>
    <w:uiPriority w:val="99"/>
    <w:semiHidden/>
    <w:rsid w:val="00CB73F3"/>
    <w:rPr>
      <w:rFonts w:eastAsia="Calibri"/>
      <w:sz w:val="24"/>
      <w:szCs w:val="22"/>
      <w:lang w:val="sk-SK" w:eastAsia="en-US"/>
    </w:rPr>
  </w:style>
  <w:style w:type="character" w:customStyle="1" w:styleId="ui-provider">
    <w:name w:val="ui-provider"/>
    <w:basedOn w:val="DefaultParagraphFont"/>
    <w:rsid w:val="00CB73F3"/>
  </w:style>
  <w:style w:type="paragraph" w:styleId="ListNumber">
    <w:name w:val="List Number"/>
    <w:basedOn w:val="Normal"/>
    <w:rsid w:val="00CB73F3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CB73F3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character" w:styleId="Hyperlink">
    <w:name w:val="Hyperlink"/>
    <w:rsid w:val="00CB73F3"/>
    <w:rPr>
      <w:color w:val="0000FF"/>
      <w:u w:val="single"/>
      <w:shd w:val="clear" w:color="auto" w:fill="auto"/>
    </w:rPr>
  </w:style>
  <w:style w:type="paragraph" w:styleId="ListBullet">
    <w:name w:val="List Bullet"/>
    <w:basedOn w:val="Normal"/>
    <w:uiPriority w:val="99"/>
    <w:unhideWhenUsed/>
    <w:rsid w:val="00CB73F3"/>
    <w:pPr>
      <w:widowControl/>
      <w:tabs>
        <w:tab w:val="num" w:pos="1701"/>
      </w:tabs>
      <w:spacing w:before="120" w:after="120"/>
      <w:ind w:left="1701" w:hanging="567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CB73F3"/>
    <w:pPr>
      <w:widowControl/>
      <w:tabs>
        <w:tab w:val="num" w:pos="2268"/>
      </w:tabs>
      <w:spacing w:before="120" w:after="120"/>
      <w:ind w:left="2268" w:hanging="567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CB73F3"/>
    <w:pPr>
      <w:widowControl/>
      <w:tabs>
        <w:tab w:val="num" w:pos="2835"/>
      </w:tabs>
      <w:spacing w:before="120" w:after="120"/>
      <w:ind w:left="2835" w:hanging="567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CB73F3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character" w:customStyle="1" w:styleId="year">
    <w:name w:val="year"/>
    <w:basedOn w:val="DefaultParagraphFont"/>
    <w:rsid w:val="00CB73F3"/>
  </w:style>
  <w:style w:type="paragraph" w:styleId="NormalWeb">
    <w:name w:val="Normal (Web)"/>
    <w:basedOn w:val="Normal"/>
    <w:uiPriority w:val="99"/>
    <w:unhideWhenUsed/>
    <w:rsid w:val="00CB73F3"/>
    <w:pPr>
      <w:widowControl/>
      <w:spacing w:after="160" w:line="259" w:lineRule="auto"/>
    </w:pPr>
    <w:rPr>
      <w:rFonts w:eastAsia="Calibri"/>
      <w:szCs w:val="24"/>
      <w:lang w:eastAsia="en-US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CB73F3"/>
    <w:rPr>
      <w:color w:val="800080"/>
      <w:u w:val="single"/>
    </w:rPr>
  </w:style>
  <w:style w:type="paragraph" w:customStyle="1" w:styleId="Briefinglist1">
    <w:name w:val="Briefing list 1"/>
    <w:basedOn w:val="Normal"/>
    <w:uiPriority w:val="99"/>
    <w:rsid w:val="00CB73F3"/>
    <w:pPr>
      <w:keepLines/>
      <w:widowControl/>
      <w:numPr>
        <w:numId w:val="23"/>
      </w:numPr>
      <w:spacing w:after="120"/>
      <w:jc w:val="both"/>
    </w:pPr>
    <w:rPr>
      <w:rFonts w:ascii="Arial" w:hAnsi="Arial" w:cs="Arial"/>
      <w:sz w:val="22"/>
      <w:szCs w:val="24"/>
      <w:lang w:eastAsia="en-US"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CB73F3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CB73F3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CB73F3"/>
    <w:pPr>
      <w:widowControl/>
      <w:tabs>
        <w:tab w:val="num" w:pos="1701"/>
      </w:tabs>
      <w:spacing w:before="120" w:after="120"/>
      <w:ind w:left="1701" w:hanging="567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CB73F3"/>
    <w:pPr>
      <w:widowControl/>
      <w:tabs>
        <w:tab w:val="num" w:pos="2268"/>
      </w:tabs>
      <w:spacing w:before="120" w:after="120"/>
      <w:ind w:left="2268" w:hanging="567"/>
      <w:contextualSpacing/>
      <w:jc w:val="both"/>
    </w:pPr>
    <w:rPr>
      <w:rFonts w:eastAsia="Calibri"/>
      <w:szCs w:val="2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CB73F3"/>
    <w:rPr>
      <w:rFonts w:ascii="Calibri" w:eastAsia="Calibri" w:hAnsi="Calibri" w:cs="Arial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basedOn w:val="Normal"/>
    <w:rsid w:val="00CB73F3"/>
    <w:pPr>
      <w:widowControl/>
      <w:spacing w:before="100" w:beforeAutospacing="1" w:after="100" w:afterAutospacing="1"/>
    </w:pPr>
    <w:rPr>
      <w:szCs w:val="24"/>
    </w:rPr>
  </w:style>
  <w:style w:type="paragraph" w:styleId="TOC4">
    <w:name w:val="toc 4"/>
    <w:basedOn w:val="Normal"/>
    <w:next w:val="Normal"/>
    <w:uiPriority w:val="39"/>
    <w:unhideWhenUsed/>
    <w:rsid w:val="00CB73F3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CB73F3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CB73F3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CB73F3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CB73F3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CB73F3"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CB73F3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CB73F3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CB73F3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CB73F3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CB73F3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CB73F3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CB73F3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CB73F3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CB73F3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CB73F3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CB73F3"/>
    <w:pPr>
      <w:numPr>
        <w:numId w:val="24"/>
      </w:numPr>
      <w:tabs>
        <w:tab w:val="clear" w:pos="850"/>
        <w:tab w:val="num" w:pos="1134"/>
      </w:tabs>
      <w:ind w:left="1134" w:hanging="567"/>
    </w:pPr>
  </w:style>
  <w:style w:type="paragraph" w:customStyle="1" w:styleId="Tiret1">
    <w:name w:val="Tiret 1"/>
    <w:basedOn w:val="Point1"/>
    <w:rsid w:val="00CB73F3"/>
    <w:pPr>
      <w:numPr>
        <w:numId w:val="25"/>
      </w:numPr>
      <w:tabs>
        <w:tab w:val="clear" w:pos="1417"/>
        <w:tab w:val="num" w:pos="2835"/>
      </w:tabs>
      <w:ind w:left="2835"/>
    </w:pPr>
  </w:style>
  <w:style w:type="paragraph" w:customStyle="1" w:styleId="Tiret2">
    <w:name w:val="Tiret 2"/>
    <w:basedOn w:val="Point2"/>
    <w:rsid w:val="00CB73F3"/>
    <w:pPr>
      <w:numPr>
        <w:numId w:val="26"/>
      </w:numPr>
      <w:tabs>
        <w:tab w:val="clear" w:pos="1984"/>
        <w:tab w:val="num" w:pos="567"/>
      </w:tabs>
      <w:ind w:left="567"/>
    </w:pPr>
  </w:style>
  <w:style w:type="paragraph" w:customStyle="1" w:styleId="Tiret3">
    <w:name w:val="Tiret 3"/>
    <w:basedOn w:val="Point3"/>
    <w:rsid w:val="00CB73F3"/>
    <w:pPr>
      <w:numPr>
        <w:numId w:val="27"/>
      </w:numPr>
      <w:tabs>
        <w:tab w:val="clear" w:pos="2551"/>
        <w:tab w:val="num" w:pos="1134"/>
      </w:tabs>
      <w:ind w:left="1134"/>
    </w:pPr>
  </w:style>
  <w:style w:type="paragraph" w:customStyle="1" w:styleId="Tiret4">
    <w:name w:val="Tiret 4"/>
    <w:basedOn w:val="Point4"/>
    <w:rsid w:val="00CB73F3"/>
    <w:pPr>
      <w:numPr>
        <w:numId w:val="28"/>
      </w:numPr>
      <w:tabs>
        <w:tab w:val="clear" w:pos="3118"/>
        <w:tab w:val="num" w:pos="1701"/>
      </w:tabs>
      <w:ind w:left="1701"/>
    </w:pPr>
  </w:style>
  <w:style w:type="paragraph" w:customStyle="1" w:styleId="PointDouble0">
    <w:name w:val="PointDouble 0"/>
    <w:basedOn w:val="Normal"/>
    <w:rsid w:val="00CB73F3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CB73F3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CB73F3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CB73F3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CB73F3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CB73F3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CB73F3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CB73F3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CB73F3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CB73F3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CB73F3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CB73F3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CB73F3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CB73F3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CB73F3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CB73F3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CB73F3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CB73F3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CB73F3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CB73F3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CB73F3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CB73F3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CB73F3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CB73F3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CB73F3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CB73F3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CB73F3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CB73F3"/>
    <w:pPr>
      <w:widowControl/>
      <w:numPr>
        <w:numId w:val="29"/>
      </w:numPr>
      <w:tabs>
        <w:tab w:val="clear" w:pos="850"/>
        <w:tab w:val="num" w:pos="2835"/>
      </w:tabs>
      <w:spacing w:before="120" w:after="120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CB73F3"/>
    <w:pPr>
      <w:widowControl/>
      <w:numPr>
        <w:ilvl w:val="2"/>
        <w:numId w:val="29"/>
      </w:numPr>
      <w:tabs>
        <w:tab w:val="clear" w:pos="1417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CB73F3"/>
    <w:pPr>
      <w:widowControl/>
      <w:numPr>
        <w:ilvl w:val="4"/>
        <w:numId w:val="29"/>
      </w:numPr>
      <w:tabs>
        <w:tab w:val="clear" w:pos="1984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CB73F3"/>
    <w:pPr>
      <w:widowControl/>
      <w:numPr>
        <w:ilvl w:val="6"/>
        <w:numId w:val="29"/>
      </w:numPr>
      <w:tabs>
        <w:tab w:val="clear" w:pos="2551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CB73F3"/>
    <w:pPr>
      <w:widowControl/>
      <w:numPr>
        <w:ilvl w:val="1"/>
        <w:numId w:val="29"/>
      </w:numPr>
      <w:tabs>
        <w:tab w:val="clear" w:pos="850"/>
        <w:tab w:val="num" w:pos="2835"/>
      </w:tabs>
      <w:spacing w:before="120" w:after="120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CB73F3"/>
    <w:pPr>
      <w:widowControl/>
      <w:numPr>
        <w:ilvl w:val="3"/>
        <w:numId w:val="29"/>
      </w:numPr>
      <w:tabs>
        <w:tab w:val="clear" w:pos="1417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CB73F3"/>
    <w:pPr>
      <w:widowControl/>
      <w:numPr>
        <w:ilvl w:val="5"/>
        <w:numId w:val="29"/>
      </w:numPr>
      <w:tabs>
        <w:tab w:val="clear" w:pos="1984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CB73F3"/>
    <w:pPr>
      <w:widowControl/>
      <w:numPr>
        <w:ilvl w:val="7"/>
        <w:numId w:val="29"/>
      </w:numPr>
      <w:tabs>
        <w:tab w:val="clear" w:pos="2551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CB73F3"/>
    <w:pPr>
      <w:widowControl/>
      <w:numPr>
        <w:ilvl w:val="8"/>
        <w:numId w:val="29"/>
      </w:numPr>
      <w:tabs>
        <w:tab w:val="clear" w:pos="3118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CB73F3"/>
    <w:pPr>
      <w:widowControl/>
      <w:numPr>
        <w:numId w:val="30"/>
      </w:numPr>
      <w:tabs>
        <w:tab w:val="clear" w:pos="850"/>
        <w:tab w:val="num" w:pos="567"/>
      </w:tabs>
      <w:spacing w:before="120" w:after="120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CB73F3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CB73F3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CB73F3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CB73F3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CB73F3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CB73F3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CB73F3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CB73F3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CB73F3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CB73F3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CB73F3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CB73F3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CB73F3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CB73F3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CB73F3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CB73F3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CB73F3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CB73F3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CB73F3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CB73F3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CB73F3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CB73F3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CB73F3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CB73F3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CB73F3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CB73F3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CB73F3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CB73F3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CB73F3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CB73F3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CB73F3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CB73F3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CB73F3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CB73F3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CB73F3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CB73F3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CB73F3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CB73F3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CB73F3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CB73F3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CB73F3"/>
  </w:style>
  <w:style w:type="paragraph" w:customStyle="1" w:styleId="StatutPagedecouverture">
    <w:name w:val="Statut (Page de couverture)"/>
    <w:basedOn w:val="Statut"/>
    <w:next w:val="TypedudocumentPagedecouverture"/>
    <w:rsid w:val="00CB73F3"/>
  </w:style>
  <w:style w:type="paragraph" w:customStyle="1" w:styleId="TitreobjetPagedecouverture">
    <w:name w:val="Titre objet (Page de couverture)"/>
    <w:basedOn w:val="Titreobjet"/>
    <w:next w:val="IntrtEEEPagedecouverture"/>
    <w:rsid w:val="00CB73F3"/>
  </w:style>
  <w:style w:type="paragraph" w:customStyle="1" w:styleId="TypedudocumentPagedecouverture">
    <w:name w:val="Type du document (Page de couverture)"/>
    <w:basedOn w:val="Typedudocument"/>
    <w:next w:val="TitreobjetPagedecouverture"/>
    <w:rsid w:val="00CB73F3"/>
  </w:style>
  <w:style w:type="paragraph" w:customStyle="1" w:styleId="Volume">
    <w:name w:val="Volume"/>
    <w:basedOn w:val="Normal"/>
    <w:next w:val="Confidentialit"/>
    <w:rsid w:val="00CB73F3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CB73F3"/>
    <w:pPr>
      <w:spacing w:after="240"/>
    </w:pPr>
  </w:style>
  <w:style w:type="paragraph" w:customStyle="1" w:styleId="Accompagnant">
    <w:name w:val="Accompagnant"/>
    <w:basedOn w:val="Normal"/>
    <w:next w:val="Typeacteprincipal"/>
    <w:rsid w:val="00CB73F3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CB73F3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CB73F3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CB73F3"/>
  </w:style>
  <w:style w:type="paragraph" w:customStyle="1" w:styleId="AccompagnantPagedecouverture">
    <w:name w:val="Accompagnant (Page de couverture)"/>
    <w:basedOn w:val="Accompagnant"/>
    <w:next w:val="TypeacteprincipalPagedecouverture"/>
    <w:rsid w:val="00CB73F3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CB73F3"/>
  </w:style>
  <w:style w:type="paragraph" w:customStyle="1" w:styleId="ObjetacteprincipalPagedecouverture">
    <w:name w:val="Objet acte principal (Page de couverture)"/>
    <w:basedOn w:val="Objetacteprincipal"/>
    <w:next w:val="Rfrencecroise"/>
    <w:rsid w:val="00CB73F3"/>
  </w:style>
  <w:style w:type="paragraph" w:customStyle="1" w:styleId="LanguesfaisantfoiPagedecouverture">
    <w:name w:val="Langues faisant foi (Page de couverture)"/>
    <w:basedOn w:val="Normal"/>
    <w:next w:val="Normal"/>
    <w:rsid w:val="00CB73F3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CB73F3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CB73F3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CB73F3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CB73F3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rsid w:val="00CB73F3"/>
    <w:pPr>
      <w:numPr>
        <w:numId w:val="31"/>
      </w:numPr>
      <w:tabs>
        <w:tab w:val="clear" w:pos="3685"/>
        <w:tab w:val="num" w:pos="567"/>
      </w:tabs>
      <w:ind w:left="567"/>
    </w:pPr>
  </w:style>
  <w:style w:type="paragraph" w:customStyle="1" w:styleId="NumPar5">
    <w:name w:val="NumPar 5"/>
    <w:basedOn w:val="Normal"/>
    <w:next w:val="Text2"/>
    <w:rsid w:val="00CB73F3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CB73F3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CB73F3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CB73F3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CB73F3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CB73F3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character" w:styleId="FollowedHyperlink">
    <w:name w:val="FollowedHyperlink"/>
    <w:basedOn w:val="DefaultParagraphFont"/>
    <w:rsid w:val="00CB73F3"/>
    <w:rPr>
      <w:color w:val="954F72" w:themeColor="followedHyperlink"/>
      <w:u w:val="single"/>
    </w:rPr>
  </w:style>
  <w:style w:type="paragraph" w:customStyle="1" w:styleId="HeadingDocType24a">
    <w:name w:val="HeadingDocType24a"/>
    <w:basedOn w:val="Normal"/>
    <w:rsid w:val="006328B6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6328B6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6328B6"/>
    <w:pPr>
      <w:jc w:val="center"/>
    </w:pPr>
  </w:style>
  <w:style w:type="paragraph" w:customStyle="1" w:styleId="LineSingle">
    <w:name w:val="LineSingle"/>
    <w:basedOn w:val="Normal"/>
    <w:next w:val="Normal"/>
    <w:rsid w:val="006328B6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6328B6"/>
    <w:pPr>
      <w:spacing w:before="240" w:after="240"/>
    </w:pPr>
  </w:style>
  <w:style w:type="paragraph" w:customStyle="1" w:styleId="pf0">
    <w:name w:val="pf0"/>
    <w:basedOn w:val="Normal"/>
    <w:rsid w:val="006328B6"/>
    <w:pPr>
      <w:widowControl/>
      <w:spacing w:before="100" w:beforeAutospacing="1" w:after="100" w:afterAutospacing="1"/>
    </w:pPr>
    <w:rPr>
      <w:szCs w:val="24"/>
      <w:lang w:val="fr-BE"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AE398-0D32-40D7-B4C8-FCB95EDBA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SOLTYSOVA Zuzana</cp:lastModifiedBy>
  <cp:revision>2</cp:revision>
  <cp:lastPrinted>2004-11-19T15:42:00Z</cp:lastPrinted>
  <dcterms:created xsi:type="dcterms:W3CDTF">2025-03-12T15:50:00Z</dcterms:created>
  <dcterms:modified xsi:type="dcterms:W3CDTF">2025-03-12T15:50:00Z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P9_TA(2024)0330_</vt:lpwstr>
  </property>
  <property fmtid="{D5CDD505-2E9C-101B-9397-08002B2CF9AE}" pid="4" name="&lt;Type&gt;">
    <vt:lpwstr>RR</vt:lpwstr>
  </property>
</Properties>
</file>