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32B1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32B12" w:rsidRDefault="00C40C59" w:rsidP="0010095E">
            <w:pPr>
              <w:pStyle w:val="EPName"/>
            </w:pPr>
            <w:r w:rsidRPr="00132B12">
              <w:t>Európsky parlament</w:t>
            </w:r>
          </w:p>
          <w:p w:rsidR="00751A4A" w:rsidRPr="00132B1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B3EC3">
              <w:t>2019</w:t>
            </w:r>
            <w:r w:rsidRPr="00132B12">
              <w:t>-</w:t>
            </w:r>
            <w:r w:rsidRPr="006B3EC3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132B12" w:rsidRDefault="00187494" w:rsidP="0010095E">
            <w:pPr>
              <w:pStyle w:val="EPLogo"/>
            </w:pPr>
            <w:r w:rsidRPr="00132B1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32B12" w:rsidRDefault="00D058B8" w:rsidP="004C5D52">
      <w:pPr>
        <w:pStyle w:val="LineTop"/>
      </w:pPr>
    </w:p>
    <w:p w:rsidR="00680577" w:rsidRPr="00132B12" w:rsidRDefault="00C40C59" w:rsidP="00680577">
      <w:pPr>
        <w:pStyle w:val="EPBodyTA1"/>
      </w:pPr>
      <w:r w:rsidRPr="00132B12">
        <w:t>PRIJATÉ TEXTY</w:t>
      </w:r>
    </w:p>
    <w:p w:rsidR="00D058B8" w:rsidRPr="00132B12" w:rsidRDefault="00D058B8" w:rsidP="00D058B8">
      <w:pPr>
        <w:pStyle w:val="LineBottom"/>
      </w:pPr>
    </w:p>
    <w:p w:rsidR="00C40C59" w:rsidRPr="00132B12" w:rsidRDefault="00C40C59" w:rsidP="00C40C59">
      <w:pPr>
        <w:pStyle w:val="ATHeading1"/>
      </w:pPr>
      <w:bookmarkStart w:id="0" w:name="TANumber"/>
      <w:r w:rsidRPr="00132B12">
        <w:t>P</w:t>
      </w:r>
      <w:r w:rsidRPr="006B3EC3">
        <w:t>9</w:t>
      </w:r>
      <w:r w:rsidRPr="00132B12">
        <w:t>_TA(</w:t>
      </w:r>
      <w:r w:rsidRPr="006B3EC3">
        <w:t>2024</w:t>
      </w:r>
      <w:r w:rsidRPr="00132B12">
        <w:t>)</w:t>
      </w:r>
      <w:r w:rsidRPr="006B3EC3">
        <w:t>0</w:t>
      </w:r>
      <w:r w:rsidR="00132B12" w:rsidRPr="006B3EC3">
        <w:t>33</w:t>
      </w:r>
      <w:r w:rsidR="00FE7FAF" w:rsidRPr="006B3EC3">
        <w:t>1</w:t>
      </w:r>
      <w:bookmarkEnd w:id="0"/>
    </w:p>
    <w:p w:rsidR="00C40C59" w:rsidRPr="00132B12" w:rsidRDefault="00C40C59" w:rsidP="00C40C59">
      <w:pPr>
        <w:pStyle w:val="ATHeading2"/>
      </w:pPr>
      <w:bookmarkStart w:id="1" w:name="title"/>
      <w:r w:rsidRPr="00132B12">
        <w:t>Európsky priestor pre zdravotné údaje</w:t>
      </w:r>
      <w:bookmarkEnd w:id="1"/>
    </w:p>
    <w:p w:rsidR="00C40C59" w:rsidRPr="00132B12" w:rsidRDefault="00C40C59" w:rsidP="00C40C59">
      <w:pPr>
        <w:rPr>
          <w:i/>
          <w:vanish/>
        </w:rPr>
      </w:pPr>
      <w:r w:rsidRPr="00132B12">
        <w:rPr>
          <w:i/>
        </w:rPr>
        <w:fldChar w:fldCharType="begin"/>
      </w:r>
      <w:r w:rsidRPr="00132B12">
        <w:rPr>
          <w:i/>
        </w:rPr>
        <w:instrText xml:space="preserve"> TC"(</w:instrText>
      </w:r>
      <w:bookmarkStart w:id="2" w:name="DocNumber"/>
      <w:r w:rsidRPr="00132B12">
        <w:rPr>
          <w:i/>
        </w:rPr>
        <w:instrText>A</w:instrText>
      </w:r>
      <w:r w:rsidRPr="006B3EC3">
        <w:rPr>
          <w:i/>
        </w:rPr>
        <w:instrText>9</w:instrText>
      </w:r>
      <w:r w:rsidRPr="00132B12">
        <w:rPr>
          <w:i/>
        </w:rPr>
        <w:instrText>-</w:instrText>
      </w:r>
      <w:r w:rsidRPr="006B3EC3">
        <w:rPr>
          <w:i/>
        </w:rPr>
        <w:instrText>0395</w:instrText>
      </w:r>
      <w:r w:rsidRPr="00132B12">
        <w:rPr>
          <w:i/>
        </w:rPr>
        <w:instrText>/</w:instrText>
      </w:r>
      <w:r w:rsidRPr="006B3EC3">
        <w:rPr>
          <w:i/>
        </w:rPr>
        <w:instrText>2023</w:instrText>
      </w:r>
      <w:bookmarkEnd w:id="2"/>
      <w:r w:rsidRPr="00132B12">
        <w:rPr>
          <w:i/>
        </w:rPr>
        <w:instrText xml:space="preserve"> - Spravodajcovia: </w:instrText>
      </w:r>
      <w:proofErr w:type="spellStart"/>
      <w:r w:rsidRPr="00132B12">
        <w:rPr>
          <w:i/>
        </w:rPr>
        <w:instrText>Tomislav</w:instrText>
      </w:r>
      <w:proofErr w:type="spellEnd"/>
      <w:r w:rsidRPr="00132B12">
        <w:rPr>
          <w:i/>
        </w:rPr>
        <w:instrText xml:space="preserve"> Sokol, </w:instrText>
      </w:r>
      <w:proofErr w:type="spellStart"/>
      <w:r w:rsidRPr="00132B12">
        <w:rPr>
          <w:i/>
        </w:rPr>
        <w:instrText>Annalisa</w:instrText>
      </w:r>
      <w:proofErr w:type="spellEnd"/>
      <w:r w:rsidRPr="00132B12">
        <w:rPr>
          <w:i/>
        </w:rPr>
        <w:instrText xml:space="preserve"> </w:instrText>
      </w:r>
      <w:proofErr w:type="spellStart"/>
      <w:r w:rsidRPr="00132B12">
        <w:rPr>
          <w:i/>
        </w:rPr>
        <w:instrText>Tardino</w:instrText>
      </w:r>
      <w:proofErr w:type="spellEnd"/>
      <w:r w:rsidRPr="00132B12">
        <w:rPr>
          <w:i/>
        </w:rPr>
        <w:instrText>)"\l</w:instrText>
      </w:r>
      <w:r w:rsidRPr="006B3EC3">
        <w:rPr>
          <w:i/>
        </w:rPr>
        <w:instrText>3</w:instrText>
      </w:r>
      <w:r w:rsidRPr="00132B12">
        <w:rPr>
          <w:i/>
        </w:rPr>
        <w:instrText xml:space="preserve"> \n&gt; \* MERGEFORMAT </w:instrText>
      </w:r>
      <w:r w:rsidRPr="00132B12">
        <w:rPr>
          <w:i/>
        </w:rPr>
        <w:fldChar w:fldCharType="end"/>
      </w:r>
    </w:p>
    <w:p w:rsidR="00C40C59" w:rsidRPr="00132B12" w:rsidRDefault="00C40C59" w:rsidP="00C40C59">
      <w:pPr>
        <w:rPr>
          <w:vanish/>
        </w:rPr>
      </w:pPr>
      <w:bookmarkStart w:id="3" w:name="Commission"/>
      <w:r w:rsidRPr="00132B12">
        <w:rPr>
          <w:vanish/>
        </w:rPr>
        <w:t>Výbor pre životné prostredie, verejné zdravie a bezpečnosť potravín, Výbor pre občianske slobody, spravodlivosť a vnútorné veci</w:t>
      </w:r>
      <w:bookmarkEnd w:id="3"/>
    </w:p>
    <w:p w:rsidR="00C40C59" w:rsidRPr="00132B12" w:rsidRDefault="00C40C59" w:rsidP="00C40C59">
      <w:pPr>
        <w:rPr>
          <w:vanish/>
        </w:rPr>
      </w:pPr>
      <w:bookmarkStart w:id="4" w:name="PE"/>
      <w:r w:rsidRPr="00132B12">
        <w:rPr>
          <w:vanish/>
        </w:rPr>
        <w:t>PE</w:t>
      </w:r>
      <w:r w:rsidRPr="006B3EC3">
        <w:rPr>
          <w:vanish/>
        </w:rPr>
        <w:t>742</w:t>
      </w:r>
      <w:r w:rsidRPr="00132B12">
        <w:rPr>
          <w:vanish/>
        </w:rPr>
        <w:t>.</w:t>
      </w:r>
      <w:r w:rsidRPr="006B3EC3">
        <w:rPr>
          <w:vanish/>
        </w:rPr>
        <w:t>387</w:t>
      </w:r>
      <w:bookmarkEnd w:id="4"/>
    </w:p>
    <w:p w:rsidR="00C40C59" w:rsidRPr="00132B12" w:rsidRDefault="00C40C59" w:rsidP="00C40C59">
      <w:pPr>
        <w:pStyle w:val="ATHeading3"/>
      </w:pPr>
      <w:bookmarkStart w:id="5" w:name="Sujet"/>
      <w:r w:rsidRPr="00132B12">
        <w:t>Legislatívne uznesenie Európskeho parlamentu z</w:t>
      </w:r>
      <w:r w:rsidR="00524C47" w:rsidRPr="00132B12">
        <w:t> </w:t>
      </w:r>
      <w:r w:rsidR="00524C47" w:rsidRPr="006B3EC3">
        <w:t>24</w:t>
      </w:r>
      <w:r w:rsidRPr="00132B12">
        <w:t xml:space="preserve">. apríla </w:t>
      </w:r>
      <w:r w:rsidRPr="006B3EC3">
        <w:t>2024</w:t>
      </w:r>
      <w:r w:rsidRPr="00132B12">
        <w:t xml:space="preserve"> o návrhu nariadenia Európskeho parlamentu a Rady o európskom priestore pre zdravotné údaje</w:t>
      </w:r>
      <w:bookmarkEnd w:id="5"/>
      <w:r w:rsidRPr="00132B12">
        <w:t xml:space="preserve"> </w:t>
      </w:r>
      <w:bookmarkStart w:id="6" w:name="References"/>
      <w:r w:rsidRPr="00132B12">
        <w:t>(COM(</w:t>
      </w:r>
      <w:r w:rsidRPr="006B3EC3">
        <w:t>2022</w:t>
      </w:r>
      <w:r w:rsidRPr="00132B12">
        <w:t>)</w:t>
      </w:r>
      <w:r w:rsidRPr="006B3EC3">
        <w:t>0197</w:t>
      </w:r>
      <w:r w:rsidRPr="00132B12">
        <w:t xml:space="preserve"> – C</w:t>
      </w:r>
      <w:r w:rsidRPr="006B3EC3">
        <w:t>9</w:t>
      </w:r>
      <w:r w:rsidRPr="00132B12">
        <w:t>-</w:t>
      </w:r>
      <w:r w:rsidRPr="006B3EC3">
        <w:t>0167</w:t>
      </w:r>
      <w:r w:rsidRPr="00132B12">
        <w:t>/</w:t>
      </w:r>
      <w:r w:rsidRPr="006B3EC3">
        <w:t>2022</w:t>
      </w:r>
      <w:r w:rsidRPr="00132B12">
        <w:t xml:space="preserve"> – </w:t>
      </w:r>
      <w:r w:rsidRPr="006B3EC3">
        <w:t>2022</w:t>
      </w:r>
      <w:r w:rsidRPr="00132B12">
        <w:t>/</w:t>
      </w:r>
      <w:r w:rsidRPr="006B3EC3">
        <w:t>0140</w:t>
      </w:r>
      <w:r w:rsidRPr="00132B12">
        <w:t>(COD))</w:t>
      </w:r>
      <w:bookmarkEnd w:id="6"/>
    </w:p>
    <w:p w:rsidR="00CD2E13" w:rsidRPr="00132B12" w:rsidRDefault="00CD2E13" w:rsidP="00CD2E13">
      <w:pPr>
        <w:pStyle w:val="NormalBold"/>
      </w:pPr>
      <w:bookmarkStart w:id="7" w:name="TextBodyBegin"/>
      <w:bookmarkEnd w:id="7"/>
      <w:r w:rsidRPr="00132B12">
        <w:t>(Riadny legislatívny postup: prvé čítanie)</w:t>
      </w:r>
    </w:p>
    <w:p w:rsidR="00CD2E13" w:rsidRPr="00132B12" w:rsidRDefault="00CD2E13" w:rsidP="00CD2E13">
      <w:pPr>
        <w:pStyle w:val="EPComma"/>
      </w:pPr>
      <w:r w:rsidRPr="00132B12">
        <w:rPr>
          <w:i/>
        </w:rPr>
        <w:t>Európsky parlament</w:t>
      </w:r>
      <w:r w:rsidRPr="00132B12">
        <w:t>,</w:t>
      </w:r>
    </w:p>
    <w:p w:rsidR="00CD2E13" w:rsidRPr="00132B12" w:rsidRDefault="00CD2E13" w:rsidP="00CD2E13">
      <w:pPr>
        <w:pStyle w:val="NormalHanging12a"/>
      </w:pPr>
      <w:r w:rsidRPr="00132B12">
        <w:t>–</w:t>
      </w:r>
      <w:r w:rsidRPr="00132B12">
        <w:tab/>
        <w:t>so zreteľom na návrh Komisie pre Európsky parlament a Radu (COM(</w:t>
      </w:r>
      <w:r w:rsidRPr="006B3EC3">
        <w:t>2022</w:t>
      </w:r>
      <w:r w:rsidRPr="00132B12">
        <w:t>)</w:t>
      </w:r>
      <w:r w:rsidRPr="006B3EC3">
        <w:t>0197</w:t>
      </w:r>
      <w:r w:rsidRPr="00132B12">
        <w:t>),</w:t>
      </w:r>
    </w:p>
    <w:p w:rsidR="00CD2E13" w:rsidRPr="00132B12" w:rsidRDefault="00CD2E13" w:rsidP="00CD2E13">
      <w:pPr>
        <w:pStyle w:val="NormalHanging12a"/>
      </w:pPr>
      <w:r w:rsidRPr="00132B12">
        <w:t>–</w:t>
      </w:r>
      <w:r w:rsidRPr="00132B12">
        <w:tab/>
        <w:t xml:space="preserve">so zreteľom na článok </w:t>
      </w:r>
      <w:r w:rsidRPr="006B3EC3">
        <w:t>294</w:t>
      </w:r>
      <w:r w:rsidRPr="00132B12">
        <w:t xml:space="preserve"> ods. </w:t>
      </w:r>
      <w:r w:rsidRPr="006B3EC3">
        <w:t>2</w:t>
      </w:r>
      <w:r w:rsidRPr="00132B12">
        <w:t>, článok </w:t>
      </w:r>
      <w:r w:rsidRPr="006B3EC3">
        <w:t>16</w:t>
      </w:r>
      <w:r w:rsidRPr="00132B12">
        <w:t xml:space="preserve"> a článok </w:t>
      </w:r>
      <w:r w:rsidRPr="006B3EC3">
        <w:t>114</w:t>
      </w:r>
      <w:r w:rsidRPr="00132B12">
        <w:t xml:space="preserve"> Zmluvy o fungovaní Európskej únie, v súlade s ktorými Komisia predložila návrh Európskemu parlamentu (C</w:t>
      </w:r>
      <w:r w:rsidRPr="006B3EC3">
        <w:t>9</w:t>
      </w:r>
      <w:r w:rsidRPr="00132B12">
        <w:noBreakHyphen/>
      </w:r>
      <w:r w:rsidRPr="006B3EC3">
        <w:t>0167</w:t>
      </w:r>
      <w:r w:rsidRPr="00132B12">
        <w:t>/</w:t>
      </w:r>
      <w:r w:rsidRPr="006B3EC3">
        <w:t>2022</w:t>
      </w:r>
      <w:r w:rsidRPr="00132B12">
        <w:t>),</w:t>
      </w:r>
    </w:p>
    <w:p w:rsidR="00CD2E13" w:rsidRPr="00132B12" w:rsidRDefault="00CD2E13" w:rsidP="00CD2E13">
      <w:pPr>
        <w:pStyle w:val="NormalHanging12a"/>
      </w:pPr>
      <w:r w:rsidRPr="00132B12">
        <w:t>–</w:t>
      </w:r>
      <w:r w:rsidRPr="00132B12">
        <w:tab/>
        <w:t xml:space="preserve">so zreteľom na článok </w:t>
      </w:r>
      <w:r w:rsidRPr="006B3EC3">
        <w:t>294</w:t>
      </w:r>
      <w:r w:rsidRPr="00132B12">
        <w:t xml:space="preserve"> ods. </w:t>
      </w:r>
      <w:r w:rsidRPr="006B3EC3">
        <w:t>3</w:t>
      </w:r>
      <w:r w:rsidRPr="00132B12">
        <w:t xml:space="preserve"> Zmluvy o fungovaní Európskej únie,</w:t>
      </w:r>
    </w:p>
    <w:p w:rsidR="00CD2E13" w:rsidRPr="00132B12" w:rsidRDefault="00CD2E13" w:rsidP="00CD2E13">
      <w:pPr>
        <w:pStyle w:val="NormalHanging12a"/>
      </w:pPr>
      <w:r w:rsidRPr="00132B12">
        <w:t>–</w:t>
      </w:r>
      <w:r w:rsidRPr="00132B12">
        <w:tab/>
        <w:t>so zreteľom na stanovisko Európskeho hospodárskeho a sociálneho výboru z </w:t>
      </w:r>
      <w:r w:rsidRPr="006B3EC3">
        <w:t>22</w:t>
      </w:r>
      <w:r w:rsidRPr="00132B12">
        <w:t xml:space="preserve">. septembra </w:t>
      </w:r>
      <w:r w:rsidRPr="006B3EC3">
        <w:t>2022</w:t>
      </w:r>
      <w:r w:rsidRPr="00132B12">
        <w:rPr>
          <w:rStyle w:val="FootnoteReference"/>
        </w:rPr>
        <w:footnoteReference w:id="1"/>
      </w:r>
      <w:r w:rsidRPr="00132B12">
        <w:t>,</w:t>
      </w:r>
    </w:p>
    <w:p w:rsidR="00CD2E13" w:rsidRPr="00132B12" w:rsidRDefault="00CD2E13" w:rsidP="00CD2E13">
      <w:pPr>
        <w:pStyle w:val="NormalHanging12a"/>
      </w:pPr>
      <w:r w:rsidRPr="00132B12">
        <w:t>–</w:t>
      </w:r>
      <w:r w:rsidRPr="00132B12">
        <w:tab/>
        <w:t>so zreteľom na stanovisko Výboru regiónov z </w:t>
      </w:r>
      <w:r w:rsidRPr="006B3EC3">
        <w:t>9</w:t>
      </w:r>
      <w:r w:rsidRPr="00132B12">
        <w:t xml:space="preserve">. februára </w:t>
      </w:r>
      <w:r w:rsidRPr="006B3EC3">
        <w:t>2023</w:t>
      </w:r>
      <w:r w:rsidRPr="00132B12">
        <w:rPr>
          <w:rStyle w:val="FootnoteReference"/>
        </w:rPr>
        <w:footnoteReference w:id="2"/>
      </w:r>
      <w:r w:rsidRPr="00132B12">
        <w:t>,</w:t>
      </w:r>
    </w:p>
    <w:p w:rsidR="003236CA" w:rsidRPr="00132B12" w:rsidRDefault="003236CA" w:rsidP="00CD2E13">
      <w:pPr>
        <w:pStyle w:val="NormalHanging12a"/>
      </w:pPr>
      <w:r w:rsidRPr="00132B12">
        <w:t>–</w:t>
      </w:r>
      <w:r w:rsidRPr="00132B12">
        <w:tab/>
        <w:t xml:space="preserve">so zreteľom na predbežnú dohodu schválenú gestorskými výbormi podľa článku </w:t>
      </w:r>
      <w:r w:rsidRPr="006B3EC3">
        <w:t>74</w:t>
      </w:r>
      <w:r w:rsidRPr="00132B12">
        <w:t xml:space="preserve"> ods. </w:t>
      </w:r>
      <w:r w:rsidRPr="006B3EC3">
        <w:t>4</w:t>
      </w:r>
      <w:r w:rsidRPr="00132B12">
        <w:t xml:space="preserve"> rokovacieho poriadku, a na záväzok zástupcu Rady, vyjadrený v liste z </w:t>
      </w:r>
      <w:r w:rsidRPr="006B3EC3">
        <w:t>22</w:t>
      </w:r>
      <w:r w:rsidRPr="00132B12">
        <w:t xml:space="preserve">. </w:t>
      </w:r>
      <w:r w:rsidR="00524C47" w:rsidRPr="00132B12">
        <w:t>marca</w:t>
      </w:r>
      <w:r w:rsidRPr="00132B12">
        <w:t xml:space="preserve"> </w:t>
      </w:r>
      <w:r w:rsidRPr="006B3EC3">
        <w:t>2024</w:t>
      </w:r>
      <w:r w:rsidRPr="00132B12">
        <w:t xml:space="preserve">, schváliť pozíciu Európskeho parlamentu v súlade s článkom </w:t>
      </w:r>
      <w:r w:rsidRPr="006B3EC3">
        <w:t>294</w:t>
      </w:r>
      <w:r w:rsidRPr="00132B12">
        <w:t xml:space="preserve"> ods. </w:t>
      </w:r>
      <w:r w:rsidRPr="006B3EC3">
        <w:t>4</w:t>
      </w:r>
      <w:r w:rsidRPr="00132B12">
        <w:t xml:space="preserve"> Zmluvy o fungovaní Európskej únie,</w:t>
      </w:r>
    </w:p>
    <w:p w:rsidR="00CD2E13" w:rsidRDefault="00CD2E13" w:rsidP="00CD2E13">
      <w:pPr>
        <w:pStyle w:val="NormalHanging12a"/>
      </w:pPr>
      <w:r w:rsidRPr="00132B12">
        <w:t>–</w:t>
      </w:r>
      <w:r w:rsidRPr="00132B12">
        <w:tab/>
        <w:t xml:space="preserve">so zreteľom na článok </w:t>
      </w:r>
      <w:r w:rsidRPr="006B3EC3">
        <w:t>59</w:t>
      </w:r>
      <w:r w:rsidRPr="00132B12">
        <w:t xml:space="preserve"> rokovacieho poriadku,</w:t>
      </w:r>
    </w:p>
    <w:p w:rsidR="005C5EAA" w:rsidRPr="00132B12" w:rsidRDefault="005C5EAA" w:rsidP="00CD2E13">
      <w:pPr>
        <w:pStyle w:val="NormalHanging12a"/>
      </w:pPr>
      <w:r>
        <w:t>–</w:t>
      </w:r>
      <w:r>
        <w:tab/>
      </w:r>
      <w:r w:rsidRPr="005C5EAA">
        <w:t xml:space="preserve">so zreteľom na spoločné rokovania </w:t>
      </w:r>
      <w:r w:rsidRPr="00132B12">
        <w:t xml:space="preserve">Výboru pre životné prostredie, verejné zdravie a bezpečnosť potravín a Výboru pre občianske slobody, spravodlivosť a vnútorné veci </w:t>
      </w:r>
      <w:r w:rsidRPr="005C5EAA">
        <w:lastRenderedPageBreak/>
        <w:t xml:space="preserve">podľa článku </w:t>
      </w:r>
      <w:r w:rsidRPr="006B3EC3">
        <w:t>58</w:t>
      </w:r>
      <w:r w:rsidRPr="005C5EAA">
        <w:t xml:space="preserve"> rokovacieho poriadku,</w:t>
      </w:r>
    </w:p>
    <w:p w:rsidR="00CD2E13" w:rsidRPr="00132B12" w:rsidRDefault="00CD2E13" w:rsidP="00CD2E13">
      <w:pPr>
        <w:pStyle w:val="NormalHanging12a"/>
      </w:pPr>
      <w:r w:rsidRPr="00132B12">
        <w:t>–</w:t>
      </w:r>
      <w:r w:rsidRPr="00132B12">
        <w:tab/>
        <w:t>so zreteľom na stanoviská Výboru pre priemysel, výskum a energetiku a Výboru pre vnútorný trh a ochranu spotrebiteľa,</w:t>
      </w:r>
    </w:p>
    <w:p w:rsidR="00CD2E13" w:rsidRPr="00132B12" w:rsidRDefault="00CD2E13" w:rsidP="00CD2E13">
      <w:pPr>
        <w:pStyle w:val="NormalHanging12a"/>
      </w:pPr>
      <w:r w:rsidRPr="00132B12">
        <w:t>–</w:t>
      </w:r>
      <w:r w:rsidRPr="00132B12">
        <w:tab/>
        <w:t>so zreteľom na správu Výboru pre životné prostredie, verejné zdravie a bezpečnosť potravín a Výboru pre občianske slobody, spravodlivosť a vnútorné veci (A</w:t>
      </w:r>
      <w:r w:rsidRPr="006B3EC3">
        <w:t>9</w:t>
      </w:r>
      <w:r w:rsidRPr="00132B12">
        <w:t>-</w:t>
      </w:r>
      <w:r w:rsidRPr="006B3EC3">
        <w:t>0395</w:t>
      </w:r>
      <w:r w:rsidRPr="00132B12">
        <w:t>/</w:t>
      </w:r>
      <w:r w:rsidRPr="006B3EC3">
        <w:t>2023</w:t>
      </w:r>
      <w:r w:rsidRPr="00132B12">
        <w:t xml:space="preserve">), </w:t>
      </w:r>
    </w:p>
    <w:p w:rsidR="00CD2E13" w:rsidRPr="00132B12" w:rsidRDefault="00CD2E13" w:rsidP="00CD2E13">
      <w:pPr>
        <w:pStyle w:val="NormalHanging12a"/>
      </w:pPr>
      <w:r w:rsidRPr="006B3EC3">
        <w:t>1</w:t>
      </w:r>
      <w:r w:rsidRPr="00132B12">
        <w:t>.</w:t>
      </w:r>
      <w:r w:rsidRPr="00132B12">
        <w:tab/>
        <w:t>prijíma nasledujúcu pozíciu v prvom čítaní</w:t>
      </w:r>
      <w:r w:rsidR="00524C47" w:rsidRPr="00132B12">
        <w:rPr>
          <w:rStyle w:val="FootnoteReference"/>
        </w:rPr>
        <w:footnoteReference w:id="3"/>
      </w:r>
      <w:r w:rsidRPr="00132B12">
        <w:t>;</w:t>
      </w:r>
    </w:p>
    <w:p w:rsidR="00CD2E13" w:rsidRPr="00132B12" w:rsidRDefault="00CD2E13" w:rsidP="00CD2E13">
      <w:pPr>
        <w:pStyle w:val="NormalHanging12a"/>
      </w:pPr>
      <w:r w:rsidRPr="006B3EC3">
        <w:t>2</w:t>
      </w:r>
      <w:r w:rsidRPr="00132B12">
        <w:t>.</w:t>
      </w:r>
      <w:r w:rsidRPr="00132B12">
        <w:tab/>
        <w:t>žiada Komisiu, aby mu vec znovu predložila, ak nahrádza, podstatne mení alebo má v úmysle podstatne zmeniť svoj návrh;</w:t>
      </w:r>
    </w:p>
    <w:p w:rsidR="003236CA" w:rsidRPr="00132B12" w:rsidRDefault="00CD2E13" w:rsidP="00CD2E13">
      <w:pPr>
        <w:pStyle w:val="NormalHanging12a"/>
      </w:pPr>
      <w:r w:rsidRPr="006B3EC3">
        <w:t>3</w:t>
      </w:r>
      <w:r w:rsidRPr="00132B12">
        <w:t>.</w:t>
      </w:r>
      <w:r w:rsidRPr="00132B12">
        <w:tab/>
        <w:t>poveruje svoju predsedníčku, aby postúpila túto pozíciu Rade, Komisii a národným parlamentom.</w:t>
      </w:r>
    </w:p>
    <w:p w:rsidR="003236CA" w:rsidRPr="00132B12" w:rsidRDefault="003236CA" w:rsidP="00CD2E13">
      <w:pPr>
        <w:pStyle w:val="NormalHanging12a"/>
        <w:sectPr w:rsidR="003236CA" w:rsidRPr="00132B12" w:rsidSect="0002037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3236CA" w:rsidRPr="00132B12" w:rsidRDefault="003236CA" w:rsidP="003236CA">
      <w:pPr>
        <w:pStyle w:val="Institutionquiagit"/>
        <w:keepNext w:val="0"/>
        <w:spacing w:before="0" w:after="240"/>
        <w:outlineLvl w:val="0"/>
        <w:rPr>
          <w:b/>
        </w:rPr>
      </w:pPr>
      <w:r w:rsidRPr="00132B12">
        <w:rPr>
          <w:b/>
        </w:rPr>
        <w:t>P</w:t>
      </w:r>
      <w:r w:rsidRPr="006B3EC3">
        <w:rPr>
          <w:b/>
        </w:rPr>
        <w:t>9</w:t>
      </w:r>
      <w:r w:rsidRPr="00132B12">
        <w:rPr>
          <w:b/>
        </w:rPr>
        <w:t>_TC</w:t>
      </w:r>
      <w:r w:rsidRPr="006B3EC3">
        <w:rPr>
          <w:b/>
        </w:rPr>
        <w:t>1</w:t>
      </w:r>
      <w:r w:rsidRPr="00132B12">
        <w:rPr>
          <w:b/>
        </w:rPr>
        <w:t>-COD(</w:t>
      </w:r>
      <w:r w:rsidRPr="006B3EC3">
        <w:rPr>
          <w:b/>
        </w:rPr>
        <w:t>2022</w:t>
      </w:r>
      <w:r w:rsidRPr="00132B12">
        <w:rPr>
          <w:b/>
        </w:rPr>
        <w:t>)</w:t>
      </w:r>
      <w:r w:rsidRPr="006B3EC3">
        <w:rPr>
          <w:b/>
        </w:rPr>
        <w:t>0140</w:t>
      </w:r>
    </w:p>
    <w:p w:rsidR="003D15F8" w:rsidRPr="00A133E3" w:rsidRDefault="003236CA" w:rsidP="003D15F8">
      <w:pPr>
        <w:pStyle w:val="NormalHanging12a"/>
        <w:ind w:left="0" w:firstLine="0"/>
        <w:rPr>
          <w:b/>
          <w:szCs w:val="24"/>
          <w:lang w:eastAsia="en-US"/>
        </w:rPr>
      </w:pPr>
      <w:r w:rsidRPr="00132B12">
        <w:rPr>
          <w:b/>
        </w:rPr>
        <w:t xml:space="preserve">Pozícia Európskeho parlamentu prijatá v prvom čítaní </w:t>
      </w:r>
      <w:r w:rsidRPr="006B3EC3">
        <w:rPr>
          <w:b/>
        </w:rPr>
        <w:t>24</w:t>
      </w:r>
      <w:r w:rsidRPr="00132B12">
        <w:rPr>
          <w:b/>
        </w:rPr>
        <w:t xml:space="preserve">. apríla </w:t>
      </w:r>
      <w:r w:rsidRPr="006B3EC3">
        <w:rPr>
          <w:b/>
        </w:rPr>
        <w:t>2024</w:t>
      </w:r>
      <w:r w:rsidRPr="00132B12">
        <w:rPr>
          <w:b/>
        </w:rPr>
        <w:t xml:space="preserve"> na účely prijatia nariadenia Európskeho parlamentu a Rady (EÚ) </w:t>
      </w:r>
      <w:r w:rsidRPr="006B3EC3">
        <w:rPr>
          <w:b/>
        </w:rPr>
        <w:t>202</w:t>
      </w:r>
      <w:r w:rsidR="00A133E3">
        <w:rPr>
          <w:b/>
        </w:rPr>
        <w:t>5</w:t>
      </w:r>
      <w:r w:rsidRPr="00132B12">
        <w:rPr>
          <w:b/>
        </w:rPr>
        <w:t xml:space="preserve">/... </w:t>
      </w:r>
      <w:r w:rsidR="003D15F8" w:rsidRPr="00A133E3">
        <w:rPr>
          <w:b/>
          <w:szCs w:val="24"/>
          <w:lang w:eastAsia="en-US"/>
        </w:rPr>
        <w:t>o európskom priestore pre zdravotné údaje a o zmene smernice 2011/24/EÚ a nariadenia (EÚ) 2</w:t>
      </w:r>
      <w:bookmarkStart w:id="8" w:name="_GoBack"/>
      <w:bookmarkEnd w:id="8"/>
      <w:r w:rsidR="003D15F8" w:rsidRPr="00A133E3">
        <w:rPr>
          <w:b/>
          <w:szCs w:val="24"/>
          <w:lang w:eastAsia="en-US"/>
        </w:rPr>
        <w:t>024/2847</w:t>
      </w:r>
      <w:r w:rsidR="003D15F8" w:rsidRPr="00A133E3">
        <w:rPr>
          <w:b/>
          <w:szCs w:val="24"/>
          <w:vertAlign w:val="superscript"/>
          <w:lang w:eastAsia="en-US"/>
        </w:rPr>
        <w:t xml:space="preserve"> </w:t>
      </w:r>
    </w:p>
    <w:p w:rsidR="00A133E3" w:rsidRPr="00A133E3" w:rsidRDefault="00A133E3" w:rsidP="003D15F8">
      <w:pPr>
        <w:pStyle w:val="NormalHanging12a"/>
        <w:ind w:left="0" w:firstLine="0"/>
        <w:rPr>
          <w:b/>
          <w:i/>
          <w:szCs w:val="24"/>
          <w:lang w:eastAsia="en-US"/>
        </w:rPr>
      </w:pPr>
    </w:p>
    <w:p w:rsidR="00A133E3" w:rsidRPr="00536688" w:rsidRDefault="00A133E3" w:rsidP="00A133E3">
      <w:pPr>
        <w:pStyle w:val="AmNumberTabs"/>
        <w:rPr>
          <w:rFonts w:eastAsia="Calibri"/>
          <w:b w:val="0"/>
          <w:szCs w:val="22"/>
          <w:lang w:eastAsia="en-US"/>
        </w:rPr>
      </w:pPr>
      <w:r w:rsidRPr="00536688">
        <w:rPr>
          <w:b w:val="0"/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b w:val="0"/>
          <w:i/>
          <w:iCs/>
        </w:rPr>
        <w:t>nariadeniu</w:t>
      </w:r>
      <w:r w:rsidRPr="00536688">
        <w:rPr>
          <w:b w:val="0"/>
          <w:i/>
          <w:iCs/>
        </w:rPr>
        <w:t xml:space="preserve"> (EÚ) 202</w:t>
      </w:r>
      <w:r>
        <w:rPr>
          <w:b w:val="0"/>
          <w:i/>
          <w:iCs/>
        </w:rPr>
        <w:t>5</w:t>
      </w:r>
      <w:r w:rsidRPr="00536688">
        <w:rPr>
          <w:b w:val="0"/>
          <w:i/>
          <w:iCs/>
        </w:rPr>
        <w:t>/</w:t>
      </w:r>
      <w:r>
        <w:rPr>
          <w:b w:val="0"/>
          <w:i/>
          <w:iCs/>
        </w:rPr>
        <w:t>327</w:t>
      </w:r>
      <w:r w:rsidRPr="00536688">
        <w:rPr>
          <w:b w:val="0"/>
          <w:i/>
          <w:iCs/>
        </w:rPr>
        <w:t>.)</w:t>
      </w:r>
    </w:p>
    <w:p w:rsidR="00A133E3" w:rsidRPr="00A133E3" w:rsidRDefault="00A133E3" w:rsidP="003D15F8">
      <w:pPr>
        <w:pStyle w:val="NormalHanging12a"/>
        <w:ind w:left="0" w:firstLine="0"/>
        <w:rPr>
          <w:b/>
          <w:i/>
          <w:szCs w:val="24"/>
          <w:lang w:eastAsia="en-US"/>
        </w:rPr>
      </w:pPr>
    </w:p>
    <w:sectPr w:rsidR="00A133E3" w:rsidRPr="00A133E3" w:rsidSect="003D15F8">
      <w:footnotePr>
        <w:numRestart w:val="eachSect"/>
      </w:footnotePr>
      <w:pgSz w:w="11909" w:h="16834"/>
      <w:pgMar w:top="1134" w:right="1134" w:bottom="1134" w:left="1134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C59" w:rsidRPr="0002037F" w:rsidRDefault="00C40C59">
      <w:r w:rsidRPr="0002037F">
        <w:separator/>
      </w:r>
    </w:p>
  </w:endnote>
  <w:endnote w:type="continuationSeparator" w:id="0">
    <w:p w:rsidR="00C40C59" w:rsidRPr="0002037F" w:rsidRDefault="00C40C59">
      <w:r w:rsidRPr="0002037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C59" w:rsidRPr="0002037F" w:rsidRDefault="00C40C59">
      <w:r w:rsidRPr="0002037F">
        <w:separator/>
      </w:r>
    </w:p>
  </w:footnote>
  <w:footnote w:type="continuationSeparator" w:id="0">
    <w:p w:rsidR="00C40C59" w:rsidRPr="0002037F" w:rsidRDefault="00C40C59">
      <w:r w:rsidRPr="0002037F">
        <w:continuationSeparator/>
      </w:r>
    </w:p>
  </w:footnote>
  <w:footnote w:id="1">
    <w:p w:rsidR="00CD2E13" w:rsidRPr="003236CA" w:rsidRDefault="00CD2E13" w:rsidP="003236CA">
      <w:pPr>
        <w:pStyle w:val="FootnoteText"/>
        <w:tabs>
          <w:tab w:val="left" w:pos="709"/>
        </w:tabs>
        <w:ind w:left="709" w:hanging="709"/>
        <w:rPr>
          <w:sz w:val="24"/>
          <w:szCs w:val="24"/>
          <w:lang w:val="sk-SK"/>
        </w:rPr>
      </w:pPr>
      <w:r w:rsidRPr="003236CA">
        <w:rPr>
          <w:rStyle w:val="FootnoteReference"/>
          <w:sz w:val="24"/>
          <w:szCs w:val="24"/>
          <w:lang w:val="sk-SK"/>
        </w:rPr>
        <w:footnoteRef/>
      </w:r>
      <w:r w:rsidR="0002037F" w:rsidRPr="003236CA">
        <w:rPr>
          <w:sz w:val="24"/>
          <w:szCs w:val="24"/>
          <w:lang w:val="sk-SK"/>
        </w:rPr>
        <w:t xml:space="preserve"> </w:t>
      </w:r>
      <w:r w:rsidR="0002037F" w:rsidRPr="003236CA">
        <w:rPr>
          <w:sz w:val="24"/>
          <w:szCs w:val="24"/>
          <w:lang w:val="sk-SK"/>
        </w:rPr>
        <w:tab/>
      </w:r>
      <w:r w:rsidRPr="003236CA">
        <w:rPr>
          <w:sz w:val="24"/>
          <w:szCs w:val="24"/>
          <w:lang w:val="sk-SK"/>
        </w:rPr>
        <w:t>Ú. v. EÚ C </w:t>
      </w:r>
      <w:r w:rsidRPr="006B3EC3">
        <w:rPr>
          <w:sz w:val="24"/>
          <w:szCs w:val="24"/>
          <w:lang w:val="sk-SK"/>
        </w:rPr>
        <w:t>486</w:t>
      </w:r>
      <w:r w:rsidRPr="003236CA">
        <w:rPr>
          <w:sz w:val="24"/>
          <w:szCs w:val="24"/>
          <w:lang w:val="sk-SK"/>
        </w:rPr>
        <w:t xml:space="preserve">, </w:t>
      </w:r>
      <w:r w:rsidRPr="006B3EC3">
        <w:rPr>
          <w:sz w:val="24"/>
          <w:szCs w:val="24"/>
          <w:lang w:val="sk-SK"/>
        </w:rPr>
        <w:t>21</w:t>
      </w:r>
      <w:r w:rsidRPr="003236CA">
        <w:rPr>
          <w:sz w:val="24"/>
          <w:szCs w:val="24"/>
          <w:lang w:val="sk-SK"/>
        </w:rPr>
        <w:t>.</w:t>
      </w:r>
      <w:r w:rsidRPr="006B3EC3">
        <w:rPr>
          <w:sz w:val="24"/>
          <w:szCs w:val="24"/>
          <w:lang w:val="sk-SK"/>
        </w:rPr>
        <w:t>12</w:t>
      </w:r>
      <w:r w:rsidRPr="003236CA">
        <w:rPr>
          <w:sz w:val="24"/>
          <w:szCs w:val="24"/>
          <w:lang w:val="sk-SK"/>
        </w:rPr>
        <w:t>.</w:t>
      </w:r>
      <w:r w:rsidRPr="006B3EC3">
        <w:rPr>
          <w:sz w:val="24"/>
          <w:szCs w:val="24"/>
          <w:lang w:val="sk-SK"/>
        </w:rPr>
        <w:t>2022</w:t>
      </w:r>
      <w:r w:rsidRPr="003236CA">
        <w:rPr>
          <w:sz w:val="24"/>
          <w:szCs w:val="24"/>
          <w:lang w:val="sk-SK"/>
        </w:rPr>
        <w:t>, s. </w:t>
      </w:r>
      <w:r w:rsidRPr="006B3EC3">
        <w:rPr>
          <w:sz w:val="24"/>
          <w:szCs w:val="24"/>
          <w:lang w:val="sk-SK"/>
        </w:rPr>
        <w:t>123</w:t>
      </w:r>
      <w:r w:rsidRPr="003236CA">
        <w:rPr>
          <w:sz w:val="24"/>
          <w:szCs w:val="24"/>
          <w:lang w:val="sk-SK"/>
        </w:rPr>
        <w:t>.</w:t>
      </w:r>
    </w:p>
  </w:footnote>
  <w:footnote w:id="2">
    <w:p w:rsidR="00CD2E13" w:rsidRPr="003236CA" w:rsidRDefault="00CD2E13" w:rsidP="003236CA">
      <w:pPr>
        <w:pStyle w:val="FootnoteText"/>
        <w:tabs>
          <w:tab w:val="left" w:pos="709"/>
        </w:tabs>
        <w:ind w:left="709" w:hanging="709"/>
        <w:rPr>
          <w:sz w:val="24"/>
          <w:szCs w:val="24"/>
          <w:lang w:val="sk-SK"/>
        </w:rPr>
      </w:pPr>
      <w:r w:rsidRPr="003236CA">
        <w:rPr>
          <w:rStyle w:val="FootnoteReference"/>
          <w:sz w:val="24"/>
          <w:szCs w:val="24"/>
          <w:lang w:val="sk-SK"/>
        </w:rPr>
        <w:footnoteRef/>
      </w:r>
      <w:r w:rsidR="0002037F" w:rsidRPr="003236CA">
        <w:rPr>
          <w:sz w:val="24"/>
          <w:szCs w:val="24"/>
          <w:lang w:val="sk-SK"/>
        </w:rPr>
        <w:t xml:space="preserve"> </w:t>
      </w:r>
      <w:r w:rsidR="0002037F" w:rsidRPr="003236CA">
        <w:rPr>
          <w:sz w:val="24"/>
          <w:szCs w:val="24"/>
          <w:lang w:val="sk-SK"/>
        </w:rPr>
        <w:tab/>
      </w:r>
      <w:r w:rsidRPr="003236CA">
        <w:rPr>
          <w:sz w:val="24"/>
          <w:szCs w:val="24"/>
          <w:lang w:val="sk-SK"/>
        </w:rPr>
        <w:t xml:space="preserve">Ú. v. EÚ C </w:t>
      </w:r>
      <w:r w:rsidRPr="006B3EC3">
        <w:rPr>
          <w:sz w:val="24"/>
          <w:szCs w:val="24"/>
          <w:lang w:val="sk-SK"/>
        </w:rPr>
        <w:t>157</w:t>
      </w:r>
      <w:r w:rsidRPr="003236CA">
        <w:rPr>
          <w:sz w:val="24"/>
          <w:szCs w:val="24"/>
          <w:lang w:val="sk-SK"/>
        </w:rPr>
        <w:t xml:space="preserve">, </w:t>
      </w:r>
      <w:r w:rsidRPr="006B3EC3">
        <w:rPr>
          <w:sz w:val="24"/>
          <w:szCs w:val="24"/>
          <w:lang w:val="sk-SK"/>
        </w:rPr>
        <w:t>3</w:t>
      </w:r>
      <w:r w:rsidRPr="003236CA">
        <w:rPr>
          <w:sz w:val="24"/>
          <w:szCs w:val="24"/>
          <w:lang w:val="sk-SK"/>
        </w:rPr>
        <w:t>.</w:t>
      </w:r>
      <w:r w:rsidRPr="006B3EC3">
        <w:rPr>
          <w:sz w:val="24"/>
          <w:szCs w:val="24"/>
          <w:lang w:val="sk-SK"/>
        </w:rPr>
        <w:t>5</w:t>
      </w:r>
      <w:r w:rsidRPr="003236CA">
        <w:rPr>
          <w:sz w:val="24"/>
          <w:szCs w:val="24"/>
          <w:lang w:val="sk-SK"/>
        </w:rPr>
        <w:t>.</w:t>
      </w:r>
      <w:r w:rsidRPr="006B3EC3">
        <w:rPr>
          <w:sz w:val="24"/>
          <w:szCs w:val="24"/>
          <w:lang w:val="sk-SK"/>
        </w:rPr>
        <w:t>2023</w:t>
      </w:r>
      <w:r w:rsidRPr="003236CA">
        <w:rPr>
          <w:sz w:val="24"/>
          <w:szCs w:val="24"/>
          <w:lang w:val="sk-SK"/>
        </w:rPr>
        <w:t xml:space="preserve">, s. </w:t>
      </w:r>
      <w:r w:rsidRPr="006B3EC3">
        <w:rPr>
          <w:sz w:val="24"/>
          <w:szCs w:val="24"/>
          <w:lang w:val="sk-SK"/>
        </w:rPr>
        <w:t>64</w:t>
      </w:r>
      <w:r w:rsidRPr="003236CA">
        <w:rPr>
          <w:sz w:val="24"/>
          <w:szCs w:val="24"/>
          <w:lang w:val="sk-SK"/>
        </w:rPr>
        <w:t>.</w:t>
      </w:r>
    </w:p>
  </w:footnote>
  <w:footnote w:id="3">
    <w:p w:rsidR="00524C47" w:rsidRPr="00132B12" w:rsidRDefault="00524C47" w:rsidP="00132B12">
      <w:pPr>
        <w:pStyle w:val="FootnoteText"/>
        <w:ind w:left="567" w:hanging="567"/>
        <w:rPr>
          <w:sz w:val="24"/>
          <w:szCs w:val="24"/>
          <w:lang w:val="sk-SK"/>
        </w:rPr>
      </w:pPr>
      <w:r w:rsidRPr="00132B12">
        <w:rPr>
          <w:rStyle w:val="FootnoteReference"/>
          <w:sz w:val="24"/>
          <w:szCs w:val="24"/>
        </w:rPr>
        <w:footnoteRef/>
      </w:r>
      <w:r w:rsidRPr="00132B12">
        <w:rPr>
          <w:sz w:val="24"/>
          <w:szCs w:val="24"/>
          <w:lang w:val="sk-SK"/>
        </w:rPr>
        <w:t xml:space="preserve"> </w:t>
      </w:r>
      <w:r w:rsidRPr="00132B12">
        <w:rPr>
          <w:sz w:val="24"/>
          <w:szCs w:val="24"/>
          <w:lang w:val="sk-SK"/>
        </w:rPr>
        <w:tab/>
      </w:r>
      <w:r w:rsidRPr="00132B12">
        <w:rPr>
          <w:sz w:val="24"/>
          <w:szCs w:val="24"/>
          <w:lang w:val="sk-SK"/>
        </w:rPr>
        <w:t xml:space="preserve">Táto pozícia nahrádza pozmeňujúce návrhy </w:t>
      </w:r>
      <w:r>
        <w:rPr>
          <w:sz w:val="24"/>
          <w:szCs w:val="24"/>
          <w:lang w:val="sk-SK"/>
        </w:rPr>
        <w:t>prijaté</w:t>
      </w:r>
      <w:r w:rsidRPr="00132B12">
        <w:rPr>
          <w:sz w:val="24"/>
          <w:szCs w:val="24"/>
          <w:lang w:val="sk-SK"/>
        </w:rPr>
        <w:t xml:space="preserve"> </w:t>
      </w:r>
      <w:r w:rsidRPr="006B3EC3">
        <w:rPr>
          <w:sz w:val="24"/>
          <w:szCs w:val="24"/>
          <w:lang w:val="sk-SK"/>
        </w:rPr>
        <w:t>13</w:t>
      </w:r>
      <w:r>
        <w:rPr>
          <w:sz w:val="24"/>
          <w:szCs w:val="24"/>
          <w:lang w:val="sk-SK"/>
        </w:rPr>
        <w:t>. decembra</w:t>
      </w:r>
      <w:r w:rsidRPr="00132B12">
        <w:rPr>
          <w:sz w:val="24"/>
          <w:szCs w:val="24"/>
          <w:lang w:val="sk-SK"/>
        </w:rPr>
        <w:t xml:space="preserve"> </w:t>
      </w:r>
      <w:r w:rsidRPr="006B3EC3">
        <w:rPr>
          <w:sz w:val="24"/>
          <w:szCs w:val="24"/>
          <w:lang w:val="sk-SK"/>
        </w:rPr>
        <w:t>2023</w:t>
      </w:r>
      <w:r w:rsidRPr="00132B12">
        <w:rPr>
          <w:sz w:val="24"/>
          <w:szCs w:val="24"/>
          <w:lang w:val="sk-SK"/>
        </w:rPr>
        <w:t xml:space="preserve"> (</w:t>
      </w:r>
      <w:r>
        <w:rPr>
          <w:sz w:val="24"/>
          <w:szCs w:val="24"/>
          <w:lang w:val="sk-SK"/>
        </w:rPr>
        <w:t>Prijaté texty</w:t>
      </w:r>
      <w:r w:rsidRPr="00132B12">
        <w:rPr>
          <w:sz w:val="24"/>
          <w:szCs w:val="24"/>
          <w:lang w:val="sk-SK"/>
        </w:rPr>
        <w:t>, P</w:t>
      </w:r>
      <w:r w:rsidRPr="006B3EC3">
        <w:rPr>
          <w:sz w:val="24"/>
          <w:szCs w:val="24"/>
          <w:lang w:val="sk-SK"/>
        </w:rPr>
        <w:t>9</w:t>
      </w:r>
      <w:r w:rsidRPr="00132B12">
        <w:rPr>
          <w:sz w:val="24"/>
          <w:szCs w:val="24"/>
          <w:lang w:val="sk-SK"/>
        </w:rPr>
        <w:t>_TA(</w:t>
      </w:r>
      <w:r w:rsidRPr="006B3EC3">
        <w:rPr>
          <w:sz w:val="24"/>
          <w:szCs w:val="24"/>
          <w:lang w:val="sk-SK"/>
        </w:rPr>
        <w:t>2023</w:t>
      </w:r>
      <w:r w:rsidRPr="00132B12">
        <w:rPr>
          <w:sz w:val="24"/>
          <w:szCs w:val="24"/>
          <w:lang w:val="sk-SK"/>
        </w:rPr>
        <w:t>)</w:t>
      </w:r>
      <w:r w:rsidRPr="006B3EC3">
        <w:rPr>
          <w:sz w:val="24"/>
          <w:szCs w:val="24"/>
          <w:lang w:val="sk-SK"/>
        </w:rPr>
        <w:t>0462</w:t>
      </w:r>
      <w:r w:rsidRPr="00132B12">
        <w:rPr>
          <w:sz w:val="24"/>
          <w:szCs w:val="24"/>
          <w:lang w:val="sk-S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0B557495"/>
    <w:multiLevelType w:val="hybridMultilevel"/>
    <w:tmpl w:val="BFC2E872"/>
    <w:lvl w:ilvl="0" w:tplc="5C14FE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22D098" w:tentative="1">
      <w:start w:val="1"/>
      <w:numFmt w:val="lowerLetter"/>
      <w:lvlText w:val="%2."/>
      <w:lvlJc w:val="left"/>
      <w:pPr>
        <w:ind w:left="1440" w:hanging="360"/>
      </w:pPr>
    </w:lvl>
    <w:lvl w:ilvl="2" w:tplc="140A2012" w:tentative="1">
      <w:start w:val="1"/>
      <w:numFmt w:val="lowerRoman"/>
      <w:lvlText w:val="%3."/>
      <w:lvlJc w:val="right"/>
      <w:pPr>
        <w:ind w:left="2160" w:hanging="180"/>
      </w:pPr>
    </w:lvl>
    <w:lvl w:ilvl="3" w:tplc="B3C4F71A" w:tentative="1">
      <w:start w:val="1"/>
      <w:numFmt w:val="decimal"/>
      <w:lvlText w:val="%4."/>
      <w:lvlJc w:val="left"/>
      <w:pPr>
        <w:ind w:left="2880" w:hanging="360"/>
      </w:pPr>
    </w:lvl>
    <w:lvl w:ilvl="4" w:tplc="590C9D3C" w:tentative="1">
      <w:start w:val="1"/>
      <w:numFmt w:val="lowerLetter"/>
      <w:lvlText w:val="%5."/>
      <w:lvlJc w:val="left"/>
      <w:pPr>
        <w:ind w:left="3600" w:hanging="360"/>
      </w:pPr>
    </w:lvl>
    <w:lvl w:ilvl="5" w:tplc="A7B8B4D2" w:tentative="1">
      <w:start w:val="1"/>
      <w:numFmt w:val="lowerRoman"/>
      <w:lvlText w:val="%6."/>
      <w:lvlJc w:val="right"/>
      <w:pPr>
        <w:ind w:left="4320" w:hanging="180"/>
      </w:pPr>
    </w:lvl>
    <w:lvl w:ilvl="6" w:tplc="4B80E9A2" w:tentative="1">
      <w:start w:val="1"/>
      <w:numFmt w:val="decimal"/>
      <w:lvlText w:val="%7."/>
      <w:lvlJc w:val="left"/>
      <w:pPr>
        <w:ind w:left="5040" w:hanging="360"/>
      </w:pPr>
    </w:lvl>
    <w:lvl w:ilvl="7" w:tplc="B2AE6914" w:tentative="1">
      <w:start w:val="1"/>
      <w:numFmt w:val="lowerLetter"/>
      <w:lvlText w:val="%8."/>
      <w:lvlJc w:val="left"/>
      <w:pPr>
        <w:ind w:left="5760" w:hanging="360"/>
      </w:pPr>
    </w:lvl>
    <w:lvl w:ilvl="8" w:tplc="82B82D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A55BA6"/>
    <w:multiLevelType w:val="hybridMultilevel"/>
    <w:tmpl w:val="1A52280C"/>
    <w:lvl w:ilvl="0" w:tplc="1598D0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9EBAEC" w:tentative="1">
      <w:start w:val="1"/>
      <w:numFmt w:val="lowerLetter"/>
      <w:lvlText w:val="%2."/>
      <w:lvlJc w:val="left"/>
      <w:pPr>
        <w:ind w:left="1440" w:hanging="360"/>
      </w:pPr>
    </w:lvl>
    <w:lvl w:ilvl="2" w:tplc="99083CD4" w:tentative="1">
      <w:start w:val="1"/>
      <w:numFmt w:val="lowerRoman"/>
      <w:lvlText w:val="%3."/>
      <w:lvlJc w:val="right"/>
      <w:pPr>
        <w:ind w:left="2160" w:hanging="180"/>
      </w:pPr>
    </w:lvl>
    <w:lvl w:ilvl="3" w:tplc="EF4A7E66" w:tentative="1">
      <w:start w:val="1"/>
      <w:numFmt w:val="decimal"/>
      <w:lvlText w:val="%4."/>
      <w:lvlJc w:val="left"/>
      <w:pPr>
        <w:ind w:left="2880" w:hanging="360"/>
      </w:pPr>
    </w:lvl>
    <w:lvl w:ilvl="4" w:tplc="A894A358" w:tentative="1">
      <w:start w:val="1"/>
      <w:numFmt w:val="lowerLetter"/>
      <w:lvlText w:val="%5."/>
      <w:lvlJc w:val="left"/>
      <w:pPr>
        <w:ind w:left="3600" w:hanging="360"/>
      </w:pPr>
    </w:lvl>
    <w:lvl w:ilvl="5" w:tplc="DE2825E2" w:tentative="1">
      <w:start w:val="1"/>
      <w:numFmt w:val="lowerRoman"/>
      <w:lvlText w:val="%6."/>
      <w:lvlJc w:val="right"/>
      <w:pPr>
        <w:ind w:left="4320" w:hanging="180"/>
      </w:pPr>
    </w:lvl>
    <w:lvl w:ilvl="6" w:tplc="CA7A3814" w:tentative="1">
      <w:start w:val="1"/>
      <w:numFmt w:val="decimal"/>
      <w:lvlText w:val="%7."/>
      <w:lvlJc w:val="left"/>
      <w:pPr>
        <w:ind w:left="5040" w:hanging="360"/>
      </w:pPr>
    </w:lvl>
    <w:lvl w:ilvl="7" w:tplc="9FD07D4C" w:tentative="1">
      <w:start w:val="1"/>
      <w:numFmt w:val="lowerLetter"/>
      <w:lvlText w:val="%8."/>
      <w:lvlJc w:val="left"/>
      <w:pPr>
        <w:ind w:left="5760" w:hanging="360"/>
      </w:pPr>
    </w:lvl>
    <w:lvl w:ilvl="8" w:tplc="65FAC4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501B63EA"/>
    <w:multiLevelType w:val="hybridMultilevel"/>
    <w:tmpl w:val="BEC06646"/>
    <w:lvl w:ilvl="0" w:tplc="C0FE4342">
      <w:start w:val="1"/>
      <w:numFmt w:val="decimal"/>
      <w:lvlText w:val="%1."/>
      <w:lvlJc w:val="left"/>
      <w:pPr>
        <w:ind w:left="1210" w:hanging="85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7B7007"/>
    <w:multiLevelType w:val="hybridMultilevel"/>
    <w:tmpl w:val="36D4F3FC"/>
    <w:lvl w:ilvl="0" w:tplc="BD1EC50E">
      <w:numFmt w:val="bullet"/>
      <w:lvlText w:val="–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3"/>
  </w:num>
  <w:num w:numId="45">
    <w:abstractNumId w:val="12"/>
  </w:num>
  <w:num w:numId="46">
    <w:abstractNumId w:val="11"/>
  </w:num>
  <w:num w:numId="47">
    <w:abstractNumId w:val="15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5/2023"/>
    <w:docVar w:name="dvlangue" w:val="SK"/>
    <w:docVar w:name="dvnumam" w:val="734"/>
    <w:docVar w:name="dvpe" w:val="742.387"/>
    <w:docVar w:name="dvrapporteur" w:val="Spravodajcovia: "/>
    <w:docVar w:name="dvstar" w:val="***I"/>
    <w:docVar w:name="dvtitre" w:val="Legislatívne uznesenie Európskeho parlamentu z xx. apríla 2024 o návrhu nariadenia Európskeho parlamentu a Rady o európskom priestore pre zdravotné údaje(COM(2022)0197 – C9-0167/2022 – 2022/0140(COD))"/>
  </w:docVars>
  <w:rsids>
    <w:rsidRoot w:val="00C40C59"/>
    <w:rsid w:val="00002272"/>
    <w:rsid w:val="0002037F"/>
    <w:rsid w:val="00064002"/>
    <w:rsid w:val="000677B9"/>
    <w:rsid w:val="000831BA"/>
    <w:rsid w:val="000A42CC"/>
    <w:rsid w:val="000E7DD9"/>
    <w:rsid w:val="0010095E"/>
    <w:rsid w:val="00125B37"/>
    <w:rsid w:val="00132B12"/>
    <w:rsid w:val="00187494"/>
    <w:rsid w:val="001A2C55"/>
    <w:rsid w:val="001F32AE"/>
    <w:rsid w:val="00200965"/>
    <w:rsid w:val="002767FF"/>
    <w:rsid w:val="002B18FE"/>
    <w:rsid w:val="002B5493"/>
    <w:rsid w:val="003236CA"/>
    <w:rsid w:val="00343214"/>
    <w:rsid w:val="00361C00"/>
    <w:rsid w:val="00395FA1"/>
    <w:rsid w:val="003D15F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C47"/>
    <w:rsid w:val="00545827"/>
    <w:rsid w:val="00560270"/>
    <w:rsid w:val="005C2568"/>
    <w:rsid w:val="005C5EAA"/>
    <w:rsid w:val="006037C0"/>
    <w:rsid w:val="006631B6"/>
    <w:rsid w:val="00680577"/>
    <w:rsid w:val="006B3EC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6B4"/>
    <w:rsid w:val="00911544"/>
    <w:rsid w:val="00930C23"/>
    <w:rsid w:val="0093193B"/>
    <w:rsid w:val="009509D8"/>
    <w:rsid w:val="00950B64"/>
    <w:rsid w:val="00981893"/>
    <w:rsid w:val="00A133E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0C59"/>
    <w:rsid w:val="00C61C0C"/>
    <w:rsid w:val="00C941CB"/>
    <w:rsid w:val="00CC2357"/>
    <w:rsid w:val="00CD2E13"/>
    <w:rsid w:val="00CF071A"/>
    <w:rsid w:val="00D058B8"/>
    <w:rsid w:val="00D21C4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4519"/>
    <w:rsid w:val="00F04346"/>
    <w:rsid w:val="00F075DC"/>
    <w:rsid w:val="00F149E9"/>
    <w:rsid w:val="00F5134D"/>
    <w:rsid w:val="00F74202"/>
    <w:rsid w:val="00F87713"/>
    <w:rsid w:val="00FB4360"/>
    <w:rsid w:val="00FD0C70"/>
    <w:rsid w:val="00FE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40213C"/>
  <w15:chartTrackingRefBased/>
  <w15:docId w15:val="{7C43344D-DA60-4AD3-B5B1-40078D092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D2E1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CD2E1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CD2E1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CD2E1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D2E1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D2E13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CD2E13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CD2E13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CD2E13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CD2E1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D2E1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D2E1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D2E13"/>
    <w:pPr>
      <w:spacing w:after="120"/>
    </w:pPr>
  </w:style>
  <w:style w:type="paragraph" w:customStyle="1" w:styleId="PageHeading">
    <w:name w:val="PageHeading"/>
    <w:basedOn w:val="Normal"/>
    <w:rsid w:val="00CD2E1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D2E13"/>
    <w:rPr>
      <w:b/>
    </w:rPr>
  </w:style>
  <w:style w:type="paragraph" w:customStyle="1" w:styleId="NormalBold12a">
    <w:name w:val="NormalBold12a"/>
    <w:basedOn w:val="Normal"/>
    <w:rsid w:val="00CD2E13"/>
    <w:pPr>
      <w:spacing w:after="240"/>
    </w:pPr>
    <w:rPr>
      <w:b/>
    </w:rPr>
  </w:style>
  <w:style w:type="paragraph" w:customStyle="1" w:styleId="AmJustText">
    <w:name w:val="AmJustText"/>
    <w:basedOn w:val="Normal"/>
    <w:rsid w:val="00CD2E1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D2E1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D2E13"/>
    <w:pPr>
      <w:spacing w:after="480"/>
      <w:ind w:left="1417"/>
    </w:pPr>
  </w:style>
  <w:style w:type="paragraph" w:customStyle="1" w:styleId="CoverNormal">
    <w:name w:val="CoverNormal"/>
    <w:basedOn w:val="Normal"/>
    <w:rsid w:val="00CD2E13"/>
    <w:pPr>
      <w:ind w:left="1418"/>
    </w:pPr>
  </w:style>
  <w:style w:type="paragraph" w:customStyle="1" w:styleId="AmCrossRef">
    <w:name w:val="AmCrossRef"/>
    <w:basedOn w:val="Normal"/>
    <w:rsid w:val="00CD2E1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D2E1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D2E1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D2E1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D2E1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D2E13"/>
    <w:pPr>
      <w:spacing w:before="240" w:after="1200"/>
    </w:pPr>
  </w:style>
  <w:style w:type="paragraph" w:styleId="Header">
    <w:name w:val="header"/>
    <w:basedOn w:val="Normal"/>
    <w:link w:val="HeaderChar"/>
    <w:rsid w:val="00CD2E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D2E13"/>
    <w:rPr>
      <w:sz w:val="24"/>
      <w:lang w:val="sk-SK"/>
    </w:rPr>
  </w:style>
  <w:style w:type="paragraph" w:customStyle="1" w:styleId="AmOrLang">
    <w:name w:val="AmOrLang"/>
    <w:basedOn w:val="Normal"/>
    <w:rsid w:val="00CD2E1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D2E1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D2E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D2E13"/>
    <w:pPr>
      <w:spacing w:before="240"/>
    </w:pPr>
    <w:rPr>
      <w:b/>
    </w:rPr>
  </w:style>
  <w:style w:type="paragraph" w:customStyle="1" w:styleId="EPBody">
    <w:name w:val="EPBody"/>
    <w:basedOn w:val="Normal"/>
    <w:rsid w:val="00CD2E1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D2E1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D2E13"/>
    <w:pPr>
      <w:spacing w:before="480" w:after="240"/>
    </w:pPr>
  </w:style>
  <w:style w:type="paragraph" w:customStyle="1" w:styleId="Lgendesigne">
    <w:name w:val="Légende signe"/>
    <w:basedOn w:val="Normal"/>
    <w:rsid w:val="00CD2E1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D2E1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D2E13"/>
    <w:rPr>
      <w:sz w:val="18"/>
    </w:rPr>
  </w:style>
  <w:style w:type="paragraph" w:styleId="BalloonText">
    <w:name w:val="Balloon Text"/>
    <w:basedOn w:val="Normal"/>
    <w:link w:val="BalloonTextChar"/>
    <w:unhideWhenUsed/>
    <w:rsid w:val="00CD2E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2E13"/>
    <w:rPr>
      <w:rFonts w:ascii="Segoe UI" w:hAnsi="Segoe UI" w:cs="Segoe UI"/>
      <w:sz w:val="18"/>
      <w:szCs w:val="18"/>
      <w:lang w:val="sk-SK"/>
    </w:rPr>
  </w:style>
  <w:style w:type="paragraph" w:customStyle="1" w:styleId="Normal24a">
    <w:name w:val="Normal24a"/>
    <w:basedOn w:val="Normal"/>
    <w:rsid w:val="00CD2E13"/>
    <w:pPr>
      <w:spacing w:after="480"/>
    </w:pPr>
  </w:style>
  <w:style w:type="paragraph" w:customStyle="1" w:styleId="NormalBoldCenter">
    <w:name w:val="NormalBoldCenter"/>
    <w:basedOn w:val="Normal"/>
    <w:rsid w:val="00CD2E13"/>
    <w:pPr>
      <w:jc w:val="center"/>
    </w:pPr>
    <w:rPr>
      <w:b/>
    </w:rPr>
  </w:style>
  <w:style w:type="character" w:customStyle="1" w:styleId="Sup">
    <w:name w:val="Sup"/>
    <w:uiPriority w:val="1"/>
    <w:qFormat/>
    <w:rsid w:val="00CD2E13"/>
    <w:rPr>
      <w:vertAlign w:val="superscript"/>
    </w:rPr>
  </w:style>
  <w:style w:type="paragraph" w:customStyle="1" w:styleId="NormalBoldItalicCenter6a">
    <w:name w:val="NormalBoldItalicCenter6a"/>
    <w:basedOn w:val="Normal6a"/>
    <w:qFormat/>
    <w:rsid w:val="00CD2E13"/>
    <w:pPr>
      <w:jc w:val="center"/>
    </w:pPr>
    <w:rPr>
      <w:b/>
      <w:i/>
    </w:rPr>
  </w:style>
  <w:style w:type="character" w:styleId="CommentReference">
    <w:name w:val="annotation reference"/>
    <w:basedOn w:val="DefaultParagraphFont"/>
    <w:rsid w:val="00CD2E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D2E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D2E13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D2E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D2E13"/>
    <w:rPr>
      <w:b/>
      <w:bCs/>
      <w:lang w:val="sk-SK"/>
    </w:rPr>
  </w:style>
  <w:style w:type="paragraph" w:styleId="Revision">
    <w:name w:val="Revision"/>
    <w:hidden/>
    <w:uiPriority w:val="99"/>
    <w:semiHidden/>
    <w:rsid w:val="00CD2E13"/>
    <w:rPr>
      <w:sz w:val="24"/>
      <w:lang w:val="sk-SK"/>
    </w:rPr>
  </w:style>
  <w:style w:type="paragraph" w:customStyle="1" w:styleId="Normal12a">
    <w:name w:val="Normal12a"/>
    <w:basedOn w:val="Normal"/>
    <w:rsid w:val="00CD2E13"/>
    <w:pPr>
      <w:spacing w:after="240"/>
    </w:pPr>
  </w:style>
  <w:style w:type="paragraph" w:customStyle="1" w:styleId="RollCallVotes">
    <w:name w:val="RollCallVotes"/>
    <w:basedOn w:val="Normal"/>
    <w:rsid w:val="00CD2E1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D2E1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D2E1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D2E13"/>
    <w:pPr>
      <w:spacing w:before="120" w:after="120"/>
    </w:pPr>
    <w:rPr>
      <w:snapToGrid w:val="0"/>
      <w:sz w:val="16"/>
      <w:lang w:eastAsia="en-US"/>
    </w:rPr>
  </w:style>
  <w:style w:type="character" w:customStyle="1" w:styleId="NormalBoldChar">
    <w:name w:val="NormalBold Char"/>
    <w:basedOn w:val="DefaultParagraphFont"/>
    <w:link w:val="NormalBold"/>
    <w:locked/>
    <w:rsid w:val="00CD2E13"/>
    <w:rPr>
      <w:b/>
      <w:sz w:val="24"/>
      <w:lang w:val="sk-SK"/>
    </w:rPr>
  </w:style>
  <w:style w:type="paragraph" w:customStyle="1" w:styleId="CoverBold">
    <w:name w:val="CoverBold"/>
    <w:basedOn w:val="Normal"/>
    <w:rsid w:val="00CD2E13"/>
    <w:pPr>
      <w:ind w:left="1417"/>
    </w:pPr>
    <w:rPr>
      <w:b/>
    </w:rPr>
  </w:style>
  <w:style w:type="character" w:customStyle="1" w:styleId="Normal12Char">
    <w:name w:val="Normal12 Char"/>
    <w:basedOn w:val="DefaultParagraphFont"/>
    <w:link w:val="Normal12"/>
    <w:locked/>
    <w:rsid w:val="00CD2E13"/>
    <w:rPr>
      <w:noProof/>
      <w:sz w:val="24"/>
    </w:rPr>
  </w:style>
  <w:style w:type="paragraph" w:customStyle="1" w:styleId="Normal12">
    <w:name w:val="Normal12"/>
    <w:basedOn w:val="Normal"/>
    <w:link w:val="Normal12Char"/>
    <w:rsid w:val="00CD2E13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CD2E13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CD2E13"/>
    <w:pPr>
      <w:spacing w:after="120"/>
    </w:pPr>
  </w:style>
  <w:style w:type="paragraph" w:customStyle="1" w:styleId="Normal12Italic">
    <w:name w:val="Normal12Italic"/>
    <w:basedOn w:val="Normal12"/>
    <w:rsid w:val="00CD2E13"/>
    <w:rPr>
      <w:i/>
    </w:rPr>
  </w:style>
  <w:style w:type="character" w:customStyle="1" w:styleId="AmNumberTabsChar">
    <w:name w:val="AmNumberTabs Char"/>
    <w:basedOn w:val="DefaultParagraphFont"/>
    <w:link w:val="AmNumberTabs"/>
    <w:rsid w:val="00CD2E13"/>
    <w:rPr>
      <w:b/>
      <w:sz w:val="24"/>
      <w:lang w:val="sk-SK"/>
    </w:rPr>
  </w:style>
  <w:style w:type="paragraph" w:customStyle="1" w:styleId="EntPE">
    <w:name w:val="EntPE"/>
    <w:basedOn w:val="Normal12"/>
    <w:rsid w:val="00CD2E13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CD2E1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CD2E13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CD2E13"/>
    <w:pPr>
      <w:spacing w:before="240" w:after="240"/>
      <w:jc w:val="right"/>
    </w:pPr>
    <w:rPr>
      <w:noProof/>
      <w:szCs w:val="24"/>
    </w:rPr>
  </w:style>
  <w:style w:type="paragraph" w:customStyle="1" w:styleId="PageHeadingNotTOC">
    <w:name w:val="PageHeadingNotTOC"/>
    <w:basedOn w:val="Normal"/>
    <w:rsid w:val="00CD2E1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D2E13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JustificationTitle">
    <w:name w:val="JustificationTitle"/>
    <w:basedOn w:val="Normal"/>
    <w:next w:val="Normal12"/>
    <w:rsid w:val="00CD2E13"/>
    <w:pPr>
      <w:keepNext/>
      <w:spacing w:before="240" w:after="240"/>
      <w:jc w:val="center"/>
    </w:pPr>
    <w:rPr>
      <w:i/>
      <w:noProof/>
    </w:rPr>
  </w:style>
  <w:style w:type="character" w:styleId="Hyperlink">
    <w:name w:val="Hyperlink"/>
    <w:basedOn w:val="DefaultParagraphFont"/>
    <w:rsid w:val="00CD2E13"/>
    <w:rPr>
      <w:color w:val="0563C1" w:themeColor="hyperlink"/>
      <w:u w:val="single"/>
    </w:rPr>
  </w:style>
  <w:style w:type="paragraph" w:customStyle="1" w:styleId="NormalStrikethrough">
    <w:name w:val="Normal + Strikethrough"/>
    <w:basedOn w:val="CoverNormal24a"/>
    <w:rsid w:val="00CD2E13"/>
    <w:rPr>
      <w:strike/>
      <w:szCs w:val="24"/>
    </w:rPr>
  </w:style>
  <w:style w:type="character" w:customStyle="1" w:styleId="NormalBold12bChar">
    <w:name w:val="NormalBold12b Char"/>
    <w:basedOn w:val="AmNumberTabsChar"/>
    <w:link w:val="NormalBold12b"/>
    <w:rsid w:val="00CD2E13"/>
    <w:rPr>
      <w:b/>
      <w:sz w:val="24"/>
      <w:lang w:val="sk-SK"/>
    </w:rPr>
  </w:style>
  <w:style w:type="character" w:styleId="Emphasis">
    <w:name w:val="Emphasis"/>
    <w:basedOn w:val="DefaultParagraphFont"/>
    <w:uiPriority w:val="20"/>
    <w:qFormat/>
    <w:rsid w:val="00CD2E13"/>
    <w:rPr>
      <w:i/>
      <w:iCs/>
    </w:rPr>
  </w:style>
  <w:style w:type="character" w:styleId="FollowedHyperlink">
    <w:name w:val="FollowedHyperlink"/>
    <w:basedOn w:val="DefaultParagraphFont"/>
    <w:uiPriority w:val="99"/>
    <w:unhideWhenUsed/>
    <w:rsid w:val="00CD2E13"/>
    <w:rPr>
      <w:color w:val="954F72" w:themeColor="followedHyperlink"/>
      <w:u w:val="single"/>
    </w:rPr>
  </w:style>
  <w:style w:type="character" w:customStyle="1" w:styleId="FooterChar1">
    <w:name w:val="Footer Char1"/>
    <w:basedOn w:val="DefaultParagraphFont"/>
    <w:semiHidden/>
    <w:rsid w:val="00CD2E13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CD2E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E13"/>
    <w:rPr>
      <w:sz w:val="24"/>
      <w:lang w:val="sk-SK"/>
    </w:rPr>
  </w:style>
  <w:style w:type="paragraph" w:customStyle="1" w:styleId="AmDocTypeTab">
    <w:name w:val="AmDocTypeTab"/>
    <w:basedOn w:val="Normal"/>
    <w:rsid w:val="003236C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3236CA"/>
    <w:pPr>
      <w:spacing w:after="240"/>
      <w:jc w:val="center"/>
    </w:pPr>
  </w:style>
  <w:style w:type="paragraph" w:customStyle="1" w:styleId="AmDateTab">
    <w:name w:val="AmDateTab"/>
    <w:basedOn w:val="Normal"/>
    <w:rsid w:val="003236C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3236C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3236CA"/>
  </w:style>
  <w:style w:type="paragraph" w:customStyle="1" w:styleId="SignaturePersonne">
    <w:name w:val="Signature Personne"/>
    <w:basedOn w:val="Normal"/>
    <w:rsid w:val="003236CA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3236CA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3236CA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3236CA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3236CA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3236CA"/>
    <w:pPr>
      <w:keepLines/>
      <w:widowControl w:val="0"/>
      <w:ind w:left="850" w:hanging="850"/>
    </w:pPr>
    <w:rPr>
      <w:sz w:val="24"/>
      <w:lang w:val="sk-SK" w:eastAsia="en-US"/>
    </w:rPr>
  </w:style>
  <w:style w:type="character" w:customStyle="1" w:styleId="Footer2">
    <w:name w:val="Footer2"/>
    <w:rsid w:val="003236CA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  <w:rsid w:val="003236CA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3236CA"/>
    <w:pPr>
      <w:widowControl w:val="0"/>
      <w:spacing w:before="120" w:after="120" w:line="360" w:lineRule="auto"/>
    </w:pPr>
    <w:rPr>
      <w:sz w:val="24"/>
      <w:lang w:val="sk-SK" w:eastAsia="en-US"/>
    </w:rPr>
  </w:style>
  <w:style w:type="paragraph" w:customStyle="1" w:styleId="Formuledadoption">
    <w:name w:val="Formule d'adoption"/>
    <w:basedOn w:val="Normal"/>
    <w:next w:val="Normal"/>
    <w:rsid w:val="003236CA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3236CA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3236CA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3236CA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3236CA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3236CA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3236CA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3236CA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3236CA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236CA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3236CA"/>
    <w:rPr>
      <w:color w:val="2B579A"/>
      <w:shd w:val="clear" w:color="auto" w:fill="E1DFDD"/>
    </w:rPr>
  </w:style>
  <w:style w:type="paragraph" w:customStyle="1" w:styleId="HeadingDocType24a">
    <w:name w:val="HeadingDocType24a"/>
    <w:basedOn w:val="Normal"/>
    <w:rsid w:val="003D15F8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3D15F8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3D15F8"/>
    <w:pPr>
      <w:jc w:val="center"/>
    </w:pPr>
  </w:style>
  <w:style w:type="paragraph" w:customStyle="1" w:styleId="LineSingle">
    <w:name w:val="LineSingle"/>
    <w:basedOn w:val="Normal"/>
    <w:next w:val="Normal"/>
    <w:rsid w:val="003D15F8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3D15F8"/>
    <w:pPr>
      <w:spacing w:before="240" w:after="24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15F8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3D15F8"/>
    <w:rPr>
      <w:color w:val="2B579A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D15F8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D15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DD369-E218-4453-87AB-48E5F2A99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2025-03-12T15:53:00Z</dcterms:created>
  <dcterms:modified xsi:type="dcterms:W3CDTF">2025-03-12T15:53:00Z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P9_TA(2024)0331_</vt:lpwstr>
  </property>
  <property fmtid="{D5CDD505-2E9C-101B-9397-08002B2CF9AE}" pid="4" name="&lt;Type&gt;">
    <vt:lpwstr>RR</vt:lpwstr>
  </property>
</Properties>
</file>