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31764" w14:paraId="4A4623E0" w14:textId="77777777" w:rsidTr="0010095E">
        <w:trPr>
          <w:trHeight w:hRule="exact" w:val="1418"/>
        </w:trPr>
        <w:tc>
          <w:tcPr>
            <w:tcW w:w="6804" w:type="dxa"/>
            <w:shd w:val="clear" w:color="auto" w:fill="auto"/>
            <w:vAlign w:val="center"/>
          </w:tcPr>
          <w:p w14:paraId="1F3C0577" w14:textId="77777777" w:rsidR="00751A4A" w:rsidRPr="00431764" w:rsidRDefault="00535318" w:rsidP="0010095E">
            <w:pPr>
              <w:pStyle w:val="EPName"/>
            </w:pPr>
            <w:r w:rsidRPr="00431764">
              <w:t>Europa-Parlamentet</w:t>
            </w:r>
          </w:p>
          <w:p w14:paraId="5CAA75E1" w14:textId="77777777" w:rsidR="00751A4A" w:rsidRPr="00431764" w:rsidRDefault="00817416" w:rsidP="00756632">
            <w:pPr>
              <w:pStyle w:val="EPTerm"/>
              <w:rPr>
                <w:rStyle w:val="HideTWBExt"/>
                <w:noProof w:val="0"/>
                <w:vanish w:val="0"/>
                <w:color w:val="auto"/>
              </w:rPr>
            </w:pPr>
            <w:r w:rsidRPr="00431764">
              <w:t>2019-2024</w:t>
            </w:r>
          </w:p>
        </w:tc>
        <w:tc>
          <w:tcPr>
            <w:tcW w:w="2268" w:type="dxa"/>
            <w:shd w:val="clear" w:color="auto" w:fill="auto"/>
          </w:tcPr>
          <w:p w14:paraId="127915CD" w14:textId="77777777" w:rsidR="00751A4A" w:rsidRPr="00431764" w:rsidRDefault="00187494" w:rsidP="0010095E">
            <w:pPr>
              <w:pStyle w:val="EPLogo"/>
            </w:pPr>
            <w:r w:rsidRPr="00431764">
              <w:rPr>
                <w:noProof/>
                <w:lang w:val="pl-PL" w:eastAsia="pl-PL"/>
              </w:rPr>
              <w:drawing>
                <wp:inline distT="0" distB="0" distL="0" distR="0" wp14:anchorId="3EFA6AAC" wp14:editId="27DB1F7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FDB305F" w14:textId="77777777" w:rsidR="00D058B8" w:rsidRPr="00431764" w:rsidRDefault="00D058B8" w:rsidP="004C5D52">
      <w:pPr>
        <w:pStyle w:val="LineTop"/>
      </w:pPr>
    </w:p>
    <w:p w14:paraId="16DBB136" w14:textId="77777777" w:rsidR="00680577" w:rsidRPr="00431764" w:rsidRDefault="00535318" w:rsidP="00680577">
      <w:pPr>
        <w:pStyle w:val="EPBodyTA1"/>
      </w:pPr>
      <w:r w:rsidRPr="00431764">
        <w:t>VEDTAGNE TEKSTER</w:t>
      </w:r>
    </w:p>
    <w:p w14:paraId="052A3279" w14:textId="77777777" w:rsidR="00D058B8" w:rsidRPr="00431764" w:rsidRDefault="00D058B8" w:rsidP="00D058B8">
      <w:pPr>
        <w:pStyle w:val="LineBottom"/>
      </w:pPr>
    </w:p>
    <w:p w14:paraId="3EDEF4DE" w14:textId="346BA0B7" w:rsidR="00535318" w:rsidRPr="00143908" w:rsidRDefault="00535318" w:rsidP="00535318">
      <w:pPr>
        <w:pStyle w:val="ATHeading1"/>
      </w:pPr>
      <w:bookmarkStart w:id="0" w:name="TANumber"/>
      <w:r w:rsidRPr="00143908">
        <w:t>P9_</w:t>
      </w:r>
      <w:proofErr w:type="gramStart"/>
      <w:r w:rsidRPr="00143908">
        <w:t>TA(</w:t>
      </w:r>
      <w:proofErr w:type="gramEnd"/>
      <w:r w:rsidRPr="00143908">
        <w:t>2024)0</w:t>
      </w:r>
      <w:r w:rsidR="007C4AC0">
        <w:t>332</w:t>
      </w:r>
      <w:bookmarkEnd w:id="0"/>
    </w:p>
    <w:p w14:paraId="0A64C93C" w14:textId="77777777" w:rsidR="00535318" w:rsidRPr="00143908" w:rsidRDefault="00535318" w:rsidP="00535318">
      <w:pPr>
        <w:pStyle w:val="ATHeading2"/>
      </w:pPr>
      <w:bookmarkStart w:id="1" w:name="title"/>
      <w:r w:rsidRPr="00143908">
        <w:t>Mobilisering af Den Europæiske Fond for Tilpasning til Globaliseringen: Ansøgning EGF/2023/004 DK Danish Crown - Danmark</w:t>
      </w:r>
      <w:bookmarkEnd w:id="1"/>
    </w:p>
    <w:p w14:paraId="5788BB71" w14:textId="77777777" w:rsidR="00535318" w:rsidRPr="00431764" w:rsidRDefault="00535318" w:rsidP="00535318">
      <w:pPr>
        <w:rPr>
          <w:i/>
          <w:vanish/>
        </w:rPr>
      </w:pPr>
      <w:r w:rsidRPr="00431764">
        <w:rPr>
          <w:i/>
        </w:rPr>
        <w:fldChar w:fldCharType="begin"/>
      </w:r>
      <w:r w:rsidRPr="00431764">
        <w:rPr>
          <w:i/>
        </w:rPr>
        <w:instrText xml:space="preserve"> TC"(</w:instrText>
      </w:r>
      <w:bookmarkStart w:id="2" w:name="DocNumber"/>
      <w:r w:rsidRPr="00431764">
        <w:rPr>
          <w:i/>
        </w:rPr>
        <w:instrText>A9-0171/2024</w:instrText>
      </w:r>
      <w:bookmarkEnd w:id="2"/>
      <w:r w:rsidRPr="00431764">
        <w:rPr>
          <w:i/>
        </w:rPr>
        <w:instrText xml:space="preserve"> - Ordfører: Janusz Lewandowski)"\l3 \n&gt; \* MERGEFORMAT </w:instrText>
      </w:r>
      <w:r w:rsidRPr="00431764">
        <w:rPr>
          <w:i/>
        </w:rPr>
        <w:fldChar w:fldCharType="end"/>
      </w:r>
    </w:p>
    <w:p w14:paraId="338BC42E" w14:textId="77777777" w:rsidR="00535318" w:rsidRPr="00431764" w:rsidRDefault="00535318" w:rsidP="00535318">
      <w:pPr>
        <w:rPr>
          <w:vanish/>
        </w:rPr>
      </w:pPr>
      <w:bookmarkStart w:id="3" w:name="Commission"/>
      <w:r w:rsidRPr="00431764">
        <w:rPr>
          <w:vanish/>
        </w:rPr>
        <w:t>Budgetudvalget</w:t>
      </w:r>
      <w:bookmarkEnd w:id="3"/>
    </w:p>
    <w:p w14:paraId="13F1E24B" w14:textId="77777777" w:rsidR="00535318" w:rsidRPr="00431764" w:rsidRDefault="00535318" w:rsidP="00535318">
      <w:pPr>
        <w:rPr>
          <w:vanish/>
        </w:rPr>
      </w:pPr>
      <w:bookmarkStart w:id="4" w:name="PE"/>
      <w:r w:rsidRPr="00431764">
        <w:rPr>
          <w:vanish/>
        </w:rPr>
        <w:t>PE759.752</w:t>
      </w:r>
      <w:bookmarkEnd w:id="4"/>
    </w:p>
    <w:p w14:paraId="418318F5" w14:textId="3031F1C1" w:rsidR="00535318" w:rsidRPr="00143908" w:rsidRDefault="00535318" w:rsidP="00535318">
      <w:pPr>
        <w:pStyle w:val="ATHeading3"/>
      </w:pPr>
      <w:bookmarkStart w:id="5" w:name="Sujet"/>
      <w:r w:rsidRPr="00143908">
        <w:t xml:space="preserve">Europa-Parlamentets beslutning af </w:t>
      </w:r>
      <w:r w:rsidR="005012C5" w:rsidRPr="00143908">
        <w:t>2</w:t>
      </w:r>
      <w:r w:rsidR="007C4AC0">
        <w:t>4</w:t>
      </w:r>
      <w:r w:rsidRPr="00143908">
        <w:t xml:space="preserve">. april 2024 om forslag til Europa-Parlamentets og Rådets afgørelse om mobilisering af Den Europæiske Fond for Tilpasning til Globaliseringen for Afskedigede Arbejdstagere </w:t>
      </w:r>
      <w:r w:rsidR="005012C5" w:rsidRPr="00143908">
        <w:t xml:space="preserve">på baggrund af en </w:t>
      </w:r>
      <w:r w:rsidRPr="00143908">
        <w:t>ansøgning fra Danmark – EGF/2023/004 DK/Danish Crown</w:t>
      </w:r>
      <w:bookmarkEnd w:id="5"/>
      <w:r w:rsidRPr="00143908">
        <w:t xml:space="preserve"> </w:t>
      </w:r>
      <w:bookmarkStart w:id="6" w:name="References"/>
      <w:r w:rsidRPr="00143908">
        <w:t>(</w:t>
      </w:r>
      <w:proofErr w:type="gramStart"/>
      <w:r w:rsidRPr="00143908">
        <w:t>COM(</w:t>
      </w:r>
      <w:proofErr w:type="gramEnd"/>
      <w:r w:rsidRPr="00143908">
        <w:t>2024)0035 – C9-0040/2024 – 2024/0044(BUD))</w:t>
      </w:r>
      <w:bookmarkEnd w:id="6"/>
    </w:p>
    <w:p w14:paraId="5D61544E" w14:textId="77777777" w:rsidR="006F1D6D" w:rsidRPr="00431764" w:rsidRDefault="006F1D6D" w:rsidP="006F1D6D">
      <w:pPr>
        <w:pStyle w:val="EPComma"/>
      </w:pPr>
      <w:bookmarkStart w:id="7" w:name="TextBodyBegin"/>
      <w:bookmarkEnd w:id="7"/>
      <w:r w:rsidRPr="00431764">
        <w:rPr>
          <w:i/>
        </w:rPr>
        <w:t>Europa-Parlamentet,</w:t>
      </w:r>
    </w:p>
    <w:p w14:paraId="79EC245A" w14:textId="69633F56" w:rsidR="006F1D6D" w:rsidRPr="00431764" w:rsidRDefault="006F1D6D" w:rsidP="006F1D6D">
      <w:pPr>
        <w:pStyle w:val="NormalHanging12a"/>
        <w:rPr>
          <w:szCs w:val="24"/>
        </w:rPr>
      </w:pPr>
      <w:r w:rsidRPr="00431764">
        <w:t>–</w:t>
      </w:r>
      <w:r w:rsidRPr="00431764">
        <w:tab/>
        <w:t>der henviser til Kommissionens forslag til Europa-Parlamentet og Rådet (</w:t>
      </w:r>
      <w:proofErr w:type="gramStart"/>
      <w:r w:rsidRPr="00431764">
        <w:t>COM(</w:t>
      </w:r>
      <w:proofErr w:type="gramEnd"/>
      <w:r w:rsidRPr="00431764">
        <w:t>2024)0035 – C9</w:t>
      </w:r>
      <w:r w:rsidR="005012C5" w:rsidRPr="00431764">
        <w:t>-</w:t>
      </w:r>
      <w:r w:rsidRPr="00431764">
        <w:t>0040/2024),</w:t>
      </w:r>
    </w:p>
    <w:p w14:paraId="733B7FBC" w14:textId="77777777" w:rsidR="006F1D6D" w:rsidRPr="00431764" w:rsidRDefault="006F1D6D" w:rsidP="006F1D6D">
      <w:pPr>
        <w:pStyle w:val="NormalHanging12a"/>
        <w:rPr>
          <w:szCs w:val="24"/>
        </w:rPr>
      </w:pPr>
      <w:r w:rsidRPr="00431764">
        <w:t>–</w:t>
      </w:r>
      <w:r w:rsidRPr="00431764">
        <w:tab/>
        <w:t>der henviser til Europa-Parlamentets og Rådets forordning (EU) 2021/691 af 28. april 2021 om Den Europæiske Fond for Tilpasning til Globaliseringen for Afskedigede Arbejdstagere (EGF) og om ophævelse af forordning (EU) nr. 1309/2013</w:t>
      </w:r>
      <w:r w:rsidRPr="00431764">
        <w:rPr>
          <w:rStyle w:val="FootnoteReference"/>
          <w:szCs w:val="24"/>
        </w:rPr>
        <w:footnoteReference w:id="1"/>
      </w:r>
      <w:r w:rsidRPr="00431764">
        <w:t xml:space="preserve"> ("EGF-forordningen"),</w:t>
      </w:r>
    </w:p>
    <w:p w14:paraId="4CA056FE" w14:textId="77777777" w:rsidR="006F1D6D" w:rsidRPr="00431764" w:rsidRDefault="006F1D6D" w:rsidP="006F1D6D">
      <w:pPr>
        <w:pStyle w:val="NormalHanging12a"/>
        <w:rPr>
          <w:szCs w:val="24"/>
        </w:rPr>
      </w:pPr>
      <w:r w:rsidRPr="00431764">
        <w:t>–</w:t>
      </w:r>
      <w:r w:rsidRPr="00431764">
        <w:tab/>
        <w:t xml:space="preserve">der henviser til Rådets forordning (EU, </w:t>
      </w:r>
      <w:proofErr w:type="spellStart"/>
      <w:r w:rsidRPr="00431764">
        <w:t>Euratom</w:t>
      </w:r>
      <w:proofErr w:type="spellEnd"/>
      <w:r w:rsidRPr="00431764">
        <w:t>) 2020/2093 af 17. december 2020 om fastlæggelse af den flerårige finansielle ramme for årene 2021-2027</w:t>
      </w:r>
      <w:r w:rsidRPr="00431764">
        <w:rPr>
          <w:rStyle w:val="FootnoteReference"/>
          <w:szCs w:val="24"/>
        </w:rPr>
        <w:footnoteReference w:id="2"/>
      </w:r>
      <w:r w:rsidRPr="00431764">
        <w:rPr>
          <w:bdr w:val="none" w:sz="0" w:space="0" w:color="auto" w:frame="1"/>
        </w:rPr>
        <w:t xml:space="preserve"> </w:t>
      </w:r>
      <w:r w:rsidRPr="00431764">
        <w:t xml:space="preserve">som ændret ved </w:t>
      </w:r>
      <w:r w:rsidR="005012C5" w:rsidRPr="00431764">
        <w:t xml:space="preserve">Rådets </w:t>
      </w:r>
      <w:r w:rsidRPr="00431764">
        <w:t xml:space="preserve">forordning </w:t>
      </w:r>
      <w:r w:rsidRPr="00431764">
        <w:rPr>
          <w:bdr w:val="none" w:sz="0" w:space="0" w:color="auto" w:frame="1"/>
        </w:rPr>
        <w:t xml:space="preserve">(EU, </w:t>
      </w:r>
      <w:proofErr w:type="spellStart"/>
      <w:r w:rsidRPr="00431764">
        <w:rPr>
          <w:bdr w:val="none" w:sz="0" w:space="0" w:color="auto" w:frame="1"/>
        </w:rPr>
        <w:t>Euratom</w:t>
      </w:r>
      <w:proofErr w:type="spellEnd"/>
      <w:r w:rsidRPr="00431764">
        <w:rPr>
          <w:bdr w:val="none" w:sz="0" w:space="0" w:color="auto" w:frame="1"/>
        </w:rPr>
        <w:t>) 2024/765</w:t>
      </w:r>
      <w:r w:rsidR="005012C5" w:rsidRPr="00431764">
        <w:rPr>
          <w:bdr w:val="none" w:sz="0" w:space="0" w:color="auto" w:frame="1"/>
        </w:rPr>
        <w:t xml:space="preserve"> af 29. februar 2024 om ændring af forordning (EU, </w:t>
      </w:r>
      <w:proofErr w:type="spellStart"/>
      <w:r w:rsidR="005012C5" w:rsidRPr="00431764">
        <w:rPr>
          <w:bdr w:val="none" w:sz="0" w:space="0" w:color="auto" w:frame="1"/>
        </w:rPr>
        <w:t>Euratom</w:t>
      </w:r>
      <w:proofErr w:type="spellEnd"/>
      <w:r w:rsidR="005012C5" w:rsidRPr="00431764">
        <w:rPr>
          <w:bdr w:val="none" w:sz="0" w:space="0" w:color="auto" w:frame="1"/>
        </w:rPr>
        <w:t>) 2020/2093 om fastlæggelse af den flerårige ramme for årene 2021-2027</w:t>
      </w:r>
      <w:r w:rsidRPr="00431764">
        <w:rPr>
          <w:rStyle w:val="FootnoteReference"/>
          <w:szCs w:val="24"/>
          <w:bdr w:val="none" w:sz="0" w:space="0" w:color="auto" w:frame="1"/>
        </w:rPr>
        <w:footnoteReference w:id="3"/>
      </w:r>
      <w:r w:rsidRPr="00431764">
        <w:t>, særlig artikel 8,</w:t>
      </w:r>
    </w:p>
    <w:p w14:paraId="3E362651" w14:textId="77777777" w:rsidR="006F1D6D" w:rsidRPr="00431764" w:rsidRDefault="006F1D6D" w:rsidP="006F1D6D">
      <w:pPr>
        <w:pStyle w:val="NormalHanging12a"/>
        <w:rPr>
          <w:szCs w:val="24"/>
        </w:rPr>
      </w:pPr>
      <w:r w:rsidRPr="00431764">
        <w:t>–</w:t>
      </w:r>
      <w:r w:rsidRPr="00431764">
        <w:tab/>
        <w:t xml:space="preserve">der henviser til den </w:t>
      </w:r>
      <w:proofErr w:type="spellStart"/>
      <w:r w:rsidRPr="00431764">
        <w:t>interinstitutionelle</w:t>
      </w:r>
      <w:proofErr w:type="spellEnd"/>
      <w:r w:rsidRPr="00431764">
        <w:t xml:space="preserve"> aftale af 16. december 2020 mellem Europa-Parlamentet, Rådet for Den Europæiske Union og Europa-Kommissionen om budgetdisciplin, om samarbejde på budgetområdet og om forsvarlig økonomisk forvaltning samt om nye egne indtægter, herunder en køreplan hen imod indførelse af nye egne indtægter</w:t>
      </w:r>
      <w:r w:rsidRPr="00431764">
        <w:rPr>
          <w:rStyle w:val="FootnoteReference"/>
          <w:szCs w:val="24"/>
        </w:rPr>
        <w:footnoteReference w:id="4"/>
      </w:r>
      <w:r w:rsidRPr="00431764">
        <w:t>, særlig artikel 12,</w:t>
      </w:r>
    </w:p>
    <w:p w14:paraId="3E68B550" w14:textId="77777777" w:rsidR="006F1D6D" w:rsidRPr="00431764" w:rsidRDefault="006F1D6D" w:rsidP="006F1D6D">
      <w:pPr>
        <w:pStyle w:val="NormalHanging12a"/>
        <w:rPr>
          <w:noProof/>
        </w:rPr>
      </w:pPr>
      <w:r w:rsidRPr="00431764">
        <w:lastRenderedPageBreak/>
        <w:t>–</w:t>
      </w:r>
      <w:r w:rsidRPr="00431764">
        <w:tab/>
        <w:t>der henviser til skrivelse fra Udvalget om Beskæftigelse og Sociale Anliggender,</w:t>
      </w:r>
    </w:p>
    <w:p w14:paraId="52008744" w14:textId="77777777" w:rsidR="006F1D6D" w:rsidRPr="00431764" w:rsidRDefault="006F1D6D" w:rsidP="006F1D6D">
      <w:pPr>
        <w:pStyle w:val="NormalHanging12a"/>
        <w:rPr>
          <w:szCs w:val="24"/>
        </w:rPr>
      </w:pPr>
      <w:r w:rsidRPr="00431764">
        <w:t>–</w:t>
      </w:r>
      <w:r w:rsidRPr="00431764">
        <w:tab/>
        <w:t>der henviser til betænkning fra Budgetudvalget (A9</w:t>
      </w:r>
      <w:r w:rsidRPr="00431764">
        <w:noBreakHyphen/>
        <w:t>0171/2024),</w:t>
      </w:r>
    </w:p>
    <w:p w14:paraId="7952274C" w14:textId="77777777" w:rsidR="006F1D6D" w:rsidRPr="00431764" w:rsidRDefault="006F1D6D" w:rsidP="006F1D6D">
      <w:pPr>
        <w:pStyle w:val="NormalHanging12a"/>
        <w:rPr>
          <w:szCs w:val="24"/>
        </w:rPr>
      </w:pPr>
      <w:r w:rsidRPr="00431764">
        <w:t>A.</w:t>
      </w:r>
      <w:r w:rsidRPr="00431764">
        <w:tab/>
        <w:t>der henviser til, at Unionen har oprettet lovgivnings- og budgetinstrumenter, der skal yde supplerende støtte til arbejdstagere, der er ramt af konsekvenserne af gennemgribende strukturelle ændringer i verdenshandelsmønstrene eller den globale finansielle og økonomiske krise, og hjælpe dem med at vende tilbage til arbejdsmarkedet; der henviser til, at denne bistand ydes gennem økonomisk støtte til arbejdstagere og de virksomheder, som de har arbejdet for;</w:t>
      </w:r>
    </w:p>
    <w:p w14:paraId="5FBA8884" w14:textId="77777777" w:rsidR="006F1D6D" w:rsidRPr="00431764" w:rsidRDefault="006F1D6D" w:rsidP="006F1D6D">
      <w:pPr>
        <w:widowControl/>
        <w:spacing w:after="240"/>
        <w:ind w:left="567" w:hanging="567"/>
        <w:rPr>
          <w:szCs w:val="24"/>
        </w:rPr>
      </w:pPr>
      <w:r w:rsidRPr="00431764">
        <w:t>B.</w:t>
      </w:r>
      <w:r w:rsidRPr="00431764">
        <w:tab/>
        <w:t>der henviser til, at Danmark indgav ansøgning EGF/2023/004 DK/Danish Crown om økonomisk støtte fra Den Europæiske Fond for Tilpasning til Globaliseringen (EGF) efter i alt 751 afskedigelser</w:t>
      </w:r>
      <w:r w:rsidRPr="00431764">
        <w:rPr>
          <w:rStyle w:val="FootnoteReference"/>
          <w:szCs w:val="24"/>
        </w:rPr>
        <w:footnoteReference w:id="5"/>
      </w:r>
      <w:r w:rsidRPr="00431764">
        <w:t xml:space="preserve"> i den økonomiske sektor, der er klassificeret under NACE rev. 2, hovedgruppe 10 (Fremstilling af fødevarer), i regionen Nordjylland med 692 afskedigelser inden for en referenceperiode for ansøgningen fra den 19. maj 2023 til den 19. september 2023 og 59 afskedigelser før eller efter referenceperioden;</w:t>
      </w:r>
    </w:p>
    <w:p w14:paraId="12141E2D" w14:textId="77777777" w:rsidR="006F1D6D" w:rsidRPr="00431764" w:rsidRDefault="006F1D6D" w:rsidP="006F1D6D">
      <w:pPr>
        <w:pStyle w:val="NormalHanging12a"/>
        <w:rPr>
          <w:szCs w:val="24"/>
        </w:rPr>
      </w:pPr>
      <w:r w:rsidRPr="00431764">
        <w:t xml:space="preserve">C. </w:t>
      </w:r>
      <w:r w:rsidRPr="00431764">
        <w:tab/>
        <w:t>der henviser til, at ansøgningen vedrører 692 afskedigelser i referenceperioden for ansøgningen, heraf 651 afskedigede arbejdstagere, hvis aktivitet er ophørt i Danish Crown (Danish Crown A/S), og 41 afskedigede arbejdstagere hos to af Danish Crowns leverandører og producenter i efterfølgende produktionsled</w:t>
      </w:r>
      <w:r w:rsidRPr="00431764">
        <w:rPr>
          <w:rStyle w:val="FootnoteReference"/>
          <w:szCs w:val="24"/>
        </w:rPr>
        <w:footnoteReference w:id="6"/>
      </w:r>
      <w:r w:rsidRPr="00431764">
        <w:t>;</w:t>
      </w:r>
    </w:p>
    <w:p w14:paraId="28D65F3E" w14:textId="77777777" w:rsidR="006F1D6D" w:rsidRPr="00431764" w:rsidRDefault="006F1D6D" w:rsidP="006F1D6D">
      <w:pPr>
        <w:pStyle w:val="NormalHanging12a"/>
        <w:rPr>
          <w:szCs w:val="24"/>
        </w:rPr>
      </w:pPr>
      <w:r w:rsidRPr="00431764">
        <w:t xml:space="preserve">D. </w:t>
      </w:r>
      <w:r w:rsidRPr="00431764">
        <w:tab/>
        <w:t xml:space="preserve">der henviser til, at ansøgningen vedrører 59 afskedigede arbejdstagere, hvis aktivitet ophørte før eller efter referenceperioden på fire måneder, hvor der kan fastslås en klar årsagssammenhæng med den begivenhed, der udløste de afskedigede arbejdstageres aktivitetsophør i referenceperioden, jf. EGF-forordningens artikel 6, stk. 2; </w:t>
      </w:r>
    </w:p>
    <w:p w14:paraId="43109E85" w14:textId="77777777" w:rsidR="006F1D6D" w:rsidRPr="00431764" w:rsidRDefault="006F1D6D" w:rsidP="006F1D6D">
      <w:pPr>
        <w:pStyle w:val="NormalHanging12a"/>
        <w:rPr>
          <w:szCs w:val="24"/>
        </w:rPr>
      </w:pPr>
      <w:r w:rsidRPr="00431764">
        <w:t>E.</w:t>
      </w:r>
      <w:r w:rsidRPr="00431764">
        <w:tab/>
        <w:t>der henviser til, at ansøgningen bygger på interventionskriterierne i artikel 4, stk. 2, litra a), i EGF-forordningen, som forudsætter mindst 200 afskedigelser af arbejdstagere i løbet af en referenceperiode på fire måneder i en virksomhed i en medlemsstat, inklusive arbejdstagere, der er blevet afskediget hos leverandører eller producenter i efterfølgende produktionsled, og/eller selvstændige, hvis aktivitet er ophørt;</w:t>
      </w:r>
    </w:p>
    <w:p w14:paraId="6F9E3BB7" w14:textId="77777777" w:rsidR="006F1D6D" w:rsidRPr="00431764" w:rsidRDefault="006F1D6D" w:rsidP="006F1D6D">
      <w:pPr>
        <w:pStyle w:val="NormalHanging12a"/>
        <w:rPr>
          <w:szCs w:val="24"/>
        </w:rPr>
      </w:pPr>
      <w:r w:rsidRPr="00431764">
        <w:t>F.</w:t>
      </w:r>
      <w:r w:rsidRPr="00431764">
        <w:tab/>
        <w:t>der henviser til, at den danske slagterisektor befinder sig i en strukturel krise; der henviser til, at antallet af svin, der slagtes i Danmark, siden 2005 er reduceret med 4,4 millioner (20 %); der henviser til, at nedgangen hovedsagelig skyldes skiftet fra opdræt af svin med henblik på slagtning til opdræt af pattegrise med henblik på eksport; der henviser til, at det grundet de lave svinepriser er mere profitabelt for danske landmænd at eksportere pattegrise end at opfede svin med henblik på slagtning;</w:t>
      </w:r>
    </w:p>
    <w:p w14:paraId="2465CECC" w14:textId="77777777" w:rsidR="006F1D6D" w:rsidRPr="00431764" w:rsidRDefault="006F1D6D" w:rsidP="006F1D6D">
      <w:pPr>
        <w:pStyle w:val="NormalHanging12a"/>
        <w:rPr>
          <w:rFonts w:eastAsia="Calibri"/>
          <w:szCs w:val="24"/>
        </w:rPr>
      </w:pPr>
      <w:r w:rsidRPr="00431764">
        <w:t>G.</w:t>
      </w:r>
      <w:r w:rsidRPr="00431764">
        <w:tab/>
        <w:t>der henviser til, at Danish Crown er en gruppe danske fødevareselskaber, der beskæftiger sig med opskæring, forarbejdning og salg af hovedsagelig svine- og oksekød; der henviser til, at den begivenhed, der gav anledning til disse afskedigelser, var nedlukningen af Danish Crowns slagteri i Sæby i Frederikshavn Kommune som følge af nedgangen i antallet af svin, der skal slagtes;</w:t>
      </w:r>
    </w:p>
    <w:p w14:paraId="70BB3090" w14:textId="77777777" w:rsidR="006F1D6D" w:rsidRPr="00431764" w:rsidRDefault="006F1D6D" w:rsidP="006F1D6D">
      <w:pPr>
        <w:pStyle w:val="NormalHanging12a"/>
        <w:rPr>
          <w:szCs w:val="24"/>
        </w:rPr>
      </w:pPr>
      <w:r w:rsidRPr="00431764">
        <w:t>H.</w:t>
      </w:r>
      <w:r w:rsidRPr="00431764">
        <w:tab/>
        <w:t xml:space="preserve">der henviser til, at kravene i den nationale lovgivning og i EU-lovgivningen vedrørende </w:t>
      </w:r>
      <w:r w:rsidRPr="00431764">
        <w:lastRenderedPageBreak/>
        <w:t>kollektiv afskedigelse er blevet overholdt;</w:t>
      </w:r>
    </w:p>
    <w:p w14:paraId="5842F6F4" w14:textId="77777777" w:rsidR="006F1D6D" w:rsidRPr="00431764" w:rsidRDefault="006F1D6D" w:rsidP="006F1D6D">
      <w:pPr>
        <w:pStyle w:val="NormalHanging12a"/>
        <w:rPr>
          <w:szCs w:val="24"/>
        </w:rPr>
      </w:pPr>
      <w:r w:rsidRPr="00431764">
        <w:t>I.</w:t>
      </w:r>
      <w:r w:rsidRPr="00431764">
        <w:tab/>
        <w:t>der henviser til, at den økonomiske støtte fra EGF primært bør være rettet mod aktive arbejdsmarkedspolitiske foranstaltninger og individualiserede tilbud, der har til formål hurtigt at reintegrere støttemodtagerne i anstændig og bæredygtig beskæftigelse inden for eller uden for deres oprindelige aktivitetssektor, samtidig med at de gøres parate til en grønnere og mere digital europæisk økonomi;</w:t>
      </w:r>
    </w:p>
    <w:p w14:paraId="1C08C52F" w14:textId="77777777" w:rsidR="006F1D6D" w:rsidRPr="00431764" w:rsidRDefault="006F1D6D" w:rsidP="006F1D6D">
      <w:pPr>
        <w:pStyle w:val="NormalHanging12a"/>
        <w:rPr>
          <w:szCs w:val="24"/>
        </w:rPr>
      </w:pPr>
      <w:r w:rsidRPr="00431764">
        <w:t>J.</w:t>
      </w:r>
      <w:r w:rsidRPr="00431764">
        <w:tab/>
        <w:t xml:space="preserve">der henviser til, at revisionen af FFR reducerer det maksimale årlige beløb til EGF fra 186 mio. EUR til 30 mio. EUR (i 2018-priser) som fastsat i artikel 8 i Rådets forordning (EU, </w:t>
      </w:r>
      <w:proofErr w:type="spellStart"/>
      <w:r w:rsidRPr="00431764">
        <w:t>Euratom</w:t>
      </w:r>
      <w:proofErr w:type="spellEnd"/>
      <w:r w:rsidRPr="00431764">
        <w:t xml:space="preserve">) 2020/2093 som ændret ved forordning (EU, </w:t>
      </w:r>
      <w:proofErr w:type="spellStart"/>
      <w:r w:rsidRPr="00431764">
        <w:t>Euratom</w:t>
      </w:r>
      <w:proofErr w:type="spellEnd"/>
      <w:r w:rsidRPr="00431764">
        <w:t>) 2024/765; der henviser til, at Kommissionen bør overvåge gennemførelsen af EGF, og at alle institutionerne bør træffe alle nødvendige foranstaltninger for at sikre, at alle berettigede ansøgninger om EGF-støtte kan imødekommes som et tegn på EU's solidaritet;</w:t>
      </w:r>
    </w:p>
    <w:p w14:paraId="17816E0C" w14:textId="77777777" w:rsidR="006F1D6D" w:rsidRPr="00431764" w:rsidRDefault="006F1D6D" w:rsidP="006F1D6D">
      <w:pPr>
        <w:pStyle w:val="NormalHanging12a"/>
        <w:rPr>
          <w:szCs w:val="24"/>
        </w:rPr>
      </w:pPr>
      <w:r w:rsidRPr="00431764">
        <w:t>1.</w:t>
      </w:r>
      <w:r w:rsidRPr="00431764">
        <w:tab/>
        <w:t>er enigt med Kommissionen i, at betingelserne i artikel 4, stk. 2, litra a), i EGF-forordningen er opfyldt, og at Danmark derfor er berettiget til en økonomisk støtte på 1 882 212 EUR i henhold til nævnte forordning, hvilket svarer til 60 % af de samlede omkostninger på 3 137 021 EUR og omfatter udgifterne til individualiserede tilbud på 2 878 001 EUR samt udgifter til forberedende arbejde, forvaltning, oplysning, offentlig omtale, kontrol- og rapporteringsaktiviteter på 259 020 EUR;</w:t>
      </w:r>
    </w:p>
    <w:p w14:paraId="5B679142" w14:textId="77777777" w:rsidR="006F1D6D" w:rsidRPr="00431764" w:rsidRDefault="006F1D6D" w:rsidP="006F1D6D">
      <w:pPr>
        <w:pStyle w:val="NormalHanging12a"/>
        <w:rPr>
          <w:szCs w:val="24"/>
        </w:rPr>
      </w:pPr>
      <w:r w:rsidRPr="00431764">
        <w:t>2.</w:t>
      </w:r>
      <w:r w:rsidRPr="00431764">
        <w:tab/>
        <w:t xml:space="preserve">bemærker, at de danske myndigheder indgav ansøgningen den 6. december 2023, og at Kommissionen, efter at Danmark havde forelagt yderligere oplysninger, afsluttede sin vurdering heraf den 29. februar 2024 og fremsendte den til Parlamentet samme dag; </w:t>
      </w:r>
    </w:p>
    <w:p w14:paraId="2F3C7515" w14:textId="77777777" w:rsidR="006F1D6D" w:rsidRPr="00431764" w:rsidRDefault="006F1D6D" w:rsidP="006F1D6D">
      <w:pPr>
        <w:pStyle w:val="NormalHanging12a"/>
        <w:rPr>
          <w:szCs w:val="24"/>
        </w:rPr>
      </w:pPr>
      <w:r w:rsidRPr="00431764">
        <w:t>3.</w:t>
      </w:r>
      <w:r w:rsidRPr="00431764">
        <w:tab/>
        <w:t>bemærker, at ansøgningen vedrører 751 afskedigede arbejdstagere, der er berørt af lukningen af Danish Crowns slagteri i Sæby; bemærker endvidere, at i alt 390 afskedigede arbejdstagere vil være tiltænkte støttemodtagere og forventes at deltage i foranstaltningerne;</w:t>
      </w:r>
    </w:p>
    <w:p w14:paraId="3D6473E1" w14:textId="77777777" w:rsidR="006F1D6D" w:rsidRPr="00431764" w:rsidRDefault="006F1D6D" w:rsidP="006F1D6D">
      <w:pPr>
        <w:pStyle w:val="Default"/>
        <w:spacing w:after="240"/>
        <w:ind w:left="567" w:hanging="567"/>
        <w:rPr>
          <w:color w:val="auto"/>
        </w:rPr>
      </w:pPr>
      <w:r w:rsidRPr="00431764">
        <w:rPr>
          <w:color w:val="auto"/>
        </w:rPr>
        <w:t>4.</w:t>
      </w:r>
      <w:r w:rsidRPr="00431764">
        <w:rPr>
          <w:color w:val="auto"/>
        </w:rPr>
        <w:tab/>
        <w:t xml:space="preserve">noterer sig, at de fleste af de afskedigede arbejdstagere har få formelle kvalifikationer (46 %), eller har temmelig forældede kvalifikationer og færdigheder (40 %); noterer sig, at 305 (41 %) af de afskedigede arbejdstagere har migrantbaggrund og ikke er flydende i dansk; bemærker, at EGF-pakken også foreslår foranstaltninger til forbedring af generelle kompetencer, herunder forbedring af sprogfærdigheder i dansk; </w:t>
      </w:r>
    </w:p>
    <w:p w14:paraId="51BE62FE" w14:textId="77777777" w:rsidR="006F1D6D" w:rsidRPr="00431764" w:rsidRDefault="006F1D6D" w:rsidP="006F1D6D">
      <w:pPr>
        <w:pStyle w:val="NormalHanging12a"/>
        <w:rPr>
          <w:szCs w:val="24"/>
        </w:rPr>
      </w:pPr>
      <w:r w:rsidRPr="00431764">
        <w:t>5.</w:t>
      </w:r>
      <w:r w:rsidRPr="00431764">
        <w:tab/>
        <w:t xml:space="preserve">glæder sig over, at den samordnede pakke af individualiserede tilbud er blevet udarbejdet af de danske myndigheder i samråd med de tiltænkte støttemodtagere, deres repræsentanter og arbejdsmarkedets parter: </w:t>
      </w:r>
    </w:p>
    <w:p w14:paraId="0FE88577" w14:textId="77777777" w:rsidR="006F1D6D" w:rsidRPr="00431764" w:rsidRDefault="006F1D6D" w:rsidP="006F1D6D">
      <w:pPr>
        <w:pStyle w:val="NormalHanging12a"/>
        <w:rPr>
          <w:szCs w:val="24"/>
        </w:rPr>
      </w:pPr>
      <w:r w:rsidRPr="00431764">
        <w:t>6.</w:t>
      </w:r>
      <w:r w:rsidRPr="00431764">
        <w:tab/>
        <w:t>minder om, at de individualiserede tilbud til arbejdstagere og selvstændige omfatter følgende foranstaltninger: motivation, fastholdelse, uddannelse i generelle kompetencer, opkvalificering/omskoling samt uddannelses- og jobsøgningstilskud;</w:t>
      </w:r>
    </w:p>
    <w:p w14:paraId="6654DBE1" w14:textId="77777777" w:rsidR="006F1D6D" w:rsidRPr="00431764" w:rsidRDefault="006F1D6D" w:rsidP="00143908">
      <w:pPr>
        <w:pStyle w:val="NormalHanging12a"/>
      </w:pPr>
      <w:r w:rsidRPr="00431764">
        <w:t>7.</w:t>
      </w:r>
      <w:r w:rsidRPr="00431764">
        <w:tab/>
        <w:t>glæder sig meget over, at uddannelsestilbuddene blev udarbejdet under hensyntagen til flere undersøgelser, herunder Jobbarometer 2023 (en analyse af de lokale behov for arbejdskraft i kommunerne Frederikshavn, Hjørring, Jammerbugt og Brønderslev), den halvårlige arbejdsmarkedsbalance med overblik over jobmuligheder og FremKom4-analysen om færdigheder, og at tilbuddene har til formål at øge de generelle kompetencer (herunder sprog- og matematikfærdigheder), digitale kompetencer og forbedring af færdigheder til job med knaphed på kvalificeret arbejdskraft;</w:t>
      </w:r>
    </w:p>
    <w:p w14:paraId="48331BD1" w14:textId="77777777" w:rsidR="006F1D6D" w:rsidRPr="00431764" w:rsidRDefault="006F1D6D" w:rsidP="006F1D6D">
      <w:pPr>
        <w:pStyle w:val="NormalHanging12a"/>
      </w:pPr>
      <w:r w:rsidRPr="00431764">
        <w:lastRenderedPageBreak/>
        <w:t>8.</w:t>
      </w:r>
      <w:r w:rsidRPr="00431764">
        <w:tab/>
        <w:t xml:space="preserve">understreger navnlig betydningen af artikel 7, stk. 2, i EGF-forordningen, som kræver, at den samordnede pakke tager højde for fremtidige arbejdsmarkedsperspektiver og efterspurgte færdigheder, som er forenelige med overgangen til en ressourceeffektiv og bæredygtig økonomi og med særligt fokus på udbredelse af de færdigheder, der kræves i den digitale industrielle tidsalder; </w:t>
      </w:r>
    </w:p>
    <w:p w14:paraId="6BBEFA03" w14:textId="77777777" w:rsidR="006F1D6D" w:rsidRPr="00431764" w:rsidRDefault="006F1D6D" w:rsidP="006F1D6D">
      <w:pPr>
        <w:pStyle w:val="NormalHanging12a"/>
      </w:pPr>
      <w:r w:rsidRPr="00431764">
        <w:t>9.</w:t>
      </w:r>
      <w:r w:rsidRPr="00431764">
        <w:tab/>
        <w:t>bemærker, at Danmark begyndte at yde individualiserede tilbud til de tiltænkte støttemodtagere den 16. oktober 2023, og at perioden for berettigelse til økonomisk EGF-støtte derfor vil være fra den 16. oktober 2023 og indtil 24 måneder efter datoen for finansieringsafgørelsens ikrafttræden;</w:t>
      </w:r>
    </w:p>
    <w:p w14:paraId="188A442C" w14:textId="77777777" w:rsidR="006F1D6D" w:rsidRPr="00431764" w:rsidRDefault="006F1D6D" w:rsidP="006F1D6D">
      <w:pPr>
        <w:pStyle w:val="NormalHanging12a"/>
        <w:rPr>
          <w:sz w:val="23"/>
          <w:szCs w:val="23"/>
        </w:rPr>
      </w:pPr>
      <w:r w:rsidRPr="00431764">
        <w:t>10.</w:t>
      </w:r>
      <w:r w:rsidRPr="00431764">
        <w:tab/>
        <w:t>bemærker, at Danmark siden den 1. juni 2023 har afholdt de administrative udgifter til gennemførelsen af EGF, og at udgifterne til forberedelse, forvaltning, oplysning og offentlig omtale samt kontrol- og rapporteringsaktiviteter derfor er berettigede til økonomisk støtte fra EGF fra den 1. juni 2023 og indtil 31 måneder efter datoen for finansieringsafgørelsens ikrafttræden;</w:t>
      </w:r>
    </w:p>
    <w:p w14:paraId="0B6601DD" w14:textId="77777777" w:rsidR="006F1D6D" w:rsidRPr="00431764" w:rsidRDefault="006F1D6D" w:rsidP="006F1D6D">
      <w:pPr>
        <w:pStyle w:val="NormalHanging12a"/>
      </w:pPr>
      <w:r w:rsidRPr="00431764">
        <w:t>11.</w:t>
      </w:r>
      <w:r w:rsidRPr="00431764">
        <w:tab/>
        <w:t>understreger, at de danske myndigheder har bekræftet, at de støtteberettigede foranstaltninger ikke modtager støtte fra andre af Unionens fonde eller finansielle instrumenter, og at principperne om ligebehandling og ikkeforskelsbehandling vil blive overholdt i forbindelse med adgangen til de foreslåede foranstaltninger og deres gennemførelse;</w:t>
      </w:r>
    </w:p>
    <w:p w14:paraId="63621F66" w14:textId="77777777" w:rsidR="006F1D6D" w:rsidRPr="00431764" w:rsidRDefault="006F1D6D" w:rsidP="006F1D6D">
      <w:pPr>
        <w:pStyle w:val="NormalHanging12a"/>
      </w:pPr>
      <w:r w:rsidRPr="00431764">
        <w:t>12.</w:t>
      </w:r>
      <w:r w:rsidRPr="00431764">
        <w:tab/>
        <w:t xml:space="preserve">gentager, at EGF-støtte ikke må erstatte tiltag, som det påhviler virksomhederne at gennemføre i henhold til national ret eller kollektive overenskomster, eller nogen godtgørelser eller rettigheder for de afskedigede arbejdstagere med henblik på at sikre EGF-bidragets fulde </w:t>
      </w:r>
      <w:proofErr w:type="spellStart"/>
      <w:r w:rsidRPr="00431764">
        <w:t>additionalitet</w:t>
      </w:r>
      <w:proofErr w:type="spellEnd"/>
      <w:r w:rsidRPr="00431764">
        <w:t xml:space="preserve">; </w:t>
      </w:r>
    </w:p>
    <w:p w14:paraId="465B7B06" w14:textId="77777777" w:rsidR="006F1D6D" w:rsidRPr="00431764" w:rsidRDefault="006F1D6D" w:rsidP="006F1D6D">
      <w:pPr>
        <w:pStyle w:val="NormalHanging12a"/>
        <w:rPr>
          <w:noProof/>
        </w:rPr>
      </w:pPr>
      <w:r w:rsidRPr="00431764">
        <w:t>13.</w:t>
      </w:r>
      <w:r w:rsidRPr="00431764">
        <w:tab/>
        <w:t>godkender den afgørelse, der er vedføjet denne beslutning;</w:t>
      </w:r>
    </w:p>
    <w:p w14:paraId="3E8B6F65" w14:textId="77777777" w:rsidR="006F1D6D" w:rsidRPr="00431764" w:rsidRDefault="006F1D6D" w:rsidP="006F1D6D">
      <w:pPr>
        <w:pStyle w:val="NormalHanging12a"/>
        <w:rPr>
          <w:noProof/>
        </w:rPr>
      </w:pPr>
      <w:r w:rsidRPr="00431764">
        <w:t>14.</w:t>
      </w:r>
      <w:r w:rsidRPr="00431764">
        <w:tab/>
        <w:t xml:space="preserve">pålægger sin formand at undertegne denne afgørelse sammen med Rådets formand og drage omsorg for, at den offentliggøres i </w:t>
      </w:r>
      <w:r w:rsidRPr="00143908">
        <w:rPr>
          <w:i/>
        </w:rPr>
        <w:t>Den Europæiske Unions Tidende</w:t>
      </w:r>
      <w:r w:rsidRPr="00431764">
        <w:t>;</w:t>
      </w:r>
    </w:p>
    <w:p w14:paraId="063D43D8" w14:textId="77777777" w:rsidR="006F1D6D" w:rsidRPr="00431764" w:rsidRDefault="006F1D6D" w:rsidP="006F1D6D">
      <w:pPr>
        <w:pStyle w:val="NormalHanging12a"/>
      </w:pPr>
      <w:r w:rsidRPr="00431764">
        <w:t>15.</w:t>
      </w:r>
      <w:r w:rsidRPr="00431764">
        <w:tab/>
        <w:t>pålægger sin formand at sende denne beslutning sammen med bilaget til Rådet og Kommissionen.</w:t>
      </w:r>
    </w:p>
    <w:p w14:paraId="77607A40" w14:textId="77777777" w:rsidR="006F1D6D" w:rsidRPr="00431764" w:rsidRDefault="006F1D6D" w:rsidP="006F1D6D"/>
    <w:p w14:paraId="4B3EDFB6" w14:textId="77777777" w:rsidR="006F1D6D" w:rsidRPr="00431764" w:rsidRDefault="006F1D6D" w:rsidP="006F1D6D">
      <w:pPr>
        <w:pStyle w:val="PageHeading"/>
        <w:sectPr w:rsidR="006F1D6D" w:rsidRPr="00431764" w:rsidSect="005E4DF9">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35EF8B0A" w14:textId="3F9F3E0E" w:rsidR="00087A4B" w:rsidRPr="00087A4B" w:rsidRDefault="006F1D6D" w:rsidP="006F1D6D">
      <w:pPr>
        <w:pStyle w:val="PageHeading"/>
        <w:rPr>
          <w:rFonts w:ascii="Times New Roman" w:hAnsi="Times New Roman" w:cs="Times New Roman"/>
        </w:rPr>
      </w:pPr>
      <w:bookmarkStart w:id="9" w:name="_Toc163653472"/>
      <w:bookmarkStart w:id="10" w:name="_Toc164180500"/>
      <w:r w:rsidRPr="00087A4B">
        <w:rPr>
          <w:rFonts w:ascii="Times New Roman" w:hAnsi="Times New Roman" w:cs="Times New Roman"/>
        </w:rPr>
        <w:lastRenderedPageBreak/>
        <w:t>BILAG</w:t>
      </w:r>
    </w:p>
    <w:p w14:paraId="461929B3" w14:textId="50ADC872" w:rsidR="006F1D6D" w:rsidRPr="00087A4B" w:rsidRDefault="006F1D6D" w:rsidP="006F1D6D">
      <w:pPr>
        <w:pStyle w:val="PageHeading"/>
        <w:rPr>
          <w:rFonts w:ascii="Times New Roman" w:hAnsi="Times New Roman" w:cs="Times New Roman"/>
        </w:rPr>
      </w:pPr>
      <w:r w:rsidRPr="00087A4B">
        <w:rPr>
          <w:rFonts w:ascii="Times New Roman" w:hAnsi="Times New Roman" w:cs="Times New Roman"/>
        </w:rPr>
        <w:t>EUROPA-PARLAMENTETS OG RÅDETS AFGØRELSE</w:t>
      </w:r>
      <w:bookmarkEnd w:id="9"/>
      <w:bookmarkEnd w:id="10"/>
    </w:p>
    <w:p w14:paraId="4E619709" w14:textId="60172D22" w:rsidR="006F1D6D" w:rsidRDefault="006F1D6D" w:rsidP="006F1D6D">
      <w:pPr>
        <w:pStyle w:val="NormalBold24a"/>
      </w:pPr>
      <w:r w:rsidRPr="00431764">
        <w:t xml:space="preserve">om mobilisering af Den Europæiske Fond for Tilpasning til Globaliseringen for Afskedigede Arbejdstagere på baggrund af en ansøgning fra Danmark </w:t>
      </w:r>
      <w:r w:rsidR="00087A4B">
        <w:t>(</w:t>
      </w:r>
      <w:r w:rsidRPr="00431764">
        <w:t>EGF/2023/004 DK/Danish Crown</w:t>
      </w:r>
      <w:r w:rsidR="00087A4B">
        <w:t>)</w:t>
      </w:r>
    </w:p>
    <w:p w14:paraId="7815DA8C" w14:textId="547E8518" w:rsidR="00087A4B" w:rsidRPr="00087A4B" w:rsidRDefault="00087A4B" w:rsidP="006F1D6D">
      <w:pPr>
        <w:pStyle w:val="NormalBold24a"/>
        <w:rPr>
          <w:b w:val="0"/>
        </w:rPr>
      </w:pPr>
      <w:r w:rsidRPr="00087A4B">
        <w:rPr>
          <w:rStyle w:val="Emphasis"/>
          <w:b w:val="0"/>
        </w:rPr>
        <w:t>(</w:t>
      </w:r>
      <w:r w:rsidRPr="00087A4B">
        <w:rPr>
          <w:b w:val="0"/>
          <w:iCs/>
        </w:rPr>
        <w:t>Teksten i bilaget gengives ikke her, eftersom det svarer til den endelige retsakt, afgørelse (EU) 2024</w:t>
      </w:r>
      <w:r w:rsidRPr="00087A4B">
        <w:rPr>
          <w:rStyle w:val="Emphasis"/>
          <w:b w:val="0"/>
        </w:rPr>
        <w:t>/1299.)</w:t>
      </w:r>
    </w:p>
    <w:sectPr w:rsidR="00087A4B" w:rsidRPr="00087A4B" w:rsidSect="005E4DF9">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4DC8B8" w14:textId="77777777" w:rsidR="00535318" w:rsidRPr="005E4DF9" w:rsidRDefault="00535318">
      <w:r w:rsidRPr="005E4DF9">
        <w:separator/>
      </w:r>
    </w:p>
  </w:endnote>
  <w:endnote w:type="continuationSeparator" w:id="0">
    <w:p w14:paraId="647299E8" w14:textId="77777777" w:rsidR="00535318" w:rsidRPr="005E4DF9" w:rsidRDefault="00535318">
      <w:r w:rsidRPr="005E4DF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47EC59" w14:textId="77777777" w:rsidR="006F1D6D" w:rsidRPr="005E4DF9" w:rsidRDefault="006F1D6D" w:rsidP="00C30065">
    <w:pPr>
      <w:pStyle w:val="EPFooter"/>
    </w:pPr>
    <w:r w:rsidRPr="005E4DF9">
      <w:t>PE</w:t>
    </w:r>
    <w:r w:rsidRPr="005E4DF9">
      <w:rPr>
        <w:rStyle w:val="HideTWBExt"/>
      </w:rPr>
      <w:t>&lt;</w:t>
    </w:r>
    <w:proofErr w:type="spellStart"/>
    <w:r w:rsidRPr="005E4DF9">
      <w:rPr>
        <w:rStyle w:val="HideTWBExt"/>
      </w:rPr>
      <w:t>NoPE</w:t>
    </w:r>
    <w:proofErr w:type="spellEnd"/>
    <w:r w:rsidRPr="005E4DF9">
      <w:rPr>
        <w:rStyle w:val="HideTWBExt"/>
      </w:rPr>
      <w:t>&gt;</w:t>
    </w:r>
    <w:r w:rsidRPr="005E4DF9">
      <w:t>759.752</w:t>
    </w:r>
    <w:r w:rsidRPr="005E4DF9">
      <w:rPr>
        <w:rStyle w:val="HideTWBExt"/>
      </w:rPr>
      <w:t>&lt;/</w:t>
    </w:r>
    <w:proofErr w:type="spellStart"/>
    <w:r w:rsidRPr="005E4DF9">
      <w:rPr>
        <w:rStyle w:val="HideTWBExt"/>
      </w:rPr>
      <w:t>NoPE</w:t>
    </w:r>
    <w:proofErr w:type="spellEnd"/>
    <w:r w:rsidRPr="005E4DF9">
      <w:rPr>
        <w:rStyle w:val="HideTWBExt"/>
      </w:rPr>
      <w:t>&gt;&lt;Version&gt;</w:t>
    </w:r>
    <w:r w:rsidRPr="005E4DF9">
      <w:t>v02-00</w:t>
    </w:r>
    <w:r w:rsidRPr="005E4DF9">
      <w:rPr>
        <w:rStyle w:val="HideTWBExt"/>
      </w:rPr>
      <w:t>&lt;/Version&gt;</w:t>
    </w:r>
    <w:r w:rsidRPr="005E4DF9">
      <w:tab/>
    </w:r>
    <w:r w:rsidRPr="005E4DF9">
      <w:fldChar w:fldCharType="begin"/>
    </w:r>
    <w:r w:rsidRPr="005E4DF9">
      <w:instrText xml:space="preserve"> PAGE  \* MERGEFORMAT </w:instrText>
    </w:r>
    <w:r w:rsidRPr="005E4DF9">
      <w:fldChar w:fldCharType="separate"/>
    </w:r>
    <w:r w:rsidRPr="005E4DF9">
      <w:rPr>
        <w:noProof/>
      </w:rPr>
      <w:t>4</w:t>
    </w:r>
    <w:r w:rsidRPr="005E4DF9">
      <w:fldChar w:fldCharType="end"/>
    </w:r>
    <w:r w:rsidRPr="005E4DF9">
      <w:t>/</w:t>
    </w:r>
    <w:r w:rsidR="0015403F">
      <w:fldChar w:fldCharType="begin"/>
    </w:r>
    <w:r w:rsidR="0015403F">
      <w:instrText xml:space="preserve"> NUMPAGES  \* MERGEFORMAT </w:instrText>
    </w:r>
    <w:r w:rsidR="0015403F">
      <w:fldChar w:fldCharType="separate"/>
    </w:r>
    <w:r w:rsidRPr="005E4DF9">
      <w:rPr>
        <w:noProof/>
      </w:rPr>
      <w:t>4</w:t>
    </w:r>
    <w:r w:rsidR="0015403F">
      <w:rPr>
        <w:noProof/>
      </w:rPr>
      <w:fldChar w:fldCharType="end"/>
    </w:r>
    <w:r w:rsidRPr="005E4DF9">
      <w:tab/>
    </w:r>
    <w:r w:rsidRPr="005E4DF9">
      <w:rPr>
        <w:rStyle w:val="HideTWBExt"/>
      </w:rPr>
      <w:t>&lt;PathFdR&gt;</w:t>
    </w:r>
    <w:r w:rsidRPr="005E4DF9">
      <w:t>RR\1300714DA.docx</w:t>
    </w:r>
    <w:r w:rsidRPr="005E4DF9">
      <w:rPr>
        <w:rStyle w:val="HideTWBExt"/>
      </w:rPr>
      <w:t>&lt;/</w:t>
    </w:r>
    <w:proofErr w:type="spellStart"/>
    <w:r w:rsidRPr="005E4DF9">
      <w:rPr>
        <w:rStyle w:val="HideTWBExt"/>
      </w:rPr>
      <w:t>PathFdR</w:t>
    </w:r>
    <w:proofErr w:type="spellEnd"/>
    <w:r w:rsidRPr="005E4DF9">
      <w:rPr>
        <w:rStyle w:val="HideTWBExt"/>
      </w:rPr>
      <w:t>&gt;</w:t>
    </w:r>
  </w:p>
  <w:p w14:paraId="1842D459" w14:textId="77777777" w:rsidR="006F1D6D" w:rsidRPr="005E4DF9" w:rsidRDefault="006F1D6D" w:rsidP="00C30065">
    <w:pPr>
      <w:pStyle w:val="EPFooter2"/>
    </w:pPr>
    <w:r w:rsidRPr="005E4DF9">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18EE30" w14:textId="77777777" w:rsidR="006F1D6D" w:rsidRPr="005E4DF9" w:rsidRDefault="006F1D6D" w:rsidP="00C30065">
    <w:pPr>
      <w:pStyle w:val="EPFooter"/>
    </w:pPr>
    <w:r w:rsidRPr="005E4DF9">
      <w:rPr>
        <w:rStyle w:val="HideTWBExt"/>
      </w:rPr>
      <w:t>&lt;PathFdR&gt;</w:t>
    </w:r>
    <w:r w:rsidRPr="005E4DF9">
      <w:t>RR\1300714DA.docx</w:t>
    </w:r>
    <w:r w:rsidRPr="005E4DF9">
      <w:rPr>
        <w:rStyle w:val="HideTWBExt"/>
      </w:rPr>
      <w:t>&lt;/</w:t>
    </w:r>
    <w:proofErr w:type="spellStart"/>
    <w:r w:rsidRPr="005E4DF9">
      <w:rPr>
        <w:rStyle w:val="HideTWBExt"/>
      </w:rPr>
      <w:t>PathFdR</w:t>
    </w:r>
    <w:proofErr w:type="spellEnd"/>
    <w:r w:rsidRPr="005E4DF9">
      <w:rPr>
        <w:rStyle w:val="HideTWBExt"/>
      </w:rPr>
      <w:t>&gt;</w:t>
    </w:r>
    <w:r w:rsidRPr="005E4DF9">
      <w:tab/>
    </w:r>
    <w:r w:rsidRPr="005E4DF9">
      <w:tab/>
      <w:t>PE</w:t>
    </w:r>
    <w:r w:rsidRPr="005E4DF9">
      <w:rPr>
        <w:rStyle w:val="HideTWBExt"/>
      </w:rPr>
      <w:t>&lt;</w:t>
    </w:r>
    <w:proofErr w:type="spellStart"/>
    <w:r w:rsidRPr="005E4DF9">
      <w:rPr>
        <w:rStyle w:val="HideTWBExt"/>
      </w:rPr>
      <w:t>NoPE</w:t>
    </w:r>
    <w:proofErr w:type="spellEnd"/>
    <w:r w:rsidRPr="005E4DF9">
      <w:rPr>
        <w:rStyle w:val="HideTWBExt"/>
      </w:rPr>
      <w:t>&gt;</w:t>
    </w:r>
    <w:r w:rsidRPr="005E4DF9">
      <w:t>759.752</w:t>
    </w:r>
    <w:r w:rsidRPr="005E4DF9">
      <w:rPr>
        <w:rStyle w:val="HideTWBExt"/>
      </w:rPr>
      <w:t>&lt;/</w:t>
    </w:r>
    <w:proofErr w:type="spellStart"/>
    <w:r w:rsidRPr="005E4DF9">
      <w:rPr>
        <w:rStyle w:val="HideTWBExt"/>
      </w:rPr>
      <w:t>NoPE</w:t>
    </w:r>
    <w:proofErr w:type="spellEnd"/>
    <w:r w:rsidRPr="005E4DF9">
      <w:rPr>
        <w:rStyle w:val="HideTWBExt"/>
      </w:rPr>
      <w:t>&gt;&lt;Version&gt;</w:t>
    </w:r>
    <w:r w:rsidRPr="005E4DF9">
      <w:t>v02-00</w:t>
    </w:r>
    <w:r w:rsidRPr="005E4DF9">
      <w:rPr>
        <w:rStyle w:val="HideTWBExt"/>
      </w:rPr>
      <w:t>&lt;/Version&gt;</w:t>
    </w:r>
  </w:p>
  <w:p w14:paraId="377697FB" w14:textId="77777777" w:rsidR="006F1D6D" w:rsidRPr="005E4DF9" w:rsidRDefault="006F1D6D" w:rsidP="00C30065">
    <w:pPr>
      <w:pStyle w:val="EPFooter2"/>
    </w:pPr>
    <w:r w:rsidRPr="005E4DF9">
      <w:t>DA</w:t>
    </w:r>
    <w:r w:rsidRPr="005E4DF9">
      <w:tab/>
    </w:r>
    <w:r w:rsidRPr="005E4DF9">
      <w:rPr>
        <w:b w:val="0"/>
        <w:i/>
        <w:color w:val="C0C0C0"/>
        <w:sz w:val="22"/>
      </w:rPr>
      <w:t>Forenet i mangfoldighed</w:t>
    </w:r>
    <w:r w:rsidRPr="005E4DF9">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E1C6FB" w14:textId="77777777" w:rsidR="00064002" w:rsidRPr="005E4DF9"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48F6D2" w14:textId="77777777" w:rsidR="00064002" w:rsidRPr="005E4DF9"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58A9AB" w14:textId="77777777" w:rsidR="00064002" w:rsidRPr="005E4DF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1C3475" w14:textId="77777777" w:rsidR="00535318" w:rsidRPr="005E4DF9" w:rsidRDefault="00535318">
      <w:r w:rsidRPr="005E4DF9">
        <w:separator/>
      </w:r>
    </w:p>
  </w:footnote>
  <w:footnote w:type="continuationSeparator" w:id="0">
    <w:p w14:paraId="56D93CE3" w14:textId="77777777" w:rsidR="00535318" w:rsidRPr="005E4DF9" w:rsidRDefault="00535318">
      <w:r w:rsidRPr="005E4DF9">
        <w:continuationSeparator/>
      </w:r>
    </w:p>
  </w:footnote>
  <w:footnote w:id="1">
    <w:p w14:paraId="3D9ED15B" w14:textId="77777777" w:rsidR="006F1D6D" w:rsidRPr="005E4DF9" w:rsidRDefault="006F1D6D" w:rsidP="005E4DF9">
      <w:pPr>
        <w:pStyle w:val="FootnoteText"/>
        <w:ind w:left="567" w:hanging="567"/>
        <w:rPr>
          <w:sz w:val="24"/>
          <w:lang w:val="da-DK"/>
        </w:rPr>
      </w:pPr>
      <w:r w:rsidRPr="005E4DF9">
        <w:rPr>
          <w:rStyle w:val="FootnoteReference"/>
          <w:sz w:val="24"/>
          <w:lang w:val="da-DK"/>
        </w:rPr>
        <w:footnoteRef/>
      </w:r>
      <w:r w:rsidR="005E4DF9" w:rsidRPr="005E4DF9">
        <w:rPr>
          <w:sz w:val="24"/>
          <w:lang w:val="da-DK"/>
        </w:rPr>
        <w:t xml:space="preserve"> </w:t>
      </w:r>
      <w:r w:rsidR="005E4DF9" w:rsidRPr="005E4DF9">
        <w:rPr>
          <w:sz w:val="24"/>
          <w:lang w:val="da-DK"/>
        </w:rPr>
        <w:tab/>
      </w:r>
      <w:r w:rsidRPr="005E4DF9">
        <w:rPr>
          <w:sz w:val="24"/>
          <w:lang w:val="da-DK"/>
        </w:rPr>
        <w:t>EUT L 153 af 3.5.2021, s. 48.</w:t>
      </w:r>
    </w:p>
  </w:footnote>
  <w:footnote w:id="2">
    <w:p w14:paraId="10D273B7" w14:textId="77777777" w:rsidR="006F1D6D" w:rsidRPr="005E4DF9" w:rsidRDefault="006F1D6D" w:rsidP="005E4DF9">
      <w:pPr>
        <w:pStyle w:val="FootnoteText"/>
        <w:ind w:left="567" w:hanging="567"/>
        <w:rPr>
          <w:sz w:val="24"/>
          <w:lang w:val="da-DK"/>
        </w:rPr>
      </w:pPr>
      <w:r w:rsidRPr="005E4DF9">
        <w:rPr>
          <w:rStyle w:val="FootnoteReference"/>
          <w:sz w:val="24"/>
          <w:lang w:val="da-DK"/>
        </w:rPr>
        <w:footnoteRef/>
      </w:r>
      <w:r w:rsidR="005E4DF9" w:rsidRPr="005E4DF9">
        <w:rPr>
          <w:sz w:val="24"/>
          <w:lang w:val="da-DK"/>
        </w:rPr>
        <w:t xml:space="preserve"> </w:t>
      </w:r>
      <w:r w:rsidR="005E4DF9" w:rsidRPr="005E4DF9">
        <w:rPr>
          <w:sz w:val="24"/>
          <w:lang w:val="da-DK"/>
        </w:rPr>
        <w:tab/>
      </w:r>
      <w:r w:rsidRPr="005E4DF9">
        <w:rPr>
          <w:sz w:val="24"/>
          <w:lang w:val="da-DK"/>
        </w:rPr>
        <w:t>EUT L 433 I af 22.12.2020, s. 11.</w:t>
      </w:r>
    </w:p>
  </w:footnote>
  <w:footnote w:id="3">
    <w:p w14:paraId="74ADFD48" w14:textId="519DBBD2" w:rsidR="006F1D6D" w:rsidRPr="00143908" w:rsidRDefault="006F1D6D" w:rsidP="005E4DF9">
      <w:pPr>
        <w:pStyle w:val="FootnoteText"/>
        <w:ind w:left="567" w:hanging="567"/>
        <w:rPr>
          <w:sz w:val="24"/>
          <w:lang w:val="fi-FI"/>
        </w:rPr>
      </w:pPr>
      <w:r w:rsidRPr="005E4DF9">
        <w:rPr>
          <w:rStyle w:val="FootnoteReference"/>
          <w:sz w:val="24"/>
          <w:lang w:val="da-DK"/>
        </w:rPr>
        <w:footnoteRef/>
      </w:r>
      <w:r w:rsidR="005E4DF9" w:rsidRPr="00143908">
        <w:rPr>
          <w:color w:val="333333"/>
          <w:sz w:val="24"/>
          <w:shd w:val="clear" w:color="auto" w:fill="FFFFFF"/>
          <w:lang w:val="fi-FI"/>
        </w:rPr>
        <w:t xml:space="preserve"> </w:t>
      </w:r>
      <w:r w:rsidR="005E4DF9" w:rsidRPr="00143908">
        <w:rPr>
          <w:color w:val="333333"/>
          <w:sz w:val="24"/>
          <w:shd w:val="clear" w:color="auto" w:fill="FFFFFF"/>
          <w:lang w:val="fi-FI"/>
        </w:rPr>
        <w:tab/>
      </w:r>
      <w:r w:rsidRPr="00143908">
        <w:rPr>
          <w:sz w:val="24"/>
          <w:lang w:val="fi-FI"/>
        </w:rPr>
        <w:t xml:space="preserve">EUT </w:t>
      </w:r>
      <w:r w:rsidRPr="00143908">
        <w:rPr>
          <w:sz w:val="24"/>
          <w:lang w:val="fi-FI"/>
        </w:rPr>
        <w:t>L</w:t>
      </w:r>
      <w:r w:rsidR="0015403F">
        <w:rPr>
          <w:sz w:val="24"/>
          <w:lang w:val="fi-FI"/>
        </w:rPr>
        <w:t>,</w:t>
      </w:r>
      <w:bookmarkStart w:id="8" w:name="_GoBack"/>
      <w:bookmarkEnd w:id="8"/>
      <w:r w:rsidRPr="00143908">
        <w:rPr>
          <w:sz w:val="24"/>
          <w:lang w:val="fi-FI"/>
        </w:rPr>
        <w:t xml:space="preserve"> 2024/765, 29.2.2024, </w:t>
      </w:r>
      <w:r w:rsidRPr="00143908">
        <w:rPr>
          <w:rStyle w:val="Emphasis"/>
          <w:i w:val="0"/>
          <w:color w:val="333333"/>
          <w:sz w:val="24"/>
          <w:shd w:val="clear" w:color="auto" w:fill="FFFFFF"/>
          <w:lang w:val="fi-FI"/>
        </w:rPr>
        <w:t>ELI: http://data.europa.eu/eli/reg/2024/765/oj</w:t>
      </w:r>
      <w:r w:rsidRPr="00143908">
        <w:rPr>
          <w:rStyle w:val="Emphasis"/>
          <w:color w:val="333333"/>
          <w:sz w:val="24"/>
          <w:shd w:val="clear" w:color="auto" w:fill="FFFFFF"/>
          <w:lang w:val="fi-FI"/>
        </w:rPr>
        <w:t>.</w:t>
      </w:r>
    </w:p>
  </w:footnote>
  <w:footnote w:id="4">
    <w:p w14:paraId="51DAB023" w14:textId="77777777" w:rsidR="006F1D6D" w:rsidRPr="005E4DF9" w:rsidRDefault="006F1D6D" w:rsidP="005E4DF9">
      <w:pPr>
        <w:pStyle w:val="FootnoteText"/>
        <w:ind w:left="567" w:hanging="567"/>
        <w:rPr>
          <w:sz w:val="24"/>
          <w:lang w:val="da-DK"/>
        </w:rPr>
      </w:pPr>
      <w:r w:rsidRPr="005E4DF9">
        <w:rPr>
          <w:rStyle w:val="FootnoteReference"/>
          <w:sz w:val="24"/>
          <w:lang w:val="da-DK"/>
        </w:rPr>
        <w:footnoteRef/>
      </w:r>
      <w:r w:rsidR="005E4DF9" w:rsidRPr="005E4DF9">
        <w:rPr>
          <w:sz w:val="24"/>
          <w:lang w:val="da-DK"/>
        </w:rPr>
        <w:t xml:space="preserve"> </w:t>
      </w:r>
      <w:r w:rsidR="005E4DF9" w:rsidRPr="005E4DF9">
        <w:rPr>
          <w:sz w:val="24"/>
          <w:lang w:val="da-DK"/>
        </w:rPr>
        <w:tab/>
      </w:r>
      <w:r w:rsidRPr="005E4DF9">
        <w:rPr>
          <w:sz w:val="24"/>
          <w:lang w:val="da-DK"/>
        </w:rPr>
        <w:t>EUT L 433 I af 22.12.2020, s. 28.</w:t>
      </w:r>
    </w:p>
  </w:footnote>
  <w:footnote w:id="5">
    <w:p w14:paraId="4DA407A7" w14:textId="77777777" w:rsidR="006F1D6D" w:rsidRPr="005E4DF9" w:rsidRDefault="006F1D6D" w:rsidP="005E4DF9">
      <w:pPr>
        <w:pStyle w:val="FootnoteText"/>
        <w:ind w:left="567" w:hanging="567"/>
        <w:rPr>
          <w:sz w:val="24"/>
          <w:lang w:val="da-DK"/>
        </w:rPr>
      </w:pPr>
      <w:r w:rsidRPr="005E4DF9">
        <w:rPr>
          <w:rStyle w:val="FootnoteReference"/>
          <w:sz w:val="24"/>
          <w:lang w:val="da-DK"/>
        </w:rPr>
        <w:footnoteRef/>
      </w:r>
      <w:r w:rsidR="005E4DF9" w:rsidRPr="005E4DF9">
        <w:rPr>
          <w:sz w:val="24"/>
          <w:lang w:val="da-DK"/>
        </w:rPr>
        <w:t xml:space="preserve"> </w:t>
      </w:r>
      <w:r w:rsidR="005E4DF9" w:rsidRPr="005E4DF9">
        <w:rPr>
          <w:sz w:val="24"/>
          <w:lang w:val="da-DK"/>
        </w:rPr>
        <w:tab/>
      </w:r>
      <w:r w:rsidRPr="005E4DF9">
        <w:rPr>
          <w:sz w:val="24"/>
          <w:lang w:val="da-DK"/>
        </w:rPr>
        <w:t>Som omhandlet i EGF-forordningens artikel 3.</w:t>
      </w:r>
    </w:p>
  </w:footnote>
  <w:footnote w:id="6">
    <w:p w14:paraId="28C682D0" w14:textId="77777777" w:rsidR="006F1D6D" w:rsidRPr="005E4DF9" w:rsidRDefault="006F1D6D" w:rsidP="005E4DF9">
      <w:pPr>
        <w:pStyle w:val="FootnoteText"/>
        <w:ind w:left="567" w:hanging="567"/>
        <w:rPr>
          <w:sz w:val="24"/>
          <w:lang w:val="da-DK"/>
        </w:rPr>
      </w:pPr>
      <w:r w:rsidRPr="005E4DF9">
        <w:rPr>
          <w:rStyle w:val="FootnoteReference"/>
          <w:sz w:val="24"/>
          <w:lang w:val="da-DK"/>
        </w:rPr>
        <w:footnoteRef/>
      </w:r>
      <w:r w:rsidR="005E4DF9" w:rsidRPr="005E4DF9">
        <w:rPr>
          <w:sz w:val="24"/>
          <w:lang w:val="da-DK"/>
        </w:rPr>
        <w:t xml:space="preserve"> </w:t>
      </w:r>
      <w:r w:rsidR="005E4DF9" w:rsidRPr="005E4DF9">
        <w:rPr>
          <w:sz w:val="24"/>
          <w:lang w:val="da-DK"/>
        </w:rPr>
        <w:tab/>
      </w:r>
      <w:r w:rsidRPr="005E4DF9">
        <w:rPr>
          <w:sz w:val="24"/>
          <w:lang w:val="da-DK"/>
        </w:rPr>
        <w:t xml:space="preserve">37 afskedigede arbejdstagere hos </w:t>
      </w:r>
      <w:proofErr w:type="spellStart"/>
      <w:r w:rsidRPr="005E4DF9">
        <w:rPr>
          <w:sz w:val="24"/>
          <w:lang w:val="da-DK"/>
        </w:rPr>
        <w:t>TekniClean</w:t>
      </w:r>
      <w:proofErr w:type="spellEnd"/>
      <w:r w:rsidRPr="005E4DF9">
        <w:rPr>
          <w:sz w:val="24"/>
          <w:lang w:val="da-DK"/>
        </w:rPr>
        <w:t xml:space="preserve"> A/S og 4 afskedigede arbejdstagere i Fødevarestyrelsen.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A1CD7E" w14:textId="77777777" w:rsidR="00064002" w:rsidRPr="005E4DF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D65377" w14:textId="77777777" w:rsidR="00064002" w:rsidRPr="005E4DF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E30ED3" w14:textId="77777777" w:rsidR="00064002" w:rsidRPr="005E4DF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71/2024"/>
    <w:docVar w:name="dvlangue" w:val="DA"/>
    <w:docVar w:name="dvnumam" w:val="0"/>
    <w:docVar w:name="dvpe" w:val="759.752"/>
    <w:docVar w:name="dvrapporteur" w:val="Ordfører: "/>
    <w:docVar w:name="dvtitre" w:val="Europa-Parlamentets lovgivningsmæssige beslutning af xx. april 2024 om forslag til Europa-Parlamentets og Rådets afgørelse om mobilisering af Den Europæiske Fond for Tilpasning til Globaliseringen for Afskedigede Arbejdstagere (ansøgning fra Danmark – EGF/2023/004 DK/Danish Crown)(COM(2024)0035 – C9-0040/2024 – 2024/0044(BUD))"/>
  </w:docVars>
  <w:rsids>
    <w:rsidRoot w:val="00535318"/>
    <w:rsid w:val="00002272"/>
    <w:rsid w:val="00064002"/>
    <w:rsid w:val="000677B9"/>
    <w:rsid w:val="000831BA"/>
    <w:rsid w:val="00087A4B"/>
    <w:rsid w:val="000A42CC"/>
    <w:rsid w:val="000E7DD9"/>
    <w:rsid w:val="0010095E"/>
    <w:rsid w:val="00125B37"/>
    <w:rsid w:val="00143908"/>
    <w:rsid w:val="0015403F"/>
    <w:rsid w:val="00187494"/>
    <w:rsid w:val="001F32AE"/>
    <w:rsid w:val="002767FF"/>
    <w:rsid w:val="002B18FE"/>
    <w:rsid w:val="002B5493"/>
    <w:rsid w:val="00343214"/>
    <w:rsid w:val="00361C00"/>
    <w:rsid w:val="00395FA1"/>
    <w:rsid w:val="003E15D4"/>
    <w:rsid w:val="00411CCE"/>
    <w:rsid w:val="0041666E"/>
    <w:rsid w:val="00421060"/>
    <w:rsid w:val="00431764"/>
    <w:rsid w:val="00471C19"/>
    <w:rsid w:val="004867E3"/>
    <w:rsid w:val="00494A28"/>
    <w:rsid w:val="004C0004"/>
    <w:rsid w:val="004C5D52"/>
    <w:rsid w:val="005012C5"/>
    <w:rsid w:val="0050519A"/>
    <w:rsid w:val="005072A1"/>
    <w:rsid w:val="00514517"/>
    <w:rsid w:val="00535318"/>
    <w:rsid w:val="00545827"/>
    <w:rsid w:val="00560270"/>
    <w:rsid w:val="005C2568"/>
    <w:rsid w:val="005E4DF9"/>
    <w:rsid w:val="006037C0"/>
    <w:rsid w:val="006631B6"/>
    <w:rsid w:val="00680577"/>
    <w:rsid w:val="006F1D6D"/>
    <w:rsid w:val="006F74FA"/>
    <w:rsid w:val="00731ADD"/>
    <w:rsid w:val="00734777"/>
    <w:rsid w:val="00747932"/>
    <w:rsid w:val="00751A4A"/>
    <w:rsid w:val="00756632"/>
    <w:rsid w:val="00762C74"/>
    <w:rsid w:val="00786EC0"/>
    <w:rsid w:val="007C4AC0"/>
    <w:rsid w:val="007D1690"/>
    <w:rsid w:val="007E22AD"/>
    <w:rsid w:val="00817416"/>
    <w:rsid w:val="00842779"/>
    <w:rsid w:val="00865F67"/>
    <w:rsid w:val="00881A7B"/>
    <w:rsid w:val="008840E5"/>
    <w:rsid w:val="00887B3E"/>
    <w:rsid w:val="008C2AC6"/>
    <w:rsid w:val="00930C23"/>
    <w:rsid w:val="0093193B"/>
    <w:rsid w:val="00935173"/>
    <w:rsid w:val="009509D8"/>
    <w:rsid w:val="00950B64"/>
    <w:rsid w:val="00981893"/>
    <w:rsid w:val="00A1687D"/>
    <w:rsid w:val="00A43E52"/>
    <w:rsid w:val="00A4678D"/>
    <w:rsid w:val="00A778C7"/>
    <w:rsid w:val="00AB441E"/>
    <w:rsid w:val="00AB6293"/>
    <w:rsid w:val="00AC611C"/>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D46CD"/>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3A0758"/>
  <w15:chartTrackingRefBased/>
  <w15:docId w15:val="{186A61FE-EF66-4C97-8045-18D370B38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F1D6D"/>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6F1D6D"/>
    <w:pPr>
      <w:keepNext/>
      <w:spacing w:after="480"/>
      <w:jc w:val="center"/>
    </w:pPr>
    <w:rPr>
      <w:rFonts w:ascii="Arial" w:hAnsi="Arial" w:cs="Arial"/>
      <w:b/>
    </w:rPr>
  </w:style>
  <w:style w:type="paragraph" w:customStyle="1" w:styleId="NormalHanging12a">
    <w:name w:val="NormalHanging12a"/>
    <w:basedOn w:val="Normal"/>
    <w:link w:val="NormalHanging12aChar"/>
    <w:rsid w:val="006F1D6D"/>
    <w:pPr>
      <w:spacing w:after="240"/>
      <w:ind w:left="567" w:hanging="567"/>
    </w:pPr>
  </w:style>
  <w:style w:type="paragraph" w:styleId="Header">
    <w:name w:val="header"/>
    <w:basedOn w:val="Normal"/>
    <w:link w:val="HeaderChar"/>
    <w:rsid w:val="006F1D6D"/>
    <w:pPr>
      <w:tabs>
        <w:tab w:val="center" w:pos="4513"/>
        <w:tab w:val="right" w:pos="9026"/>
      </w:tabs>
    </w:pPr>
  </w:style>
  <w:style w:type="character" w:customStyle="1" w:styleId="HeaderChar">
    <w:name w:val="Header Char"/>
    <w:basedOn w:val="DefaultParagraphFont"/>
    <w:link w:val="Header"/>
    <w:rsid w:val="006F1D6D"/>
    <w:rPr>
      <w:sz w:val="24"/>
      <w:lang w:val="da-DK"/>
    </w:rPr>
  </w:style>
  <w:style w:type="paragraph" w:customStyle="1" w:styleId="NormalBold24a">
    <w:name w:val="NormalBold24a"/>
    <w:basedOn w:val="Normal"/>
    <w:rsid w:val="006F1D6D"/>
    <w:pPr>
      <w:spacing w:after="480"/>
    </w:pPr>
    <w:rPr>
      <w:b/>
      <w:bCs/>
    </w:rPr>
  </w:style>
  <w:style w:type="paragraph" w:customStyle="1" w:styleId="EPFooter">
    <w:name w:val="EPFooter"/>
    <w:basedOn w:val="Normal"/>
    <w:rsid w:val="006F1D6D"/>
    <w:pPr>
      <w:tabs>
        <w:tab w:val="center" w:pos="4535"/>
        <w:tab w:val="right" w:pos="9071"/>
      </w:tabs>
      <w:spacing w:before="240" w:after="240"/>
    </w:pPr>
    <w:rPr>
      <w:color w:val="010000"/>
      <w:sz w:val="22"/>
    </w:rPr>
  </w:style>
  <w:style w:type="paragraph" w:customStyle="1" w:styleId="EPComma">
    <w:name w:val="EPComma"/>
    <w:basedOn w:val="Normal"/>
    <w:rsid w:val="006F1D6D"/>
    <w:pPr>
      <w:spacing w:before="480" w:after="240"/>
    </w:pPr>
  </w:style>
  <w:style w:type="character" w:customStyle="1" w:styleId="NormalHanging12aChar">
    <w:name w:val="NormalHanging12a Char"/>
    <w:basedOn w:val="DefaultParagraphFont"/>
    <w:link w:val="NormalHanging12a"/>
    <w:locked/>
    <w:rsid w:val="006F1D6D"/>
    <w:rPr>
      <w:sz w:val="24"/>
      <w:lang w:val="da-DK"/>
    </w:rPr>
  </w:style>
  <w:style w:type="paragraph" w:customStyle="1" w:styleId="Default">
    <w:name w:val="Default"/>
    <w:rsid w:val="006F1D6D"/>
    <w:pPr>
      <w:autoSpaceDE w:val="0"/>
      <w:autoSpaceDN w:val="0"/>
      <w:adjustRightInd w:val="0"/>
    </w:pPr>
    <w:rPr>
      <w:color w:val="000000"/>
      <w:sz w:val="24"/>
      <w:szCs w:val="24"/>
      <w:lang w:val="da-DK"/>
    </w:rPr>
  </w:style>
  <w:style w:type="paragraph" w:customStyle="1" w:styleId="Institutionquisigne">
    <w:name w:val="Institution qui signe"/>
    <w:basedOn w:val="Normal"/>
    <w:next w:val="Normal"/>
    <w:rsid w:val="006F1D6D"/>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6F1D6D"/>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6F1D6D"/>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6F1D6D"/>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6F1D6D"/>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6F1D6D"/>
    <w:pPr>
      <w:widowControl/>
      <w:spacing w:before="120" w:after="120"/>
      <w:ind w:left="709" w:hanging="709"/>
      <w:jc w:val="both"/>
    </w:pPr>
    <w:rPr>
      <w:rFonts w:eastAsiaTheme="minorEastAsia"/>
      <w:szCs w:val="22"/>
      <w:lang w:eastAsia="en-US"/>
    </w:rPr>
  </w:style>
  <w:style w:type="character" w:styleId="Emphasis">
    <w:name w:val="Emphasis"/>
    <w:basedOn w:val="DefaultParagraphFont"/>
    <w:qFormat/>
    <w:rsid w:val="006F1D6D"/>
    <w:rPr>
      <w:i/>
      <w:iCs/>
    </w:rPr>
  </w:style>
  <w:style w:type="character" w:customStyle="1" w:styleId="PageHeadingChar">
    <w:name w:val="PageHeading Char"/>
    <w:basedOn w:val="DefaultParagraphFont"/>
    <w:link w:val="PageHeading"/>
    <w:rsid w:val="006F1D6D"/>
    <w:rPr>
      <w:rFonts w:ascii="Arial" w:hAnsi="Arial" w:cs="Arial"/>
      <w:b/>
      <w:sz w:val="24"/>
      <w:lang w:val="da-DK"/>
    </w:rPr>
  </w:style>
  <w:style w:type="paragraph" w:styleId="Footer">
    <w:name w:val="footer"/>
    <w:basedOn w:val="Normal"/>
    <w:link w:val="FooterChar"/>
    <w:rsid w:val="005012C5"/>
    <w:pPr>
      <w:tabs>
        <w:tab w:val="center" w:pos="4513"/>
        <w:tab w:val="right" w:pos="9026"/>
      </w:tabs>
    </w:pPr>
  </w:style>
  <w:style w:type="character" w:customStyle="1" w:styleId="FooterChar">
    <w:name w:val="Footer Char"/>
    <w:basedOn w:val="DefaultParagraphFont"/>
    <w:link w:val="Footer"/>
    <w:rsid w:val="005012C5"/>
    <w:rPr>
      <w:sz w:val="24"/>
      <w:lang w:val="da-DK"/>
    </w:rPr>
  </w:style>
  <w:style w:type="character" w:styleId="CommentReference">
    <w:name w:val="annotation reference"/>
    <w:basedOn w:val="DefaultParagraphFont"/>
    <w:rsid w:val="005012C5"/>
    <w:rPr>
      <w:sz w:val="16"/>
      <w:szCs w:val="16"/>
    </w:rPr>
  </w:style>
  <w:style w:type="paragraph" w:styleId="CommentText">
    <w:name w:val="annotation text"/>
    <w:basedOn w:val="Normal"/>
    <w:link w:val="CommentTextChar"/>
    <w:rsid w:val="005012C5"/>
    <w:rPr>
      <w:sz w:val="20"/>
    </w:rPr>
  </w:style>
  <w:style w:type="character" w:customStyle="1" w:styleId="CommentTextChar">
    <w:name w:val="Comment Text Char"/>
    <w:basedOn w:val="DefaultParagraphFont"/>
    <w:link w:val="CommentText"/>
    <w:rsid w:val="005012C5"/>
    <w:rPr>
      <w:lang w:val="da-DK"/>
    </w:rPr>
  </w:style>
  <w:style w:type="paragraph" w:styleId="CommentSubject">
    <w:name w:val="annotation subject"/>
    <w:basedOn w:val="CommentText"/>
    <w:next w:val="CommentText"/>
    <w:link w:val="CommentSubjectChar"/>
    <w:rsid w:val="005012C5"/>
    <w:rPr>
      <w:b/>
      <w:bCs/>
    </w:rPr>
  </w:style>
  <w:style w:type="character" w:customStyle="1" w:styleId="CommentSubjectChar">
    <w:name w:val="Comment Subject Char"/>
    <w:basedOn w:val="CommentTextChar"/>
    <w:link w:val="CommentSubject"/>
    <w:rsid w:val="005012C5"/>
    <w:rPr>
      <w:b/>
      <w:bCs/>
      <w:lang w:val="da-DK"/>
    </w:rPr>
  </w:style>
  <w:style w:type="paragraph" w:styleId="BalloonText">
    <w:name w:val="Balloon Text"/>
    <w:basedOn w:val="Normal"/>
    <w:link w:val="BalloonTextChar"/>
    <w:rsid w:val="005012C5"/>
    <w:rPr>
      <w:rFonts w:ascii="Segoe UI" w:hAnsi="Segoe UI" w:cs="Segoe UI"/>
      <w:sz w:val="18"/>
      <w:szCs w:val="18"/>
    </w:rPr>
  </w:style>
  <w:style w:type="character" w:customStyle="1" w:styleId="BalloonTextChar">
    <w:name w:val="Balloon Text Char"/>
    <w:basedOn w:val="DefaultParagraphFont"/>
    <w:link w:val="BalloonText"/>
    <w:rsid w:val="005012C5"/>
    <w:rPr>
      <w:rFonts w:ascii="Segoe UI" w:hAnsi="Segoe UI" w:cs="Segoe UI"/>
      <w:sz w:val="18"/>
      <w:szCs w:val="18"/>
      <w:lang w:val="da-DK"/>
    </w:rPr>
  </w:style>
  <w:style w:type="character" w:styleId="Hyperlink">
    <w:name w:val="Hyperlink"/>
    <w:basedOn w:val="DefaultParagraphFont"/>
    <w:rsid w:val="00AC611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2E63F8-673C-4218-858F-7F0C291B48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1469</Words>
  <Characters>9181</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BINKEVICIUTE Aurelija</cp:lastModifiedBy>
  <cp:revision>3</cp:revision>
  <cp:lastPrinted>2004-11-19T15:42:00Z</cp:lastPrinted>
  <dcterms:created xsi:type="dcterms:W3CDTF">2024-09-24T13:20:00Z</dcterms:created>
  <dcterms:modified xsi:type="dcterms:W3CDTF">2024-10-16T11:15:00Z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P9_TA(2024)0332_</vt:lpwstr>
  </property>
  <property fmtid="{D5CDD505-2E9C-101B-9397-08002B2CF9AE}" pid="4" name="&lt;Type&gt;">
    <vt:lpwstr>RR</vt:lpwstr>
  </property>
</Properties>
</file>