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6B0" w:rsidTr="0010095E">
        <w:trPr>
          <w:trHeight w:hRule="exact" w:val="1418"/>
        </w:trPr>
        <w:tc>
          <w:tcPr>
            <w:tcW w:w="6804" w:type="dxa"/>
            <w:shd w:val="clear" w:color="auto" w:fill="auto"/>
            <w:vAlign w:val="center"/>
          </w:tcPr>
          <w:p w:rsidR="00751A4A" w:rsidRPr="00AC26B0" w:rsidRDefault="00F83183" w:rsidP="0010095E">
            <w:pPr>
              <w:pStyle w:val="EPName"/>
            </w:pPr>
            <w:r w:rsidRPr="00AC26B0">
              <w:t>Europos Parlamentas</w:t>
            </w:r>
          </w:p>
          <w:p w:rsidR="00751A4A" w:rsidRPr="00AC26B0" w:rsidRDefault="00817416" w:rsidP="00756632">
            <w:pPr>
              <w:pStyle w:val="EPTerm"/>
              <w:rPr>
                <w:rStyle w:val="HideTWBExt"/>
                <w:noProof w:val="0"/>
                <w:vanish w:val="0"/>
                <w:color w:val="auto"/>
              </w:rPr>
            </w:pPr>
            <w:r w:rsidRPr="00AC26B0">
              <w:t>2019-2024</w:t>
            </w:r>
          </w:p>
        </w:tc>
        <w:tc>
          <w:tcPr>
            <w:tcW w:w="2268" w:type="dxa"/>
            <w:shd w:val="clear" w:color="auto" w:fill="auto"/>
          </w:tcPr>
          <w:p w:rsidR="00751A4A" w:rsidRPr="00AC26B0" w:rsidRDefault="00187494" w:rsidP="0010095E">
            <w:pPr>
              <w:pStyle w:val="EPLogo"/>
            </w:pPr>
            <w:r w:rsidRPr="00AC26B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6B0" w:rsidRDefault="00D058B8" w:rsidP="004C5D52">
      <w:pPr>
        <w:pStyle w:val="LineTop"/>
      </w:pPr>
    </w:p>
    <w:p w:rsidR="00680577" w:rsidRPr="00AC26B0" w:rsidRDefault="00F83183" w:rsidP="00680577">
      <w:pPr>
        <w:pStyle w:val="EPBodyTA1"/>
      </w:pPr>
      <w:r w:rsidRPr="00AC26B0">
        <w:t>PRIIMTI TEKSTAI</w:t>
      </w:r>
    </w:p>
    <w:p w:rsidR="00D058B8" w:rsidRPr="00AC26B0" w:rsidRDefault="00D058B8" w:rsidP="00D058B8">
      <w:pPr>
        <w:pStyle w:val="LineBottom"/>
      </w:pPr>
    </w:p>
    <w:p w:rsidR="00F83183" w:rsidRPr="00AC26B0" w:rsidRDefault="00F83183" w:rsidP="00F83183">
      <w:pPr>
        <w:pStyle w:val="ATHeading1"/>
      </w:pPr>
      <w:bookmarkStart w:id="0" w:name="TANumber"/>
      <w:r w:rsidRPr="00AC26B0">
        <w:t>P9_TA(2024)0</w:t>
      </w:r>
      <w:r w:rsidR="00937DF2">
        <w:t>332</w:t>
      </w:r>
      <w:bookmarkEnd w:id="0"/>
    </w:p>
    <w:p w:rsidR="00F83183" w:rsidRPr="00AC26B0" w:rsidRDefault="00F83183" w:rsidP="00F83183">
      <w:pPr>
        <w:pStyle w:val="ATHeading2"/>
      </w:pPr>
      <w:bookmarkStart w:id="1" w:name="title"/>
      <w:r w:rsidRPr="00AC26B0">
        <w:t>Europos prisitaikymo prie globalizacijos padarinių fondo lėšų mobilizavimas: Danijos paraiška „EGF/2023/004 DK Danish Crown“</w:t>
      </w:r>
      <w:bookmarkEnd w:id="1"/>
    </w:p>
    <w:p w:rsidR="00F83183" w:rsidRPr="00AC26B0" w:rsidRDefault="00F83183" w:rsidP="00F83183">
      <w:pPr>
        <w:rPr>
          <w:i/>
          <w:vanish/>
        </w:rPr>
      </w:pPr>
      <w:r w:rsidRPr="00AC26B0">
        <w:rPr>
          <w:i/>
        </w:rPr>
        <w:fldChar w:fldCharType="begin"/>
      </w:r>
      <w:r w:rsidRPr="00AC26B0">
        <w:rPr>
          <w:i/>
        </w:rPr>
        <w:instrText xml:space="preserve"> TC"(</w:instrText>
      </w:r>
      <w:bookmarkStart w:id="2" w:name="DocNumber"/>
      <w:r w:rsidRPr="00AC26B0">
        <w:rPr>
          <w:i/>
        </w:rPr>
        <w:instrText>A9-0171/2024</w:instrText>
      </w:r>
      <w:bookmarkEnd w:id="2"/>
      <w:r w:rsidRPr="00AC26B0">
        <w:rPr>
          <w:i/>
        </w:rPr>
        <w:instrText xml:space="preserve"> - Pranešėjas: Janusz Lewandowski)"\l3 \n&gt; \* MERGEFORMAT </w:instrText>
      </w:r>
      <w:r w:rsidRPr="00AC26B0">
        <w:rPr>
          <w:i/>
        </w:rPr>
        <w:fldChar w:fldCharType="end"/>
      </w:r>
    </w:p>
    <w:p w:rsidR="00F83183" w:rsidRPr="00AC26B0" w:rsidRDefault="00F83183" w:rsidP="00F83183">
      <w:pPr>
        <w:rPr>
          <w:vanish/>
        </w:rPr>
      </w:pPr>
      <w:bookmarkStart w:id="3" w:name="Commission"/>
      <w:r w:rsidRPr="00AC26B0">
        <w:rPr>
          <w:vanish/>
        </w:rPr>
        <w:t>Biudžeto komitetas</w:t>
      </w:r>
      <w:bookmarkEnd w:id="3"/>
    </w:p>
    <w:p w:rsidR="00F83183" w:rsidRPr="00AC26B0" w:rsidRDefault="00F83183" w:rsidP="00F83183">
      <w:pPr>
        <w:rPr>
          <w:vanish/>
        </w:rPr>
      </w:pPr>
      <w:bookmarkStart w:id="4" w:name="PE"/>
      <w:r w:rsidRPr="00AC26B0">
        <w:rPr>
          <w:vanish/>
        </w:rPr>
        <w:t>PE759.752</w:t>
      </w:r>
      <w:bookmarkEnd w:id="4"/>
    </w:p>
    <w:p w:rsidR="00F83183" w:rsidRPr="00AC26B0" w:rsidRDefault="00F83183" w:rsidP="002C08A2">
      <w:pPr>
        <w:pStyle w:val="ATHeading3"/>
      </w:pPr>
      <w:bookmarkStart w:id="5" w:name="Sujet"/>
      <w:r w:rsidRPr="00AC26B0">
        <w:t xml:space="preserve">2024 m. </w:t>
      </w:r>
      <w:r w:rsidR="002C08A2" w:rsidRPr="00AC26B0">
        <w:t>balandžio</w:t>
      </w:r>
      <w:r w:rsidRPr="00AC26B0">
        <w:t xml:space="preserve"> 24 d</w:t>
      </w:r>
      <w:r w:rsidR="00860B8A">
        <w:t>.</w:t>
      </w:r>
      <w:r w:rsidRPr="00AC26B0">
        <w:t xml:space="preserve"> Europos Parlamento rezoliucija dėl pasiūlymo dėl Europos Parlamento ir Tarybos sprendimo dėl Europos prisitaikymo prie globalizacijos padarinių fondo atleistiems darbuotojams lėšų mobilizavimo (Danijos paraiška „EGF/2023/004 DK/Danish Crown“)</w:t>
      </w:r>
      <w:bookmarkEnd w:id="5"/>
      <w:r w:rsidRPr="00AC26B0">
        <w:t xml:space="preserve"> </w:t>
      </w:r>
      <w:bookmarkStart w:id="6" w:name="References"/>
      <w:r w:rsidRPr="00AC26B0">
        <w:t>(COM(2024)0035 – C9-0040/2024 – 2024/0044(BUD))</w:t>
      </w:r>
      <w:bookmarkEnd w:id="6"/>
    </w:p>
    <w:p w:rsidR="00CB6B22" w:rsidRPr="00AC26B0" w:rsidRDefault="00CB6B22" w:rsidP="00CB6B22">
      <w:pPr>
        <w:pStyle w:val="EPComma"/>
        <w:rPr>
          <w:noProof/>
        </w:rPr>
      </w:pPr>
      <w:bookmarkStart w:id="7" w:name="TextBodyBegin"/>
      <w:bookmarkEnd w:id="7"/>
      <w:r w:rsidRPr="00AC26B0">
        <w:rPr>
          <w:i/>
        </w:rPr>
        <w:t>Europos Parlamentas</w:t>
      </w:r>
      <w:r w:rsidRPr="00AC26B0">
        <w:t>,</w:t>
      </w:r>
    </w:p>
    <w:p w:rsidR="00CB6B22" w:rsidRPr="00AC26B0" w:rsidRDefault="00CB6B22" w:rsidP="00CB6B22">
      <w:pPr>
        <w:pStyle w:val="NormalHanging12a"/>
        <w:rPr>
          <w:noProof/>
        </w:rPr>
      </w:pPr>
      <w:r w:rsidRPr="00AC26B0">
        <w:t>–</w:t>
      </w:r>
      <w:r w:rsidRPr="00AC26B0">
        <w:tab/>
        <w:t>atsižvelgdamas į Komisijos pasiūlymą Europos Parlamentui ir Tarybai (COM(2024)0035 – C9</w:t>
      </w:r>
      <w:r w:rsidRPr="00AC26B0">
        <w:noBreakHyphen/>
        <w:t>0040/2024),</w:t>
      </w:r>
    </w:p>
    <w:p w:rsidR="00CB6B22" w:rsidRPr="00AC26B0" w:rsidRDefault="00CB6B22" w:rsidP="00CB6B22">
      <w:pPr>
        <w:pStyle w:val="NormalHanging12a"/>
        <w:rPr>
          <w:noProof/>
        </w:rPr>
      </w:pPr>
      <w:r w:rsidRPr="00AC26B0">
        <w:t>–</w:t>
      </w:r>
      <w:r w:rsidRPr="00AC26B0">
        <w:tab/>
        <w:t>atsižvelgdamas į 2021 m. balandžio 28 d. Europos Parlamento ir Tarybos reglamentą (ES) 2021/691 dėl Europos prisitaikymo prie globalizacijos padarinių fondo atleistiems darbuotojams (EGF), kuriuo panaikinamas Reglamentas (ES) Nr. 1309/2013</w:t>
      </w:r>
      <w:r w:rsidRPr="00AC26B0">
        <w:rPr>
          <w:rStyle w:val="FootnoteReference"/>
        </w:rPr>
        <w:footnoteReference w:id="1"/>
      </w:r>
      <w:r w:rsidRPr="00AC26B0">
        <w:t xml:space="preserve"> (toliau – EGF reglamentas),</w:t>
      </w:r>
    </w:p>
    <w:p w:rsidR="00CB6B22" w:rsidRPr="00AC26B0" w:rsidRDefault="00CB6B22" w:rsidP="00CB6B22">
      <w:pPr>
        <w:pStyle w:val="NormalHanging12a"/>
        <w:rPr>
          <w:noProof/>
        </w:rPr>
      </w:pPr>
      <w:r w:rsidRPr="00AC26B0">
        <w:t>–</w:t>
      </w:r>
      <w:r w:rsidRPr="00AC26B0">
        <w:tab/>
        <w:t>atsižvelgdamas į 2020 m. gruodžio 17 d. Tarybos reglamentą (ES, Euratomas) 2020/2093, kuriuo nustatoma 2021–2027 m. daugiametė finansinė programa</w:t>
      </w:r>
      <w:r w:rsidRPr="00AC26B0">
        <w:rPr>
          <w:rStyle w:val="FootnoteReference"/>
          <w:noProof/>
        </w:rPr>
        <w:footnoteReference w:id="2"/>
      </w:r>
      <w:r w:rsidRPr="00AC26B0">
        <w:t xml:space="preserve">, su pakeitimais, padarytais </w:t>
      </w:r>
      <w:r w:rsidR="002C08A2">
        <w:t>2024</w:t>
      </w:r>
      <w:r w:rsidR="002C08A2" w:rsidRPr="00AC26B0">
        <w:t> </w:t>
      </w:r>
      <w:r w:rsidR="002C08A2">
        <w:t>m. vasario 29</w:t>
      </w:r>
      <w:r w:rsidR="002C08A2" w:rsidRPr="00AC26B0">
        <w:t> </w:t>
      </w:r>
      <w:r w:rsidR="002C08A2">
        <w:t xml:space="preserve">d. </w:t>
      </w:r>
      <w:r w:rsidR="002C08A2" w:rsidRPr="00AC26B0">
        <w:t xml:space="preserve">Tarybos </w:t>
      </w:r>
      <w:r w:rsidR="002C08A2">
        <w:t>r</w:t>
      </w:r>
      <w:r w:rsidRPr="00AC26B0">
        <w:t>eglamentu (ES, Euratomas) 2024/765</w:t>
      </w:r>
      <w:r w:rsidRPr="00AC26B0">
        <w:rPr>
          <w:rStyle w:val="FootnoteReference"/>
          <w:bdr w:val="none" w:sz="0" w:space="0" w:color="auto" w:frame="1"/>
        </w:rPr>
        <w:footnoteReference w:id="3"/>
      </w:r>
      <w:r w:rsidRPr="00AC26B0">
        <w:t xml:space="preserve">, </w:t>
      </w:r>
      <w:r w:rsidR="002C08A2" w:rsidRPr="00AC26B0">
        <w:t>kuriuo iš dalies keičiamas Reglamentas (ES, Euratomas) 2020/2093, kuriuo nustatoma 2021–2027 m. daugiametė finansinė programa</w:t>
      </w:r>
      <w:r w:rsidR="002C08A2">
        <w:t>,</w:t>
      </w:r>
      <w:r w:rsidR="002C08A2" w:rsidRPr="00AC26B0">
        <w:t xml:space="preserve"> </w:t>
      </w:r>
      <w:r w:rsidRPr="00AC26B0">
        <w:t>ypač į jo 8 straipsnį,</w:t>
      </w:r>
    </w:p>
    <w:p w:rsidR="00CB6B22" w:rsidRPr="00AC26B0" w:rsidRDefault="00CB6B22" w:rsidP="00CB6B22">
      <w:pPr>
        <w:pStyle w:val="NormalHanging12a"/>
        <w:rPr>
          <w:noProof/>
        </w:rPr>
      </w:pPr>
      <w:r w:rsidRPr="00AC26B0">
        <w:t>–</w:t>
      </w:r>
      <w:r w:rsidRPr="00AC26B0">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AC26B0">
        <w:rPr>
          <w:rStyle w:val="FootnoteReference"/>
          <w:noProof/>
        </w:rPr>
        <w:footnoteReference w:id="4"/>
      </w:r>
      <w:r w:rsidRPr="00AC26B0">
        <w:t>, ypač į jo 12 punktą,</w:t>
      </w:r>
    </w:p>
    <w:p w:rsidR="00CB6B22" w:rsidRPr="00AC26B0" w:rsidRDefault="00CB6B22" w:rsidP="00CB6B22">
      <w:pPr>
        <w:pStyle w:val="NormalHanging12a"/>
        <w:rPr>
          <w:noProof/>
        </w:rPr>
      </w:pPr>
      <w:r w:rsidRPr="00AC26B0">
        <w:t>–</w:t>
      </w:r>
      <w:r w:rsidRPr="00AC26B0">
        <w:tab/>
        <w:t>atsižvelgdamas į Užimtumo ir socialinių reikalų komiteto laišką,</w:t>
      </w:r>
    </w:p>
    <w:p w:rsidR="00CB6B22" w:rsidRPr="00AC26B0" w:rsidRDefault="00CB6B22" w:rsidP="00CB6B22">
      <w:pPr>
        <w:pStyle w:val="NormalHanging12a"/>
      </w:pPr>
      <w:r w:rsidRPr="00AC26B0">
        <w:t>–</w:t>
      </w:r>
      <w:r w:rsidRPr="00AC26B0">
        <w:tab/>
        <w:t>atsižvelgdamas į Biudžeto komiteto pranešimą (A9-0171/2024),</w:t>
      </w:r>
    </w:p>
    <w:p w:rsidR="00CB6B22" w:rsidRPr="00AC26B0" w:rsidRDefault="00CB6B22" w:rsidP="00CB6B22">
      <w:pPr>
        <w:pStyle w:val="NormalHanging12a"/>
        <w:rPr>
          <w:noProof/>
        </w:rPr>
      </w:pPr>
      <w:r w:rsidRPr="00AC26B0">
        <w:t>A.</w:t>
      </w:r>
      <w:r w:rsidRPr="00AC26B0">
        <w:tab/>
        <w:t xml:space="preserve">kadangi Sąjunga, siekdama teikti papildomą paramą darbuotojams, patiriantiems žalą </w:t>
      </w:r>
      <w:r w:rsidRPr="00AC26B0">
        <w:lastRenderedPageBreak/>
        <w:t>dėl esminių struktūrinių pasaulio prekybos sistemos pokyčių ar pasaulinės finansų ir ekonomikos krizės, ir padėti jiems vėl integruotis į darbo rinką, nustatė teisėkūros ir biudžetines priemones; kadangi ši pagalba yra finansinė parama, teikiama darbuotojams ir įmonėms, kuriose jie dirbo;</w:t>
      </w:r>
    </w:p>
    <w:p w:rsidR="00CB6B22" w:rsidRPr="00AC26B0" w:rsidRDefault="00CB6B22" w:rsidP="00CB6B22">
      <w:pPr>
        <w:widowControl/>
        <w:spacing w:after="240"/>
        <w:ind w:left="567" w:hanging="567"/>
      </w:pPr>
      <w:r w:rsidRPr="00AC26B0">
        <w:t>B.</w:t>
      </w:r>
      <w:r w:rsidRPr="00AC26B0">
        <w:tab/>
        <w:t>kadangi Danija pateikė paraišką „EGF/2023/004 DK/Danish Crown“ dėl finansinės paramos iš Europos prisitaikymo prie globalizacijos padarinių fondo (EGF), nes Šiaurės Jutlandijos regione ekonomikos sektoriuje, kuris priskiriamas NACE 2 red. 10 skyriui (Maisto produktų gamyba), iš viso buvo atleistas 751 darbuotojas</w:t>
      </w:r>
      <w:r w:rsidRPr="00AC26B0">
        <w:rPr>
          <w:rStyle w:val="FootnoteReference"/>
        </w:rPr>
        <w:footnoteReference w:id="5"/>
      </w:r>
      <w:r w:rsidRPr="00AC26B0">
        <w:t>: 692 darbuotojai atleisti per paraiškos ataskaitinį laikotarpį nuo 2023 m. gegužės 19 d. iki 2023 m. rugsėjo 19 d. ir 59 darbuotojai atleisti prieš ataskaitinį laikotarpį arba po jo;</w:t>
      </w:r>
    </w:p>
    <w:p w:rsidR="00CB6B22" w:rsidRPr="00AC26B0" w:rsidRDefault="00CB6B22" w:rsidP="00CB6B22">
      <w:pPr>
        <w:pStyle w:val="NormalHanging12a"/>
      </w:pPr>
      <w:r w:rsidRPr="00AC26B0">
        <w:t>C.</w:t>
      </w:r>
      <w:r w:rsidRPr="00AC26B0">
        <w:tab/>
        <w:t>kadangi paraiška susijusi su 692 atleistais darbuotojais, kurių veikla nutrūko per paraiškos ataskaitinį laikotarpį: 651 darbuotoju, atleistu iš „Danish Crown“ („Danish Crown A/S“), ir 41 darbuotoju, atleistu iš dviejų „Danish Crown“ tiekėjų ir tolesnės gamybos grandies įmonių</w:t>
      </w:r>
      <w:r w:rsidRPr="00AC26B0">
        <w:rPr>
          <w:rStyle w:val="FootnoteReference"/>
        </w:rPr>
        <w:footnoteReference w:id="6"/>
      </w:r>
      <w:r w:rsidRPr="00AC26B0">
        <w:t>;</w:t>
      </w:r>
    </w:p>
    <w:p w:rsidR="00CB6B22" w:rsidRPr="00AC26B0" w:rsidRDefault="00CB6B22" w:rsidP="00CB6B22">
      <w:pPr>
        <w:pStyle w:val="NormalHanging12a"/>
      </w:pPr>
      <w:r w:rsidRPr="00AC26B0">
        <w:t>D.</w:t>
      </w:r>
      <w:r w:rsidRPr="00AC26B0">
        <w:tab/>
        <w:t>kadangi paraiška susijusi su 59 atleistais darbuotojais, kurių veikla nutrūko prieš keturių mėnesių ataskaitinį laikotarpį arba po jo, kai galima nustatyti aiškų priežastinį ryšį su įvykiu, dėl kurio ataskaitiniu laikotarpiu nutrūko atleistų darbuotojų veikla, kaip reikalaujama EGF reglamento 6 straipsnio antroje pastraipoje;</w:t>
      </w:r>
      <w:r w:rsidRPr="00AC26B0">
        <w:rPr>
          <w:sz w:val="23"/>
        </w:rPr>
        <w:t xml:space="preserve"> </w:t>
      </w:r>
    </w:p>
    <w:p w:rsidR="00CB6B22" w:rsidRPr="00AC26B0" w:rsidRDefault="00CB6B22" w:rsidP="00CB6B22">
      <w:pPr>
        <w:pStyle w:val="NormalHanging12a"/>
      </w:pPr>
      <w:r w:rsidRPr="00AC26B0">
        <w:t>E.</w:t>
      </w:r>
      <w:r w:rsidRPr="00AC26B0">
        <w:tab/>
        <w:t>kadangi paraiška pateikta pagal EGF reglamento 4 straipsnio 2 dalies a punkte nustatytus intervencijos kriterijus, pagal kuriuos per ataskaitinį keturių mėnesių laikotarpį iš valstybės narės įmonės turi būti atleista ne mažiau kaip 200 darbuotojų, įskaitant darbuotojus, atleistus iš jos tiekimo ir tolesnės gamybos grandies įmonių, ir (arba) savarankiškai dirbančius asmenis, kurių veikla nutrūko;</w:t>
      </w:r>
    </w:p>
    <w:p w:rsidR="00CB6B22" w:rsidRPr="002C08A2" w:rsidRDefault="00CB6B22" w:rsidP="00CB6B22">
      <w:pPr>
        <w:pStyle w:val="NormalHanging12a"/>
        <w:rPr>
          <w:szCs w:val="24"/>
        </w:rPr>
      </w:pPr>
      <w:r w:rsidRPr="00AC26B0">
        <w:t>F.</w:t>
      </w:r>
      <w:r w:rsidRPr="00AC26B0">
        <w:tab/>
      </w:r>
      <w:r w:rsidRPr="002C08A2">
        <w:rPr>
          <w:szCs w:val="24"/>
        </w:rPr>
        <w:t>kadangi Danijos skerdyklų sektorius išgyvena struktūrinę krizę;</w:t>
      </w:r>
      <w:r w:rsidRPr="00315403">
        <w:rPr>
          <w:szCs w:val="24"/>
        </w:rPr>
        <w:t xml:space="preserve"> kadangi nuo 2005 m. Danijoje paskerstų kiaulių skaičius sumažėjo 4,4 mln. (20 proc.); kadangi šį sumažėjimą daugiausia lėmė perėjimas nuo skersti skirtų kiaulių auginimo prie eksportui skirtų paršelių auginimo; </w:t>
      </w:r>
      <w:r w:rsidRPr="002C08A2">
        <w:rPr>
          <w:szCs w:val="24"/>
        </w:rPr>
        <w:t>kadangi dėl mažų kiaulienos kainų Danijos ūkininkams eksportuoti paršelius pelningiau nei auginti skerstinas penimas kiaules;</w:t>
      </w:r>
    </w:p>
    <w:p w:rsidR="00CB6B22" w:rsidRPr="002C08A2" w:rsidRDefault="00CB6B22" w:rsidP="00CB6B22">
      <w:pPr>
        <w:pStyle w:val="NormalHanging12a"/>
        <w:rPr>
          <w:rFonts w:eastAsia="Calibri"/>
          <w:szCs w:val="24"/>
        </w:rPr>
      </w:pPr>
      <w:r w:rsidRPr="002C08A2">
        <w:rPr>
          <w:szCs w:val="24"/>
        </w:rPr>
        <w:t>G.</w:t>
      </w:r>
      <w:r w:rsidRPr="002C08A2">
        <w:rPr>
          <w:szCs w:val="24"/>
        </w:rPr>
        <w:tab/>
      </w:r>
      <w:r w:rsidRPr="00315403">
        <w:rPr>
          <w:szCs w:val="24"/>
        </w:rPr>
        <w:t xml:space="preserve">kadangi „Danish Crown“ yra Danijos maisto pramonės bendrovių grupė, užsiimanti mėsos, daugiausia kiaulienos ir jautienos, perdirbimu ir pardavimu; </w:t>
      </w:r>
      <w:r w:rsidRPr="002C08A2">
        <w:rPr>
          <w:szCs w:val="24"/>
        </w:rPr>
        <w:t>kadangi darbuotojai buvo atleisti, nes, sumažėjus skerstinų kiaulių skaičiui, buvo uždaryta įmonės „Danish Crown“ skerdykla Frederikshauno savivaldybėje esančiame Sebiu mieste;</w:t>
      </w:r>
    </w:p>
    <w:p w:rsidR="00CB6B22" w:rsidRPr="00AC26B0" w:rsidRDefault="00CB6B22" w:rsidP="00CB6B22">
      <w:pPr>
        <w:pStyle w:val="NormalHanging12a"/>
      </w:pPr>
      <w:r w:rsidRPr="002C08A2">
        <w:rPr>
          <w:szCs w:val="24"/>
        </w:rPr>
        <w:t>H.</w:t>
      </w:r>
      <w:r w:rsidRPr="002C08A2">
        <w:rPr>
          <w:szCs w:val="24"/>
        </w:rPr>
        <w:tab/>
        <w:t>kadangi buvo laikomasi nacionalinės ir Sąjungos teisės aktuose nustatytų su</w:t>
      </w:r>
      <w:r w:rsidRPr="00AC26B0">
        <w:t xml:space="preserve"> kolektyviniu atleidimu iš darbo susijusių reikalavimų;</w:t>
      </w:r>
    </w:p>
    <w:p w:rsidR="00CB6B22" w:rsidRPr="00AC26B0" w:rsidRDefault="00CB6B22" w:rsidP="00CB6B22">
      <w:pPr>
        <w:pStyle w:val="NormalHanging12a"/>
      </w:pPr>
      <w:r w:rsidRPr="00AC26B0">
        <w:t>I.</w:t>
      </w:r>
      <w:r w:rsidRPr="00AC26B0">
        <w:tab/>
        <w:t>kadangi EGF finansinis įnašas pirmiausia turėtų būti skiriamas aktyvioms darbo rinkos priemonėms ir prie individualių poreikių pritaikytoms paslaugoms, kuriomis siekiama greitai reintegruoti paramos gavėjus padedant jiems gauti deramas ir tvarias darbo vietas pradiniame jų veiklos ar kitame sektoriuje, kartu rengiant juos žalesnei ir labiau skaitmeninei Europos ekonomikai;</w:t>
      </w:r>
    </w:p>
    <w:p w:rsidR="00CB6B22" w:rsidRPr="00AC26B0" w:rsidRDefault="00CB6B22" w:rsidP="00CB6B22">
      <w:pPr>
        <w:pStyle w:val="NormalHanging12a"/>
      </w:pPr>
      <w:r w:rsidRPr="00AC26B0">
        <w:t>J.</w:t>
      </w:r>
      <w:r w:rsidRPr="00AC26B0">
        <w:tab/>
        <w:t xml:space="preserve">kadangi atlikus DFP peržiūrą EGF didžiausia metinė suma sumažinama nuo </w:t>
      </w:r>
      <w:r w:rsidRPr="00AC26B0">
        <w:lastRenderedPageBreak/>
        <w:t>186 mln. EUR iki 30 mln. EUR (2018 m. kainomis), kaip nustatyta Tarybos reglamento (ES, Euratomas) 2020/2093 su pakeitimais, padarytais Reglamentu (ES, Euratomas) 2024/765, 8 straipsnyje; kadangi Komisija turėtų stebėti EGF įgyvendinimą ir visos institucijos turėtų imtis visų būtinų priemonių siekiant užtikrinti, kad būtų patenkinti visi pagrįsti prašymai dėl EGF paramos, taip pademonstruojant Sąjungos solidarumą;</w:t>
      </w:r>
    </w:p>
    <w:p w:rsidR="00CB6B22" w:rsidRPr="00AC26B0" w:rsidRDefault="00CB6B22" w:rsidP="00CB6B22">
      <w:pPr>
        <w:pStyle w:val="NormalHanging12a"/>
      </w:pPr>
      <w:r w:rsidRPr="00AC26B0">
        <w:t>1.</w:t>
      </w:r>
      <w:r w:rsidRPr="00AC26B0">
        <w:tab/>
        <w:t>pritaria Komisijai, kad tenkinamos EGF reglamento 4 straipsnio 2 dalies a punkte nustatytos sąlygos ir kad Danija turi teisę pagal šį reglamentą gauti finansinę 1 882 212 EUR paramą, kuri sudaro 60 proc. visų išlaidų, siekiančių 3 137 021 EUR ir apimančių prie individualių poreikių pritaikytų paslaugų išlaidas (2 878 001 EUR) ir parengiamosios, valdymo, informavimo ir viešinimo, kontrolės ir ataskaitų teikimo veiklos išlaidas (259 020 EUR);</w:t>
      </w:r>
    </w:p>
    <w:p w:rsidR="00CB6B22" w:rsidRPr="00AC26B0" w:rsidRDefault="00CB6B22" w:rsidP="00CB6B22">
      <w:pPr>
        <w:pStyle w:val="NormalHanging12a"/>
      </w:pPr>
      <w:r w:rsidRPr="00AC26B0">
        <w:t>2.</w:t>
      </w:r>
      <w:r w:rsidRPr="00AC26B0">
        <w:tab/>
        <w:t xml:space="preserve">pažymi, kad Danijos valdžios institucijos paraišką pateikė 2023 m. gruodžio 6 d. ir kad, Danijai pateikus papildomą informaciją, Komisija 2024 m. vasario 29 d. baigė savo vertinimą ir tą pačią dieną informavo Parlamentą; </w:t>
      </w:r>
    </w:p>
    <w:p w:rsidR="00CB6B22" w:rsidRPr="00AC26B0" w:rsidRDefault="00CB6B22" w:rsidP="00CB6B22">
      <w:pPr>
        <w:pStyle w:val="NormalHanging12a"/>
      </w:pPr>
      <w:r w:rsidRPr="00AC26B0">
        <w:t>3.</w:t>
      </w:r>
      <w:r w:rsidRPr="00AC26B0">
        <w:tab/>
        <w:t>pažymi, kad paraiška susijusi su 751 atleistu darbuotoju, nukentėjusiu dėl įmonės „Danish Crown“ skerdyklos Sebiu mieste uždarymo; taip pat pažymi, kad tiksliniai paramos gavėjai bus iš viso 390 atleistų darbuotojų, kurie turėtų pasinaudoti priemonėmis;</w:t>
      </w:r>
    </w:p>
    <w:p w:rsidR="00CB6B22" w:rsidRPr="00AC26B0" w:rsidRDefault="00CB6B22" w:rsidP="00CB6B22">
      <w:pPr>
        <w:pStyle w:val="Default"/>
        <w:spacing w:after="240"/>
        <w:ind w:left="567" w:hanging="567"/>
        <w:rPr>
          <w:color w:val="auto"/>
        </w:rPr>
      </w:pPr>
      <w:r w:rsidRPr="00AC26B0">
        <w:rPr>
          <w:color w:val="auto"/>
        </w:rPr>
        <w:t>4.</w:t>
      </w:r>
      <w:r w:rsidRPr="00AC26B0">
        <w:rPr>
          <w:color w:val="auto"/>
        </w:rPr>
        <w:tab/>
        <w:t>atkreipia dėmesį į tai, kad dauguma atleistų darbuotojų turi žemą formalių kvalifikacijų lygį (46 proc.) arba gana pasenusias kvalifikacijas ir įgūdžius (40 proc.);</w:t>
      </w:r>
      <w:r w:rsidRPr="00AC26B0">
        <w:rPr>
          <w:color w:val="auto"/>
          <w:sz w:val="23"/>
        </w:rPr>
        <w:t xml:space="preserve"> </w:t>
      </w:r>
      <w:r w:rsidRPr="00AC26B0">
        <w:rPr>
          <w:color w:val="auto"/>
        </w:rPr>
        <w:t xml:space="preserve">atkreipia dėmesį į tai, kad 305 (41 proc.) atleisti darbuotojai yra migrantų kilmės ir gerai nemoka danų kalbos; pagal EGF paketą taip pat siūlomos priemonės, kuriomis siekiama gerinti bendruosius gebėjimus, įskaitant danų kalbos įgūdžius; </w:t>
      </w:r>
    </w:p>
    <w:p w:rsidR="00CB6B22" w:rsidRPr="00AC26B0" w:rsidRDefault="00CB6B22" w:rsidP="00CB6B22">
      <w:pPr>
        <w:pStyle w:val="NormalHanging12a"/>
      </w:pPr>
      <w:r w:rsidRPr="00AC26B0">
        <w:t>5.</w:t>
      </w:r>
      <w:r w:rsidRPr="00AC26B0">
        <w:tab/>
        <w:t xml:space="preserve">palankiai vertina tai, kad Danija parengė suderintą prie individualių poreikių pritaikytų paslaugų paketą konsultuodamasi su tiksliniais paramos gavėjais, jų atstovais ir socialiniais partneriais; </w:t>
      </w:r>
    </w:p>
    <w:p w:rsidR="00CB6B22" w:rsidRPr="00AC26B0" w:rsidRDefault="00CB6B22" w:rsidP="00CB6B22">
      <w:pPr>
        <w:pStyle w:val="NormalHanging12a"/>
      </w:pPr>
      <w:r w:rsidRPr="00AC26B0">
        <w:t>6.</w:t>
      </w:r>
      <w:r w:rsidRPr="00AC26B0">
        <w:tab/>
        <w:t>primena, kad prie individualių poreikių pritaikytas paslaugas, kurias ketinama teikti darbuotojams ir savarankiškai dirbantiems asmenims, sudaro šie veiksmai: motyvacija, dalyvavimo tęstinumas, bendrųjų gebėjimų mokymas, kvalifikacijos kėlimo ir (arba) perkvalifikavimo mokymas, mokymo ir darbo paieškos išmoka;</w:t>
      </w:r>
    </w:p>
    <w:p w:rsidR="00CB6B22" w:rsidRPr="00AC26B0" w:rsidRDefault="00CB6B22" w:rsidP="00315403">
      <w:pPr>
        <w:pStyle w:val="NormalHanging12a"/>
      </w:pPr>
      <w:r w:rsidRPr="00AC26B0">
        <w:t>7.</w:t>
      </w:r>
      <w:r w:rsidRPr="00AC26B0">
        <w:tab/>
        <w:t>labai palankiai vertina tai, kad mokymo pasiūlymai parengti atsižvelgiant į keletą tyrimų, kaip antai „Jobbarometer 2023“ (vietos darbo poreikių Frederikshauno, Joringo, Jamerbugto ir Brionderslevo savivaldybėje analizę), Dvimetį darbo rinkos balansą, kuriame apžvelgiamos galimos darbo vietos, ir projekto „FremKom4“ įgūdžių analizę ir kad pasiūlymais siekiama gerinti bendruosius gebėjimus (įskaitant kalbinius ir gebėjimo skaičiuoti), skaitmeninius gebėjimus ir tobulinti įgūdžius, kurie reikalingi tose darbo vietose, kuriose trūksta kvalifikuotų darbuotojų;</w:t>
      </w:r>
    </w:p>
    <w:p w:rsidR="00CB6B22" w:rsidRPr="00AC26B0" w:rsidRDefault="00CB6B22" w:rsidP="00CB6B22">
      <w:pPr>
        <w:pStyle w:val="NormalHanging12a"/>
      </w:pPr>
      <w:r w:rsidRPr="00AC26B0">
        <w:t>8.</w:t>
      </w:r>
      <w:r w:rsidRPr="00AC26B0">
        <w:tab/>
        <w:t xml:space="preserve">ypač pabrėžia, jog svarbi EGF reglamento 7 straipsnio 2 dalis, pagal kurią reikalaujama, kad pagal suderintą paketą būtų atsižvelgiama į darbo rinkos ateities perspektyvas ir būsimus įgūdžių, kurie būtų suderinami su perėjimu prie efektyvaus išteklių naudojimo ir tvarios ekonomikos, poreikius, ypatingą dėmesį skiriant įgūdžių, kurių reikia skaitmeninės pramonės amžiuje, sklaidai; </w:t>
      </w:r>
    </w:p>
    <w:p w:rsidR="00CB6B22" w:rsidRPr="00AC26B0" w:rsidRDefault="00CB6B22" w:rsidP="00CB6B22">
      <w:pPr>
        <w:pStyle w:val="NormalHanging12a"/>
      </w:pPr>
      <w:r w:rsidRPr="00AC26B0">
        <w:t>9.</w:t>
      </w:r>
      <w:r w:rsidRPr="00AC26B0">
        <w:tab/>
        <w:t xml:space="preserve">pažymi, kad prie individualių poreikių pritaikytas paslaugas tiksliniams paramos </w:t>
      </w:r>
      <w:r w:rsidRPr="00AC26B0">
        <w:lastRenderedPageBreak/>
        <w:t>gavėjams Danija pradėjo teikti 2023 m. spalio 16 d., taigi išlaidos joms bus laikomos tinkamomis finansuoti iš EGF finansinės paramos nuo 2023 m. spalio 16 d. iki tada, kai sueis 24 mėnesiai nuo finansavimo sprendimo įsigaliojimo dienos;</w:t>
      </w:r>
    </w:p>
    <w:p w:rsidR="00CB6B22" w:rsidRPr="00AC26B0" w:rsidRDefault="00CB6B22" w:rsidP="00CB6B22">
      <w:pPr>
        <w:pStyle w:val="NormalHanging12a"/>
        <w:rPr>
          <w:sz w:val="23"/>
          <w:szCs w:val="23"/>
        </w:rPr>
      </w:pPr>
      <w:r w:rsidRPr="00AC26B0">
        <w:t>10.</w:t>
      </w:r>
      <w:r w:rsidRPr="00AC26B0">
        <w:tab/>
        <w:t>pažymi, kad pirmąsias administracines išlaidas, susijusias su EGF paramos įgyvendinimu, Danija patyrė 2023 m. birželio 1 d., taigi išlaidos parengiamajai, valdymo, informavimo ir viešinimo, kontrolės ir ataskaitų teikimo veiklai laikomos tinkamomis finansuoti iš EGF finansinės paramos nuo 2023 m. birželio 1 d. iki tada, kai sueis 31 mėnuo nuo finansavimo sprendimo įsigaliojimo dienos;</w:t>
      </w:r>
    </w:p>
    <w:p w:rsidR="00CB6B22" w:rsidRPr="00AC26B0" w:rsidRDefault="00CB6B22" w:rsidP="00CB6B22">
      <w:pPr>
        <w:pStyle w:val="NormalHanging12a"/>
      </w:pPr>
      <w:r w:rsidRPr="00AC26B0">
        <w:t>11.</w:t>
      </w:r>
      <w:r w:rsidRPr="00AC26B0">
        <w:tab/>
        <w:t>pabrėžia, jog Danijos valdžios institucijos patvirtino, kad tinkamiems finansuoti veiksmams neteikiama parama naudojant kitus Sąjungos fondus ar kitas finansines priemones ir kad suteikiant galimybę naudotis siūlomais veiksmais ir juos įgyvendinant bus laikomasi vienodo požiūrio ir nediskriminavimo principų;</w:t>
      </w:r>
    </w:p>
    <w:p w:rsidR="00CB6B22" w:rsidRPr="00AC26B0" w:rsidRDefault="00CB6B22" w:rsidP="00CB6B22">
      <w:pPr>
        <w:pStyle w:val="NormalHanging12a"/>
      </w:pPr>
      <w:r w:rsidRPr="00AC26B0">
        <w:t>12.</w:t>
      </w:r>
      <w:r w:rsidRPr="00AC26B0">
        <w:tab/>
        <w:t xml:space="preserve">pakartoja, kad, siekiant užtikrinti visišką paramos papildomumą, EGF pagalba neturi pakeisti veiksmų, už kuriuos bendrovės atsakingos pagal nacionalinę teisę ar kolektyvines sutartis, arba jokių išmokų ar atleistų darbuotojų teisių; </w:t>
      </w:r>
    </w:p>
    <w:p w:rsidR="00CB6B22" w:rsidRPr="00AC26B0" w:rsidRDefault="00CB6B22" w:rsidP="00CB6B22">
      <w:pPr>
        <w:pStyle w:val="NormalHanging12a"/>
        <w:rPr>
          <w:noProof/>
        </w:rPr>
      </w:pPr>
      <w:r w:rsidRPr="00AC26B0">
        <w:t>13.</w:t>
      </w:r>
      <w:r w:rsidRPr="00AC26B0">
        <w:tab/>
        <w:t>pritaria prie šios rezoliucijos pridedamam sprendimui;</w:t>
      </w:r>
    </w:p>
    <w:p w:rsidR="00CB6B22" w:rsidRPr="00AC26B0" w:rsidRDefault="00CB6B22" w:rsidP="00CB6B22">
      <w:pPr>
        <w:pStyle w:val="NormalHanging12a"/>
        <w:rPr>
          <w:noProof/>
        </w:rPr>
      </w:pPr>
      <w:r w:rsidRPr="00AC26B0">
        <w:t>14.</w:t>
      </w:r>
      <w:r w:rsidRPr="00AC26B0">
        <w:tab/>
        <w:t xml:space="preserve">paveda Pirmininkei pasirašyti šį sprendimą su Tarybos pirmininku ir užtikrinti, kad jis būtų paskelbtas </w:t>
      </w:r>
      <w:r w:rsidRPr="00AC26B0">
        <w:rPr>
          <w:i/>
        </w:rPr>
        <w:t>Europos Sąjungos oficialiajame leidinyje</w:t>
      </w:r>
      <w:r w:rsidRPr="00AC26B0">
        <w:t>;</w:t>
      </w:r>
    </w:p>
    <w:p w:rsidR="00CB6B22" w:rsidRPr="00AC26B0" w:rsidRDefault="00CB6B22" w:rsidP="00DC0228">
      <w:pPr>
        <w:pStyle w:val="NormalHanging12a"/>
        <w:rPr>
          <w:noProof/>
        </w:rPr>
      </w:pPr>
      <w:r w:rsidRPr="00AC26B0">
        <w:t>15.</w:t>
      </w:r>
      <w:r w:rsidRPr="00AC26B0">
        <w:tab/>
        <w:t>paveda Pirmininkei perduoti šią rezoliuciją ir jos priedą Tarybai ir Komisijai.</w:t>
      </w:r>
    </w:p>
    <w:p w:rsidR="00CB6B22" w:rsidRPr="00AC26B0" w:rsidRDefault="00CB6B22" w:rsidP="00CB6B22">
      <w:pPr>
        <w:pStyle w:val="PageHeading"/>
        <w:rPr>
          <w:noProof/>
        </w:rPr>
        <w:sectPr w:rsidR="00CB6B22" w:rsidRPr="00AC26B0" w:rsidSect="00AC26B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0228" w:rsidRPr="00DC0228" w:rsidRDefault="00CB6B22" w:rsidP="00CB6B22">
      <w:pPr>
        <w:pStyle w:val="PageHeading"/>
        <w:rPr>
          <w:rFonts w:ascii="Times New Roman" w:hAnsi="Times New Roman" w:cs="Times New Roman"/>
        </w:rPr>
      </w:pPr>
      <w:bookmarkStart w:id="9" w:name="_Toc164414972"/>
      <w:r w:rsidRPr="00DC0228">
        <w:rPr>
          <w:rFonts w:ascii="Times New Roman" w:hAnsi="Times New Roman" w:cs="Times New Roman"/>
        </w:rPr>
        <w:lastRenderedPageBreak/>
        <w:t>PRIEDAS</w:t>
      </w:r>
    </w:p>
    <w:p w:rsidR="00CB6B22" w:rsidRPr="00DC0228" w:rsidRDefault="00CB6B22" w:rsidP="00CB6B22">
      <w:pPr>
        <w:pStyle w:val="PageHeading"/>
        <w:rPr>
          <w:rFonts w:ascii="Times New Roman" w:hAnsi="Times New Roman" w:cs="Times New Roman"/>
          <w:noProof/>
        </w:rPr>
      </w:pPr>
      <w:r w:rsidRPr="00DC0228">
        <w:rPr>
          <w:rFonts w:ascii="Times New Roman" w:hAnsi="Times New Roman" w:cs="Times New Roman"/>
        </w:rPr>
        <w:t>EUROPOS PARLAMENTO IR TARYBOS SPRENDIMAS</w:t>
      </w:r>
      <w:bookmarkEnd w:id="9"/>
    </w:p>
    <w:p w:rsidR="00CB6B22" w:rsidRPr="00AC26B0" w:rsidRDefault="00CB6B22" w:rsidP="00CB6B22">
      <w:pPr>
        <w:pStyle w:val="NormalBold24a"/>
      </w:pPr>
      <w:r w:rsidRPr="00AC26B0">
        <w:t xml:space="preserve">dėl Europos prisitaikymo prie globalizacijos padarinių fondo atleistiems darbuotojams lėšų mobilizavimo pagal Danijos paraišką </w:t>
      </w:r>
      <w:r w:rsidR="002C08A2">
        <w:t>(</w:t>
      </w:r>
      <w:r w:rsidRPr="00AC26B0">
        <w:t>„EGF/2023/004 DK Danish Crown“</w:t>
      </w:r>
      <w:r w:rsidR="002C08A2">
        <w:t>)</w:t>
      </w:r>
    </w:p>
    <w:p w:rsidR="00E365E1" w:rsidRPr="00AC26B0" w:rsidRDefault="001A465D" w:rsidP="001A465D">
      <w:pPr>
        <w:spacing w:after="240"/>
      </w:pPr>
      <w:r w:rsidRPr="002E2EB9">
        <w:rPr>
          <w:i/>
          <w:lang w:val="en-GB" w:eastAsia="de-DE"/>
        </w:rPr>
        <w:t>(</w:t>
      </w:r>
      <w:proofErr w:type="spellStart"/>
      <w:r w:rsidRPr="002E2EB9">
        <w:rPr>
          <w:i/>
          <w:lang w:val="en-GB" w:eastAsia="de-DE"/>
        </w:rPr>
        <w:t>Šio</w:t>
      </w:r>
      <w:proofErr w:type="spellEnd"/>
      <w:r w:rsidRPr="002E2EB9">
        <w:rPr>
          <w:i/>
          <w:lang w:val="en-GB" w:eastAsia="de-DE"/>
        </w:rPr>
        <w:t xml:space="preserve"> </w:t>
      </w:r>
      <w:proofErr w:type="spellStart"/>
      <w:r w:rsidRPr="002E2EB9">
        <w:rPr>
          <w:i/>
          <w:lang w:val="en-GB" w:eastAsia="de-DE"/>
        </w:rPr>
        <w:t>priedo</w:t>
      </w:r>
      <w:proofErr w:type="spellEnd"/>
      <w:r w:rsidRPr="002E2EB9">
        <w:rPr>
          <w:i/>
          <w:lang w:val="en-GB" w:eastAsia="de-DE"/>
        </w:rPr>
        <w:t xml:space="preserve"> </w:t>
      </w:r>
      <w:proofErr w:type="spellStart"/>
      <w:r w:rsidRPr="002E2EB9">
        <w:rPr>
          <w:i/>
          <w:lang w:val="en-GB" w:eastAsia="de-DE"/>
        </w:rPr>
        <w:t>tekstas</w:t>
      </w:r>
      <w:proofErr w:type="spellEnd"/>
      <w:r w:rsidRPr="002E2EB9">
        <w:rPr>
          <w:i/>
          <w:lang w:val="en-GB" w:eastAsia="de-DE"/>
        </w:rPr>
        <w:t xml:space="preserve"> </w:t>
      </w:r>
      <w:proofErr w:type="spellStart"/>
      <w:proofErr w:type="gramStart"/>
      <w:r w:rsidRPr="002E2EB9">
        <w:rPr>
          <w:i/>
          <w:lang w:val="en-GB" w:eastAsia="de-DE"/>
        </w:rPr>
        <w:t>čia</w:t>
      </w:r>
      <w:proofErr w:type="spellEnd"/>
      <w:proofErr w:type="gramEnd"/>
      <w:r w:rsidRPr="002E2EB9">
        <w:rPr>
          <w:i/>
          <w:lang w:val="en-GB" w:eastAsia="de-DE"/>
        </w:rPr>
        <w:t xml:space="preserve"> </w:t>
      </w:r>
      <w:proofErr w:type="spellStart"/>
      <w:r w:rsidRPr="002E2EB9">
        <w:rPr>
          <w:i/>
          <w:lang w:val="en-GB" w:eastAsia="de-DE"/>
        </w:rPr>
        <w:t>nepateikiamas</w:t>
      </w:r>
      <w:proofErr w:type="spellEnd"/>
      <w:r w:rsidRPr="002E2EB9">
        <w:rPr>
          <w:i/>
          <w:lang w:val="en-GB" w:eastAsia="de-DE"/>
        </w:rPr>
        <w:t xml:space="preserve">, </w:t>
      </w:r>
      <w:proofErr w:type="spellStart"/>
      <w:r w:rsidRPr="002E2EB9">
        <w:rPr>
          <w:i/>
          <w:lang w:val="en-GB" w:eastAsia="de-DE"/>
        </w:rPr>
        <w:t>nes</w:t>
      </w:r>
      <w:proofErr w:type="spellEnd"/>
      <w:r w:rsidRPr="002E2EB9">
        <w:rPr>
          <w:i/>
          <w:lang w:val="en-GB" w:eastAsia="de-DE"/>
        </w:rPr>
        <w:t xml:space="preserve"> </w:t>
      </w:r>
      <w:proofErr w:type="spellStart"/>
      <w:r w:rsidRPr="002E2EB9">
        <w:rPr>
          <w:i/>
          <w:lang w:val="en-GB" w:eastAsia="de-DE"/>
        </w:rPr>
        <w:t>jis</w:t>
      </w:r>
      <w:proofErr w:type="spellEnd"/>
      <w:r w:rsidRPr="002E2EB9">
        <w:rPr>
          <w:i/>
          <w:lang w:val="en-GB" w:eastAsia="de-DE"/>
        </w:rPr>
        <w:t xml:space="preserve"> </w:t>
      </w:r>
      <w:proofErr w:type="spellStart"/>
      <w:r w:rsidRPr="002E2EB9">
        <w:rPr>
          <w:i/>
          <w:lang w:val="en-GB" w:eastAsia="de-DE"/>
        </w:rPr>
        <w:t>atitinka</w:t>
      </w:r>
      <w:proofErr w:type="spellEnd"/>
      <w:r w:rsidRPr="002E2EB9">
        <w:rPr>
          <w:i/>
          <w:lang w:val="en-GB" w:eastAsia="de-DE"/>
        </w:rPr>
        <w:t xml:space="preserve"> </w:t>
      </w:r>
      <w:proofErr w:type="spellStart"/>
      <w:r w:rsidRPr="002E2EB9">
        <w:rPr>
          <w:i/>
          <w:lang w:val="en-GB" w:eastAsia="de-DE"/>
        </w:rPr>
        <w:t>galutinį</w:t>
      </w:r>
      <w:proofErr w:type="spellEnd"/>
      <w:r w:rsidRPr="002E2EB9">
        <w:rPr>
          <w:i/>
          <w:lang w:val="en-GB" w:eastAsia="de-DE"/>
        </w:rPr>
        <w:t xml:space="preserve"> </w:t>
      </w:r>
      <w:proofErr w:type="spellStart"/>
      <w:r w:rsidRPr="002E2EB9">
        <w:rPr>
          <w:i/>
          <w:lang w:val="en-GB" w:eastAsia="de-DE"/>
        </w:rPr>
        <w:t>aktą</w:t>
      </w:r>
      <w:proofErr w:type="spellEnd"/>
      <w:r w:rsidRPr="002E2EB9">
        <w:rPr>
          <w:i/>
          <w:lang w:val="en-GB" w:eastAsia="de-DE"/>
        </w:rPr>
        <w:t xml:space="preserve"> – </w:t>
      </w:r>
      <w:proofErr w:type="spellStart"/>
      <w:r w:rsidRPr="001A465D">
        <w:rPr>
          <w:i/>
          <w:lang w:val="en-GB" w:eastAsia="de-DE"/>
        </w:rPr>
        <w:t>Sprendimą</w:t>
      </w:r>
      <w:proofErr w:type="spellEnd"/>
      <w:r w:rsidRPr="001A465D">
        <w:rPr>
          <w:i/>
          <w:lang w:val="en-GB" w:eastAsia="de-DE"/>
        </w:rPr>
        <w:t xml:space="preserve"> (ES) 20</w:t>
      </w:r>
      <w:r w:rsidRPr="001A465D">
        <w:rPr>
          <w:i/>
          <w:lang w:val="en-GB" w:eastAsia="de-DE"/>
        </w:rPr>
        <w:t>24</w:t>
      </w:r>
      <w:r w:rsidRPr="001A465D">
        <w:rPr>
          <w:i/>
          <w:lang w:val="en-GB" w:eastAsia="de-DE"/>
        </w:rPr>
        <w:t>/</w:t>
      </w:r>
      <w:r>
        <w:rPr>
          <w:i/>
          <w:lang w:val="en-GB" w:eastAsia="de-DE"/>
        </w:rPr>
        <w:t>1299</w:t>
      </w:r>
      <w:r w:rsidRPr="002E2EB9">
        <w:rPr>
          <w:i/>
          <w:lang w:val="en-GB" w:eastAsia="de-DE"/>
        </w:rPr>
        <w:t>.)</w:t>
      </w:r>
      <w:bookmarkStart w:id="10" w:name="TextBodyEnd"/>
      <w:bookmarkEnd w:id="10"/>
    </w:p>
    <w:sectPr w:rsidR="00E365E1" w:rsidRPr="00AC26B0" w:rsidSect="00AC26B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183" w:rsidRPr="00AC26B0" w:rsidRDefault="00F83183">
      <w:r w:rsidRPr="00AC26B0">
        <w:separator/>
      </w:r>
    </w:p>
  </w:endnote>
  <w:endnote w:type="continuationSeparator" w:id="0">
    <w:p w:rsidR="00F83183" w:rsidRPr="00AC26B0" w:rsidRDefault="00F83183">
      <w:r w:rsidRPr="00AC26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B22" w:rsidRPr="00AC26B0" w:rsidRDefault="00CB6B22" w:rsidP="005A3EC4">
    <w:pPr>
      <w:pStyle w:val="EPFooter"/>
    </w:pPr>
    <w:r w:rsidRPr="00AC26B0">
      <w:t>PE</w:t>
    </w:r>
    <w:r w:rsidRPr="00AC26B0">
      <w:rPr>
        <w:rStyle w:val="HideTWBExt"/>
      </w:rPr>
      <w:t>&lt;NoPE&gt;</w:t>
    </w:r>
    <w:r w:rsidRPr="00AC26B0">
      <w:t>759.752</w:t>
    </w:r>
    <w:r w:rsidRPr="00AC26B0">
      <w:rPr>
        <w:rStyle w:val="HideTWBExt"/>
      </w:rPr>
      <w:t>&lt;/NoPE&gt;&lt;Version&gt;</w:t>
    </w:r>
    <w:r w:rsidRPr="00AC26B0">
      <w:t>v02-00</w:t>
    </w:r>
    <w:r w:rsidRPr="00AC26B0">
      <w:rPr>
        <w:rStyle w:val="HideTWBExt"/>
      </w:rPr>
      <w:t>&lt;/Version&gt;</w:t>
    </w:r>
    <w:r w:rsidRPr="00AC26B0">
      <w:tab/>
    </w:r>
    <w:r w:rsidRPr="00AC26B0">
      <w:fldChar w:fldCharType="begin"/>
    </w:r>
    <w:r w:rsidRPr="00AC26B0">
      <w:instrText xml:space="preserve"> PAGE  \* MERGEFORMAT </w:instrText>
    </w:r>
    <w:r w:rsidRPr="00AC26B0">
      <w:fldChar w:fldCharType="separate"/>
    </w:r>
    <w:r w:rsidR="00AC26B0" w:rsidRPr="00AC26B0">
      <w:rPr>
        <w:noProof/>
      </w:rPr>
      <w:t>2</w:t>
    </w:r>
    <w:r w:rsidRPr="00AC26B0">
      <w:fldChar w:fldCharType="end"/>
    </w:r>
    <w:r w:rsidRPr="00AC26B0">
      <w:t>/</w:t>
    </w:r>
    <w:r w:rsidR="00DC0228">
      <w:fldChar w:fldCharType="begin"/>
    </w:r>
    <w:r w:rsidR="00DC0228">
      <w:instrText xml:space="preserve"> NUMPAGES  \* MERGEFORMAT </w:instrText>
    </w:r>
    <w:r w:rsidR="00DC0228">
      <w:fldChar w:fldCharType="separate"/>
    </w:r>
    <w:r w:rsidR="00AC26B0" w:rsidRPr="00AC26B0">
      <w:rPr>
        <w:noProof/>
      </w:rPr>
      <w:t>7</w:t>
    </w:r>
    <w:r w:rsidR="00DC0228">
      <w:rPr>
        <w:noProof/>
      </w:rPr>
      <w:fldChar w:fldCharType="end"/>
    </w:r>
    <w:r w:rsidRPr="00AC26B0">
      <w:tab/>
    </w:r>
    <w:r w:rsidRPr="00AC26B0">
      <w:rPr>
        <w:rStyle w:val="HideTWBExt"/>
      </w:rPr>
      <w:t>&lt;PathFdR&gt;</w:t>
    </w:r>
    <w:r w:rsidRPr="00AC26B0">
      <w:t>RR\1300714LT.docx</w:t>
    </w:r>
    <w:r w:rsidRPr="00AC26B0">
      <w:rPr>
        <w:rStyle w:val="HideTWBExt"/>
      </w:rPr>
      <w:t>&lt;/PathFdR&gt;</w:t>
    </w:r>
  </w:p>
  <w:p w:rsidR="00CB6B22" w:rsidRPr="00AC26B0" w:rsidRDefault="00CB6B22" w:rsidP="005A3EC4">
    <w:pPr>
      <w:pStyle w:val="EPFooter2"/>
    </w:pPr>
    <w:r w:rsidRPr="00AC26B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B22" w:rsidRPr="00AC26B0" w:rsidRDefault="00CB6B22" w:rsidP="005A3EC4">
    <w:pPr>
      <w:pStyle w:val="EPFooter"/>
    </w:pPr>
    <w:r w:rsidRPr="00AC26B0">
      <w:rPr>
        <w:rStyle w:val="HideTWBExt"/>
      </w:rPr>
      <w:t>&lt;PathFdR&gt;</w:t>
    </w:r>
    <w:r w:rsidRPr="00AC26B0">
      <w:t>RR\1300714LT.docx</w:t>
    </w:r>
    <w:r w:rsidRPr="00AC26B0">
      <w:rPr>
        <w:rStyle w:val="HideTWBExt"/>
      </w:rPr>
      <w:t>&lt;/PathFdR&gt;</w:t>
    </w:r>
    <w:r w:rsidRPr="00AC26B0">
      <w:tab/>
    </w:r>
    <w:r w:rsidRPr="00AC26B0">
      <w:tab/>
      <w:t>PE</w:t>
    </w:r>
    <w:r w:rsidRPr="00AC26B0">
      <w:rPr>
        <w:rStyle w:val="HideTWBExt"/>
      </w:rPr>
      <w:t>&lt;NoPE&gt;</w:t>
    </w:r>
    <w:r w:rsidRPr="00AC26B0">
      <w:t>759.752</w:t>
    </w:r>
    <w:r w:rsidRPr="00AC26B0">
      <w:rPr>
        <w:rStyle w:val="HideTWBExt"/>
      </w:rPr>
      <w:t>&lt;/NoPE&gt;&lt;Version&gt;</w:t>
    </w:r>
    <w:r w:rsidRPr="00AC26B0">
      <w:t>v02-00</w:t>
    </w:r>
    <w:r w:rsidRPr="00AC26B0">
      <w:rPr>
        <w:rStyle w:val="HideTWBExt"/>
      </w:rPr>
      <w:t>&lt;/Version&gt;</w:t>
    </w:r>
  </w:p>
  <w:p w:rsidR="00CB6B22" w:rsidRPr="00AC26B0" w:rsidRDefault="00CB6B22" w:rsidP="005A3EC4">
    <w:pPr>
      <w:pStyle w:val="EPFooter2"/>
    </w:pPr>
    <w:r w:rsidRPr="00AC26B0">
      <w:t>LT</w:t>
    </w:r>
    <w:r w:rsidRPr="00AC26B0">
      <w:tab/>
    </w:r>
    <w:r w:rsidRPr="00AC26B0">
      <w:rPr>
        <w:b w:val="0"/>
        <w:i/>
        <w:color w:val="C0C0C0"/>
        <w:sz w:val="22"/>
      </w:rPr>
      <w:t>Suvienijusi įvairovę</w:t>
    </w:r>
    <w:r w:rsidRPr="00AC26B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183" w:rsidRPr="00AC26B0" w:rsidRDefault="00F83183">
      <w:r w:rsidRPr="00AC26B0">
        <w:separator/>
      </w:r>
    </w:p>
  </w:footnote>
  <w:footnote w:type="continuationSeparator" w:id="0">
    <w:p w:rsidR="00F83183" w:rsidRPr="00AC26B0" w:rsidRDefault="00F83183">
      <w:r w:rsidRPr="00AC26B0">
        <w:continuationSeparator/>
      </w:r>
    </w:p>
  </w:footnote>
  <w:footnote w:id="1">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OL L 153, 2021 5 3, p. 48.</w:t>
      </w:r>
    </w:p>
  </w:footnote>
  <w:footnote w:id="2">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OL L 433 I, 2020 12 22, p. 11.</w:t>
      </w:r>
    </w:p>
  </w:footnote>
  <w:footnote w:id="3">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OL L, 2024/765, 2024 2 29</w:t>
      </w:r>
      <w:r w:rsidRPr="001A465D">
        <w:rPr>
          <w:i/>
          <w:sz w:val="24"/>
          <w:lang w:val="lt-LT"/>
        </w:rPr>
        <w:t xml:space="preserve">, </w:t>
      </w:r>
      <w:r w:rsidRPr="001A465D">
        <w:rPr>
          <w:rStyle w:val="Emphasis"/>
          <w:i w:val="0"/>
          <w:color w:val="333333"/>
          <w:sz w:val="24"/>
          <w:shd w:val="clear" w:color="auto" w:fill="FFFFFF"/>
          <w:lang w:val="lt-LT"/>
        </w:rPr>
        <w:t xml:space="preserve">ELI: </w:t>
      </w:r>
      <w:hyperlink r:id="rId1" w:history="1">
        <w:r w:rsidRPr="00DC0228">
          <w:rPr>
            <w:rStyle w:val="Hyperlink"/>
            <w:sz w:val="24"/>
            <w:shd w:val="clear" w:color="auto" w:fill="FFFFFF"/>
            <w:lang w:val="lt-LT"/>
          </w:rPr>
          <w:t>http://data.europa.eu/eli/reg/2024/765/oj</w:t>
        </w:r>
      </w:hyperlink>
      <w:bookmarkStart w:id="8" w:name="_GoBack"/>
      <w:bookmarkEnd w:id="8"/>
      <w:r w:rsidRPr="001A465D">
        <w:rPr>
          <w:rStyle w:val="Emphasis"/>
          <w:i w:val="0"/>
          <w:color w:val="333333"/>
          <w:sz w:val="24"/>
          <w:shd w:val="clear" w:color="auto" w:fill="FFFFFF"/>
          <w:lang w:val="lt-LT"/>
        </w:rPr>
        <w:t>.</w:t>
      </w:r>
    </w:p>
  </w:footnote>
  <w:footnote w:id="4">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OL L 433 I, 2020 12 22, p. 28.</w:t>
      </w:r>
    </w:p>
  </w:footnote>
  <w:footnote w:id="5">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Pagal EGF reglamento 3 straipsnį.</w:t>
      </w:r>
    </w:p>
  </w:footnote>
  <w:footnote w:id="6">
    <w:p w:rsidR="00CB6B22" w:rsidRPr="00AC26B0" w:rsidRDefault="00CB6B22" w:rsidP="00AC26B0">
      <w:pPr>
        <w:pStyle w:val="FootnoteText"/>
        <w:ind w:left="567" w:hanging="567"/>
        <w:rPr>
          <w:sz w:val="24"/>
          <w:lang w:val="lt-LT"/>
        </w:rPr>
      </w:pPr>
      <w:r w:rsidRPr="00AC26B0">
        <w:rPr>
          <w:rStyle w:val="FootnoteReference"/>
          <w:sz w:val="24"/>
          <w:lang w:val="lt-LT"/>
        </w:rPr>
        <w:footnoteRef/>
      </w:r>
      <w:r w:rsidR="00AC26B0" w:rsidRPr="00AC26B0">
        <w:rPr>
          <w:sz w:val="24"/>
          <w:lang w:val="lt-LT"/>
        </w:rPr>
        <w:t xml:space="preserve"> </w:t>
      </w:r>
      <w:r w:rsidR="00AC26B0" w:rsidRPr="00AC26B0">
        <w:rPr>
          <w:sz w:val="24"/>
          <w:lang w:val="lt-LT"/>
        </w:rPr>
        <w:tab/>
      </w:r>
      <w:r w:rsidRPr="00AC26B0">
        <w:rPr>
          <w:sz w:val="24"/>
          <w:lang w:val="lt-LT"/>
        </w:rPr>
        <w:t xml:space="preserve">37 darbuotojai atleisti iš „TekniClean A/S“ ir 4 darbuotojai atleisti iš Danijos veterinarijos ir maisto tarnybos.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6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LT"/>
    <w:docVar w:name="dvnumam" w:val="0"/>
    <w:docVar w:name="dvpe" w:val="759.752"/>
    <w:docVar w:name="dvrapporteur" w:val="Pranešėjas: "/>
    <w:docVar w:name="dvtitre" w:val="2024 m. balandzio 24 d; Europos Parlamento rezoliucija dėl pasiūlymo dėl Europos Parlamento ir Tarybos sprendimo dėl Europos prisitaikymo prie globalizacijos padarinių fondo atleistiems darbuotojams lėšų mobilizavimo (Danijos paraiška „EGF/2023/004 DK/Danish Crown“)(COM(2024)0035 – C9-0040/2024 – 2024/0044(BUD))"/>
  </w:docVars>
  <w:rsids>
    <w:rsidRoot w:val="00F83183"/>
    <w:rsid w:val="00002272"/>
    <w:rsid w:val="0004688F"/>
    <w:rsid w:val="00064002"/>
    <w:rsid w:val="000677B9"/>
    <w:rsid w:val="000831BA"/>
    <w:rsid w:val="000A42CC"/>
    <w:rsid w:val="000E7DD9"/>
    <w:rsid w:val="0010095E"/>
    <w:rsid w:val="00125B37"/>
    <w:rsid w:val="00187494"/>
    <w:rsid w:val="001A465D"/>
    <w:rsid w:val="001F32AE"/>
    <w:rsid w:val="00267DE8"/>
    <w:rsid w:val="002767FF"/>
    <w:rsid w:val="002B18FE"/>
    <w:rsid w:val="002B5493"/>
    <w:rsid w:val="002C08A2"/>
    <w:rsid w:val="00315403"/>
    <w:rsid w:val="00343214"/>
    <w:rsid w:val="00361C00"/>
    <w:rsid w:val="00395FA1"/>
    <w:rsid w:val="003E15D4"/>
    <w:rsid w:val="00411CCE"/>
    <w:rsid w:val="00414D83"/>
    <w:rsid w:val="0041666E"/>
    <w:rsid w:val="00421060"/>
    <w:rsid w:val="00471C19"/>
    <w:rsid w:val="004867E3"/>
    <w:rsid w:val="00494A28"/>
    <w:rsid w:val="004C0004"/>
    <w:rsid w:val="004C5D52"/>
    <w:rsid w:val="0050519A"/>
    <w:rsid w:val="005072A1"/>
    <w:rsid w:val="00514517"/>
    <w:rsid w:val="00545827"/>
    <w:rsid w:val="00555386"/>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B8A"/>
    <w:rsid w:val="00865F67"/>
    <w:rsid w:val="00881A7B"/>
    <w:rsid w:val="008840E5"/>
    <w:rsid w:val="00887B3E"/>
    <w:rsid w:val="008C2AC6"/>
    <w:rsid w:val="00930474"/>
    <w:rsid w:val="00930C23"/>
    <w:rsid w:val="0093193B"/>
    <w:rsid w:val="00937DF2"/>
    <w:rsid w:val="009509D8"/>
    <w:rsid w:val="00950B64"/>
    <w:rsid w:val="00981893"/>
    <w:rsid w:val="00A1687D"/>
    <w:rsid w:val="00A43E52"/>
    <w:rsid w:val="00A4678D"/>
    <w:rsid w:val="00A778C7"/>
    <w:rsid w:val="00AB441E"/>
    <w:rsid w:val="00AB6293"/>
    <w:rsid w:val="00AC26B0"/>
    <w:rsid w:val="00AE0928"/>
    <w:rsid w:val="00AF3B82"/>
    <w:rsid w:val="00B12E95"/>
    <w:rsid w:val="00B22876"/>
    <w:rsid w:val="00B558F0"/>
    <w:rsid w:val="00BD48FE"/>
    <w:rsid w:val="00BD7BD8"/>
    <w:rsid w:val="00BE6ADC"/>
    <w:rsid w:val="00C05BFE"/>
    <w:rsid w:val="00C23CD4"/>
    <w:rsid w:val="00C4644E"/>
    <w:rsid w:val="00C61C0C"/>
    <w:rsid w:val="00C941CB"/>
    <w:rsid w:val="00CB6B22"/>
    <w:rsid w:val="00CC2357"/>
    <w:rsid w:val="00CF071A"/>
    <w:rsid w:val="00D058B8"/>
    <w:rsid w:val="00D56C11"/>
    <w:rsid w:val="00D834A0"/>
    <w:rsid w:val="00D872DF"/>
    <w:rsid w:val="00D91E21"/>
    <w:rsid w:val="00DA7FCD"/>
    <w:rsid w:val="00DC0228"/>
    <w:rsid w:val="00E365E1"/>
    <w:rsid w:val="00E820A4"/>
    <w:rsid w:val="00EB006A"/>
    <w:rsid w:val="00EB4772"/>
    <w:rsid w:val="00ED169E"/>
    <w:rsid w:val="00ED4235"/>
    <w:rsid w:val="00F04346"/>
    <w:rsid w:val="00F075DC"/>
    <w:rsid w:val="00F149E9"/>
    <w:rsid w:val="00F5134D"/>
    <w:rsid w:val="00F74202"/>
    <w:rsid w:val="00F8318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EC507"/>
  <w15:chartTrackingRefBased/>
  <w15:docId w15:val="{35F95E20-DB63-456F-85E0-0F2C837C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6B2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B6B22"/>
    <w:pPr>
      <w:keepNext/>
      <w:spacing w:after="480"/>
      <w:jc w:val="center"/>
    </w:pPr>
    <w:rPr>
      <w:rFonts w:ascii="Arial" w:hAnsi="Arial" w:cs="Arial"/>
      <w:b/>
    </w:rPr>
  </w:style>
  <w:style w:type="paragraph" w:customStyle="1" w:styleId="NormalHanging12a">
    <w:name w:val="NormalHanging12a"/>
    <w:basedOn w:val="Normal"/>
    <w:link w:val="NormalHanging12aChar"/>
    <w:rsid w:val="00CB6B22"/>
    <w:pPr>
      <w:spacing w:after="240"/>
      <w:ind w:left="567" w:hanging="567"/>
    </w:pPr>
  </w:style>
  <w:style w:type="paragraph" w:styleId="Header">
    <w:name w:val="header"/>
    <w:basedOn w:val="Normal"/>
    <w:link w:val="HeaderChar"/>
    <w:rsid w:val="00CB6B22"/>
    <w:pPr>
      <w:tabs>
        <w:tab w:val="center" w:pos="4513"/>
        <w:tab w:val="right" w:pos="9026"/>
      </w:tabs>
    </w:pPr>
  </w:style>
  <w:style w:type="character" w:customStyle="1" w:styleId="HeaderChar">
    <w:name w:val="Header Char"/>
    <w:basedOn w:val="DefaultParagraphFont"/>
    <w:link w:val="Header"/>
    <w:rsid w:val="00CB6B22"/>
    <w:rPr>
      <w:sz w:val="24"/>
      <w:lang w:val="lt-LT"/>
    </w:rPr>
  </w:style>
  <w:style w:type="paragraph" w:customStyle="1" w:styleId="NormalBold24a">
    <w:name w:val="NormalBold24a"/>
    <w:basedOn w:val="Normal"/>
    <w:rsid w:val="00CB6B22"/>
    <w:pPr>
      <w:spacing w:after="480"/>
    </w:pPr>
    <w:rPr>
      <w:b/>
      <w:bCs/>
    </w:rPr>
  </w:style>
  <w:style w:type="paragraph" w:customStyle="1" w:styleId="EPFooter">
    <w:name w:val="EPFooter"/>
    <w:basedOn w:val="Normal"/>
    <w:rsid w:val="00CB6B22"/>
    <w:pPr>
      <w:tabs>
        <w:tab w:val="center" w:pos="4535"/>
        <w:tab w:val="right" w:pos="9071"/>
      </w:tabs>
      <w:spacing w:before="240" w:after="240"/>
    </w:pPr>
    <w:rPr>
      <w:color w:val="010000"/>
      <w:sz w:val="22"/>
    </w:rPr>
  </w:style>
  <w:style w:type="paragraph" w:customStyle="1" w:styleId="EPComma">
    <w:name w:val="EPComma"/>
    <w:basedOn w:val="Normal"/>
    <w:rsid w:val="00CB6B22"/>
    <w:pPr>
      <w:spacing w:before="480" w:after="240"/>
    </w:pPr>
  </w:style>
  <w:style w:type="character" w:customStyle="1" w:styleId="NormalHanging12aChar">
    <w:name w:val="NormalHanging12a Char"/>
    <w:basedOn w:val="DefaultParagraphFont"/>
    <w:link w:val="NormalHanging12a"/>
    <w:locked/>
    <w:rsid w:val="00CB6B22"/>
    <w:rPr>
      <w:sz w:val="24"/>
      <w:lang w:val="lt-LT"/>
    </w:rPr>
  </w:style>
  <w:style w:type="paragraph" w:customStyle="1" w:styleId="Default">
    <w:name w:val="Default"/>
    <w:rsid w:val="00CB6B22"/>
    <w:pPr>
      <w:autoSpaceDE w:val="0"/>
      <w:autoSpaceDN w:val="0"/>
      <w:adjustRightInd w:val="0"/>
    </w:pPr>
    <w:rPr>
      <w:color w:val="000000"/>
      <w:sz w:val="24"/>
      <w:szCs w:val="24"/>
      <w:lang w:val="lt-LT"/>
    </w:rPr>
  </w:style>
  <w:style w:type="paragraph" w:customStyle="1" w:styleId="Institutionquisigne">
    <w:name w:val="Institution qui signe"/>
    <w:basedOn w:val="Normal"/>
    <w:next w:val="Normal"/>
    <w:rsid w:val="00CB6B2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B6B2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B6B2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B6B2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B6B2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B6B22"/>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CB6B22"/>
    <w:rPr>
      <w:i/>
      <w:iCs/>
    </w:rPr>
  </w:style>
  <w:style w:type="character" w:customStyle="1" w:styleId="PageHeadingChar">
    <w:name w:val="PageHeading Char"/>
    <w:basedOn w:val="DefaultParagraphFont"/>
    <w:link w:val="PageHeading"/>
    <w:rsid w:val="00CB6B22"/>
    <w:rPr>
      <w:rFonts w:ascii="Arial" w:hAnsi="Arial" w:cs="Arial"/>
      <w:b/>
      <w:sz w:val="24"/>
      <w:lang w:val="lt-LT"/>
    </w:rPr>
  </w:style>
  <w:style w:type="paragraph" w:styleId="BalloonText">
    <w:name w:val="Balloon Text"/>
    <w:basedOn w:val="Normal"/>
    <w:link w:val="BalloonTextChar"/>
    <w:rsid w:val="002C08A2"/>
    <w:rPr>
      <w:rFonts w:ascii="Segoe UI" w:hAnsi="Segoe UI" w:cs="Segoe UI"/>
      <w:sz w:val="18"/>
      <w:szCs w:val="18"/>
    </w:rPr>
  </w:style>
  <w:style w:type="character" w:customStyle="1" w:styleId="BalloonTextChar">
    <w:name w:val="Balloon Text Char"/>
    <w:basedOn w:val="DefaultParagraphFont"/>
    <w:link w:val="BalloonText"/>
    <w:rsid w:val="002C08A2"/>
    <w:rPr>
      <w:rFonts w:ascii="Segoe UI" w:hAnsi="Segoe UI" w:cs="Segoe UI"/>
      <w:sz w:val="18"/>
      <w:szCs w:val="18"/>
      <w:lang w:val="lt-LT"/>
    </w:rPr>
  </w:style>
  <w:style w:type="paragraph" w:styleId="Footer">
    <w:name w:val="footer"/>
    <w:basedOn w:val="Normal"/>
    <w:link w:val="FooterChar"/>
    <w:rsid w:val="002C08A2"/>
    <w:pPr>
      <w:tabs>
        <w:tab w:val="center" w:pos="4513"/>
        <w:tab w:val="right" w:pos="9026"/>
      </w:tabs>
    </w:pPr>
  </w:style>
  <w:style w:type="character" w:customStyle="1" w:styleId="FooterChar">
    <w:name w:val="Footer Char"/>
    <w:basedOn w:val="DefaultParagraphFont"/>
    <w:link w:val="Footer"/>
    <w:rsid w:val="002C08A2"/>
    <w:rPr>
      <w:sz w:val="24"/>
      <w:lang w:val="lt-LT"/>
    </w:rPr>
  </w:style>
  <w:style w:type="character" w:styleId="Hyperlink">
    <w:name w:val="Hyperlink"/>
    <w:basedOn w:val="DefaultParagraphFont"/>
    <w:rsid w:val="00DC02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496D9-B4E5-4F3A-9BF3-15EA4AE2C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2024-09-03T10:39:00Z</dcterms:created>
  <dcterms:modified xsi:type="dcterms:W3CDTF">2024-09-03T10:39:00Z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P9_TA(2024)0332_</vt:lpwstr>
  </property>
  <property fmtid="{D5CDD505-2E9C-101B-9397-08002B2CF9AE}" pid="4" name="&lt;Type&gt;">
    <vt:lpwstr>RR</vt:lpwstr>
  </property>
</Properties>
</file>