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7B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7B6C" w:rsidRDefault="00C57E63" w:rsidP="0010095E">
            <w:pPr>
              <w:pStyle w:val="EPName"/>
            </w:pPr>
            <w:r w:rsidRPr="00147B6C">
              <w:t>Parlament Ewropew</w:t>
            </w:r>
          </w:p>
          <w:p w:rsidR="00751A4A" w:rsidRPr="00147B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7B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47B6C" w:rsidRDefault="00187494" w:rsidP="0010095E">
            <w:pPr>
              <w:pStyle w:val="EPLogo"/>
            </w:pPr>
            <w:r w:rsidRPr="00147B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7B6C" w:rsidRDefault="00D058B8" w:rsidP="004C5D52">
      <w:pPr>
        <w:pStyle w:val="LineTop"/>
      </w:pPr>
    </w:p>
    <w:p w:rsidR="00680577" w:rsidRPr="00147B6C" w:rsidRDefault="00C57E63" w:rsidP="00680577">
      <w:pPr>
        <w:pStyle w:val="EPBodyTA1"/>
      </w:pPr>
      <w:r w:rsidRPr="00147B6C">
        <w:t>TESTI ADOTTATI</w:t>
      </w:r>
    </w:p>
    <w:p w:rsidR="00D058B8" w:rsidRPr="00147B6C" w:rsidRDefault="00D058B8" w:rsidP="00D058B8">
      <w:pPr>
        <w:pStyle w:val="LineBottom"/>
      </w:pPr>
    </w:p>
    <w:p w:rsidR="00C57E63" w:rsidRPr="00147B6C" w:rsidRDefault="00C57E63" w:rsidP="00C57E63">
      <w:pPr>
        <w:pStyle w:val="ATHeading1"/>
      </w:pPr>
      <w:bookmarkStart w:id="0" w:name="TANumber"/>
      <w:r w:rsidRPr="00147B6C">
        <w:t>P9_TA(2024)0</w:t>
      </w:r>
      <w:r w:rsidR="00776F3D" w:rsidRPr="00147B6C">
        <w:t>33</w:t>
      </w:r>
      <w:bookmarkEnd w:id="0"/>
      <w:r w:rsidR="00776F3D" w:rsidRPr="00147B6C">
        <w:t>2</w:t>
      </w:r>
    </w:p>
    <w:p w:rsidR="00C57E63" w:rsidRPr="00147B6C" w:rsidRDefault="00C57E63" w:rsidP="00C57E63">
      <w:pPr>
        <w:pStyle w:val="ATHeading2"/>
      </w:pPr>
      <w:bookmarkStart w:id="1" w:name="title"/>
      <w:r w:rsidRPr="00147B6C">
        <w:t>Mobilizzazzjoni tal-Fond Ewropew ta' Aġġustament għall-Globalizzazzjoni - Applikazzjoni EGF/2023/004 DK/Danish Crown - Danimarka</w:t>
      </w:r>
      <w:bookmarkEnd w:id="1"/>
    </w:p>
    <w:p w:rsidR="00C57E63" w:rsidRPr="00147B6C" w:rsidRDefault="00C57E63" w:rsidP="00C57E63">
      <w:pPr>
        <w:rPr>
          <w:i/>
          <w:vanish/>
        </w:rPr>
      </w:pPr>
      <w:r w:rsidRPr="00147B6C">
        <w:rPr>
          <w:i/>
        </w:rPr>
        <w:fldChar w:fldCharType="begin"/>
      </w:r>
      <w:r w:rsidRPr="00147B6C">
        <w:rPr>
          <w:i/>
        </w:rPr>
        <w:instrText xml:space="preserve"> TC"(</w:instrText>
      </w:r>
      <w:bookmarkStart w:id="2" w:name="DocNumber"/>
      <w:r w:rsidRPr="00147B6C">
        <w:rPr>
          <w:i/>
        </w:rPr>
        <w:instrText>A9-0171/2024</w:instrText>
      </w:r>
      <w:bookmarkEnd w:id="2"/>
      <w:r w:rsidRPr="00147B6C">
        <w:rPr>
          <w:i/>
        </w:rPr>
        <w:instrText xml:space="preserve"> - Rapporteur: Janusz Lewandowski)"\l3 \n&gt; \* MERGEFORMAT </w:instrText>
      </w:r>
      <w:r w:rsidRPr="00147B6C">
        <w:rPr>
          <w:i/>
        </w:rPr>
        <w:fldChar w:fldCharType="end"/>
      </w:r>
    </w:p>
    <w:p w:rsidR="00C57E63" w:rsidRPr="00147B6C" w:rsidRDefault="00C57E63" w:rsidP="00C57E63">
      <w:pPr>
        <w:rPr>
          <w:vanish/>
        </w:rPr>
      </w:pPr>
      <w:bookmarkStart w:id="3" w:name="Commission"/>
      <w:r w:rsidRPr="00147B6C">
        <w:rPr>
          <w:vanish/>
        </w:rPr>
        <w:t>Kumitat għall-Baġits</w:t>
      </w:r>
      <w:bookmarkEnd w:id="3"/>
    </w:p>
    <w:p w:rsidR="00C57E63" w:rsidRPr="00147B6C" w:rsidRDefault="00C57E63" w:rsidP="00C57E63">
      <w:pPr>
        <w:rPr>
          <w:vanish/>
        </w:rPr>
      </w:pPr>
      <w:bookmarkStart w:id="4" w:name="PE"/>
      <w:r w:rsidRPr="00147B6C">
        <w:rPr>
          <w:vanish/>
        </w:rPr>
        <w:t>PE759.752</w:t>
      </w:r>
      <w:bookmarkEnd w:id="4"/>
    </w:p>
    <w:p w:rsidR="00C57E63" w:rsidRPr="00147B6C" w:rsidRDefault="00C57E63" w:rsidP="00C57E63">
      <w:pPr>
        <w:pStyle w:val="ATHeading3"/>
      </w:pPr>
      <w:bookmarkStart w:id="5" w:name="Sujet"/>
      <w:r w:rsidRPr="00147B6C">
        <w:t>Riżoluzzj</w:t>
      </w:r>
      <w:r w:rsidR="00776F3D" w:rsidRPr="00147B6C">
        <w:t>oni tal-Parlament Ewropew tal-24</w:t>
      </w:r>
      <w:r w:rsidRPr="00147B6C">
        <w:t xml:space="preserve"> ta' April 2024 dwar il-proposta għal deċiżjoni tal-Parlament Ewropew u tal-Kunsill dwar il-mobilizzazzjoni tal-Fond Ewropew ta’ Aġġustament għall-Globalizzazzjoni għall-Ħaddiema Ssensjati </w:t>
      </w:r>
      <w:r w:rsidR="007969B4" w:rsidRPr="00147B6C">
        <w:t xml:space="preserve">wara </w:t>
      </w:r>
      <w:r w:rsidRPr="00147B6C">
        <w:t>applikazzjoni ppreżentata mid-Danimarka – EGF/2023/004 DK Danish Crown</w:t>
      </w:r>
      <w:bookmarkEnd w:id="5"/>
      <w:r w:rsidRPr="00147B6C">
        <w:t xml:space="preserve"> </w:t>
      </w:r>
      <w:bookmarkStart w:id="6" w:name="References"/>
      <w:r w:rsidRPr="00147B6C">
        <w:t>(COM(2024)0035 – C9-0040/2024 – 2024/0044(BUD))</w:t>
      </w:r>
      <w:bookmarkEnd w:id="6"/>
    </w:p>
    <w:p w:rsidR="000A39ED" w:rsidRPr="00147B6C" w:rsidRDefault="000A39ED" w:rsidP="000A39ED">
      <w:pPr>
        <w:pStyle w:val="EPComma"/>
        <w:rPr>
          <w:noProof/>
        </w:rPr>
      </w:pPr>
      <w:bookmarkStart w:id="7" w:name="TextBodyBegin"/>
      <w:bookmarkEnd w:id="7"/>
      <w:r w:rsidRPr="00147B6C">
        <w:rPr>
          <w:i/>
        </w:rPr>
        <w:t>Il-Parlament Ewropew</w:t>
      </w:r>
      <w:r w:rsidRPr="00147B6C">
        <w:t>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–</w:t>
      </w:r>
      <w:r w:rsidRPr="00147B6C">
        <w:tab/>
        <w:t>wara li kkunsidra l-proposta tal-Kummissjoni lill-Parlament Ewropew u lill-Kunsill (COM(2024)0035 – C9</w:t>
      </w:r>
      <w:r w:rsidRPr="00147B6C">
        <w:noBreakHyphen/>
        <w:t>0040/2024),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–</w:t>
      </w:r>
      <w:r w:rsidRPr="00147B6C">
        <w:tab/>
        <w:t xml:space="preserve">wara li </w:t>
      </w:r>
      <w:r w:rsidR="00E936E1">
        <w:t xml:space="preserve">kkunsidra r-Regolament (UE) </w:t>
      </w:r>
      <w:r w:rsidRPr="00147B6C">
        <w:t>2021/691 tal-Parlament Ewropew u tal-Kunsill tat-28 ta’ April 2021 dwar il-Fond Ewropew ta’ Aġġustament għall-Globalizzazzjoni għall-Ħaddiema Ssensjati (FEG) u li jħassar ir-Regolament (UE) Nru 1309/2013</w:t>
      </w:r>
      <w:r w:rsidRPr="00147B6C">
        <w:rPr>
          <w:rStyle w:val="FootnoteReference"/>
        </w:rPr>
        <w:footnoteReference w:id="1"/>
      </w:r>
      <w:r w:rsidRPr="00147B6C">
        <w:t xml:space="preserve"> (“ir-Regolament dwar il-FEG”),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–</w:t>
      </w:r>
      <w:r w:rsidRPr="00147B6C">
        <w:tab/>
        <w:t>wara li kkunsidra r-Regolament tal-Kunsill (UE, Euratom) 2020/2093 tas-17 ta’ Diċembru 2020 li jistabbilixxi l-qafas finanzjarju pluriennali għas-snin mill-2021 sal-2027</w:t>
      </w:r>
      <w:r w:rsidRPr="00147B6C">
        <w:rPr>
          <w:rStyle w:val="FootnoteReference"/>
          <w:noProof/>
        </w:rPr>
        <w:footnoteReference w:id="2"/>
      </w:r>
      <w:r w:rsidRPr="00147B6C">
        <w:t xml:space="preserve"> </w:t>
      </w:r>
      <w:r w:rsidRPr="00147B6C">
        <w:rPr>
          <w:bdr w:val="none" w:sz="0" w:space="0" w:color="auto" w:frame="1"/>
        </w:rPr>
        <w:t xml:space="preserve">kif emendat bir-Regolament </w:t>
      </w:r>
      <w:r w:rsidR="007969B4" w:rsidRPr="00147B6C">
        <w:rPr>
          <w:bdr w:val="none" w:sz="0" w:space="0" w:color="auto" w:frame="1"/>
        </w:rPr>
        <w:t xml:space="preserve">tal-Kunsill </w:t>
      </w:r>
      <w:r w:rsidRPr="00147B6C">
        <w:rPr>
          <w:bdr w:val="none" w:sz="0" w:space="0" w:color="auto" w:frame="1"/>
        </w:rPr>
        <w:t>(UE, Euratom) 2024/765</w:t>
      </w:r>
      <w:r w:rsidR="00E936E1">
        <w:rPr>
          <w:bdr w:val="none" w:sz="0" w:space="0" w:color="auto" w:frame="1"/>
        </w:rPr>
        <w:t xml:space="preserve"> tad-2</w:t>
      </w:r>
      <w:r w:rsidR="007969B4" w:rsidRPr="00147B6C">
        <w:rPr>
          <w:bdr w:val="none" w:sz="0" w:space="0" w:color="auto" w:frame="1"/>
        </w:rPr>
        <w:t>9 ta’ Frar 2024 li jemenda r-Regolament (UE, Euratom) 2020/2093 li jistabbilixxi l-qafas finanzjarju pluriennali għas-snin mill-2021 sal-2027</w:t>
      </w:r>
      <w:r w:rsidRPr="00147B6C">
        <w:rPr>
          <w:rStyle w:val="FootnoteReference"/>
          <w:bdr w:val="none" w:sz="0" w:space="0" w:color="auto" w:frame="1"/>
        </w:rPr>
        <w:footnoteReference w:id="3"/>
      </w:r>
      <w:r w:rsidRPr="00147B6C">
        <w:t>, u b’mod partikolari l-Artikolu 8 tiegħu,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–</w:t>
      </w:r>
      <w:r w:rsidRPr="00147B6C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proprji ġodda</w:t>
      </w:r>
      <w:r w:rsidRPr="00147B6C">
        <w:rPr>
          <w:rStyle w:val="FootnoteReference"/>
          <w:noProof/>
        </w:rPr>
        <w:footnoteReference w:id="4"/>
      </w:r>
      <w:r w:rsidRPr="00147B6C">
        <w:t>, u b’mod partikolari l-punt 12 tiegħu,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lastRenderedPageBreak/>
        <w:t>–</w:t>
      </w:r>
      <w:r w:rsidRPr="00147B6C">
        <w:tab/>
        <w:t>wara li kkunsidra l-ittra tal-Kumitat għall-Impjiegi u l-Affarijiet Soċjali,</w:t>
      </w:r>
    </w:p>
    <w:p w:rsidR="000A39ED" w:rsidRPr="00147B6C" w:rsidRDefault="000A39ED" w:rsidP="000A39ED">
      <w:pPr>
        <w:pStyle w:val="NormalHanging12a"/>
      </w:pPr>
      <w:r w:rsidRPr="00147B6C">
        <w:t>–</w:t>
      </w:r>
      <w:r w:rsidRPr="00147B6C">
        <w:tab/>
        <w:t>wara li kkunsidra r-rapport tal-Kumitat għall-Baġits (A9-0171/2024),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A.</w:t>
      </w:r>
      <w:r w:rsidRPr="00147B6C">
        <w:tab/>
        <w:t>billi l-Unjoni stabbiliet strumenti leġiżlattivi u baġitarji biex tagħti appoġġ addizzjonali lill-ħaddiema li jkunu qed ibatu l-konsegwenzi ta’ bidliet strutturali kbar fix-xejriet tal-kummerċ dinji jew tal-kriżi finanzjarja u ekonomika globali, u biex tgħinhom fir-riintegrazzjoni tagħhom fis-suq tax-xogħol; billi din l-assistenza hija fornuta permezz ta’ appoġġ finanzjarju li jingħata lill-ħaddiema u lill-kumpaniji li għalihom ikunu ħadmu;</w:t>
      </w:r>
    </w:p>
    <w:p w:rsidR="000A39ED" w:rsidRPr="00147B6C" w:rsidRDefault="000A39ED" w:rsidP="000A39ED">
      <w:pPr>
        <w:widowControl/>
        <w:spacing w:after="240"/>
        <w:ind w:left="567" w:hanging="567"/>
      </w:pPr>
      <w:r w:rsidRPr="00147B6C">
        <w:t>B.</w:t>
      </w:r>
      <w:r w:rsidRPr="00147B6C">
        <w:tab/>
        <w:t>billi d-Danimarka ppreżentat l-applikazzjoni EGF/2023/004 DK/Danish Crown għal kontribuzzjoni finanzjarja mill-Fond Ewropew ta’ Aġġustament għall-Globalizzazzjoni (FEG), wara għadd totali ta’ 751 sensja</w:t>
      </w:r>
      <w:r w:rsidRPr="00147B6C">
        <w:rPr>
          <w:rStyle w:val="FootnoteReference"/>
        </w:rPr>
        <w:footnoteReference w:id="5"/>
      </w:r>
      <w:r w:rsidRPr="00147B6C">
        <w:t xml:space="preserve"> fis-settur ekonomiku kklassifikat fid-diviżjoni 10 (Manifattura ta’ prodotti tal-ikel) tan-NACE Reviżjoni 2 fil-provinċja tal-Jutland tat-Tramuntana, 692 sensja f’perjodu ta’ referenza għall-applikazzjoni mid-19 ta’ Mejju 2023 sad-19 ta’ Settembru 2023, u 59 sensja qabel jew wara l-perjodu ta’ referenza;</w:t>
      </w:r>
    </w:p>
    <w:p w:rsidR="000A39ED" w:rsidRPr="00147B6C" w:rsidRDefault="000A39ED" w:rsidP="000A39ED">
      <w:pPr>
        <w:pStyle w:val="NormalHanging12a"/>
      </w:pPr>
      <w:r w:rsidRPr="00147B6C">
        <w:t xml:space="preserve">C. </w:t>
      </w:r>
      <w:r w:rsidRPr="00147B6C">
        <w:tab/>
        <w:t>billi l-applikazzjoni tikkonċerna 692 sensja fil-perjodu ta’ referenza għall-applikazzjoni, 651 ħaddiem issensjat li l-attività tagħhom waqfet f’Danish Crown (Danish Crown A/S) u 41 ħaddiem issensjat f’żewġ fornituri u produtturi downstream ta’ Danish Crown</w:t>
      </w:r>
      <w:r w:rsidRPr="00147B6C">
        <w:rPr>
          <w:rStyle w:val="FootnoteReference"/>
        </w:rPr>
        <w:footnoteReference w:id="6"/>
      </w:r>
      <w:r w:rsidRPr="00147B6C">
        <w:t>;</w:t>
      </w:r>
    </w:p>
    <w:p w:rsidR="000A39ED" w:rsidRPr="00147B6C" w:rsidRDefault="000A39ED" w:rsidP="000A39ED">
      <w:pPr>
        <w:pStyle w:val="NormalHanging12a"/>
      </w:pPr>
      <w:r w:rsidRPr="00147B6C">
        <w:t xml:space="preserve">D. </w:t>
      </w:r>
      <w:r w:rsidRPr="00147B6C">
        <w:tab/>
        <w:t xml:space="preserve">billi l-applikazzjoni tikkonċerna 59 ħaddiem issensjat </w:t>
      </w:r>
      <w:r w:rsidRPr="00147B6C">
        <w:rPr>
          <w:sz w:val="23"/>
        </w:rPr>
        <w:t xml:space="preserve">li l-attività tagħhom waqfet qabel jew wara l-perjodu ta’ referenza ta’ erba’ xhur, li matulu tista’ tiġi stabbilita rabta kawżali ċara mal-avveniment li wassal għall-waqfien tal-attività tal-ħaddiema ssensjati matul il-perjodu ta’ referenza kif meħtieġ mill-Artikolu 6(2) tar-Regolament dwar il-FEG; </w:t>
      </w:r>
    </w:p>
    <w:p w:rsidR="000A39ED" w:rsidRPr="00147B6C" w:rsidRDefault="000A39ED" w:rsidP="000A39ED">
      <w:pPr>
        <w:pStyle w:val="NormalHanging12a"/>
      </w:pPr>
      <w:r w:rsidRPr="00147B6C">
        <w:t>E.</w:t>
      </w:r>
      <w:r w:rsidRPr="00147B6C">
        <w:tab/>
        <w:t>billi l-applikazzjoni hija bbażata fuq il-kriterju ta’ intervent tal-Artikolu 4(2), il-punt (a), tar-Regolament dwar il-FEG, li jirrikjedi li jkun hemm tal-inqas 200 ħaddiem li jkunu ngħataw is-sensja f’perjodu ta’ referenza ta’ erba’ xhur f’impriża fi Stat Membru, inklużi ħaddiema li ngħataw is-sensja minn fornituri u produtturi downstream u/jew persuni li jaħdmu għal rashom u li l-attività tagħhom waqfet;</w:t>
      </w:r>
    </w:p>
    <w:p w:rsidR="000A39ED" w:rsidRPr="00147B6C" w:rsidRDefault="000A39ED" w:rsidP="000A39ED">
      <w:pPr>
        <w:pStyle w:val="NormalHanging12a"/>
      </w:pPr>
      <w:r w:rsidRPr="00147B6C">
        <w:t>F.</w:t>
      </w:r>
      <w:r w:rsidRPr="00147B6C">
        <w:tab/>
        <w:t xml:space="preserve">billi </w:t>
      </w:r>
      <w:r w:rsidRPr="00147B6C">
        <w:rPr>
          <w:sz w:val="23"/>
        </w:rPr>
        <w:t>s-settur tal-biċċeriji Daniż jinsab fi kriżi strutturali; billi mill-2005, l-għadd ta’ ħnieżer skarnati fid-Danimarka naqas b’4,4 miljuni (20 %); billi t-tnaqqis huwa dovut l-aktar għall-bidla mit-trobbija tal-ħnieżer għall-iskarnar, għat-trobbija tad-drafeġ għall-esportazzjoni; billi l-esportazzjoni tad-drafeġ tirrendi aktar għall-bdiewa Daniżi mit-tismin tal-ħnieżer għall-iskarnar minħabba l-prezzijiet baxxi tal-majjal</w:t>
      </w:r>
      <w:r w:rsidRPr="00147B6C">
        <w:t>,</w:t>
      </w:r>
    </w:p>
    <w:p w:rsidR="000A39ED" w:rsidRPr="00147B6C" w:rsidRDefault="000A39ED" w:rsidP="000A39ED">
      <w:pPr>
        <w:pStyle w:val="NormalHanging12a"/>
        <w:rPr>
          <w:rFonts w:eastAsia="Calibri"/>
          <w:szCs w:val="22"/>
        </w:rPr>
      </w:pPr>
      <w:r w:rsidRPr="00147B6C">
        <w:t>G.</w:t>
      </w:r>
      <w:r w:rsidRPr="00147B6C">
        <w:tab/>
      </w:r>
      <w:r w:rsidRPr="00147B6C">
        <w:rPr>
          <w:sz w:val="23"/>
        </w:rPr>
        <w:t>billi Danish Crown huwa grupp ta’ kumpaniji tal-ikel Daniżi involuti fit-tbiċċir, l-ipproċessar u l-bejgħ prinċipalment tal-majjal u taċ-ċanga; billi l-avveniment li wassal għal dawn is-sensji huwa l-għeluq tal-biċċerija ta’ Danish Crown f’Sæby fil-muniċipalità ta’ Frederikshavn wara d-deklin fid-disponibbiltà tal-ħnieżer għall-iskarnar</w:t>
      </w:r>
      <w:r w:rsidRPr="00147B6C">
        <w:t>;</w:t>
      </w:r>
    </w:p>
    <w:p w:rsidR="000A39ED" w:rsidRPr="00147B6C" w:rsidRDefault="000A39ED" w:rsidP="000A39ED">
      <w:pPr>
        <w:pStyle w:val="NormalHanging12a"/>
      </w:pPr>
      <w:r w:rsidRPr="00147B6C">
        <w:t>H.</w:t>
      </w:r>
      <w:r w:rsidRPr="00147B6C">
        <w:tab/>
        <w:t>billi kien hemm konformità mar-rekwiżiti stabbiliti fil-leġiżlazzjoni nazzjonali u f’dik tal-UE rigward is-sensji kollettivi,</w:t>
      </w:r>
    </w:p>
    <w:p w:rsidR="000A39ED" w:rsidRPr="00147B6C" w:rsidRDefault="000A39ED" w:rsidP="000A39ED">
      <w:pPr>
        <w:pStyle w:val="NormalHanging12a"/>
      </w:pPr>
      <w:r w:rsidRPr="00147B6C">
        <w:t>I.</w:t>
      </w:r>
      <w:r w:rsidRPr="00147B6C">
        <w:tab/>
        <w:t xml:space="preserve">billi l-kontribuzzjonijiet finanzjarji mill-FEG għandhom ikunu diretti prinċipalment lejn miżuri ta’ politika attivi tas-suq tax-xogħol u servizzi personalizzati li jkollhom l-għan li </w:t>
      </w:r>
      <w:r w:rsidRPr="00147B6C">
        <w:lastRenderedPageBreak/>
        <w:t>jintegraw mill-ġdid u malajr lill-benefiċjarji f’impjieg deċenti u sostenibbli fi ħdan is-settur ta’ attività inizjali tagħhom jew barra minnu, filwaqt li jħejjuhom għal ekonomija Ewropea aktar ekoloġika u aktar diġitali;</w:t>
      </w:r>
    </w:p>
    <w:p w:rsidR="000A39ED" w:rsidRPr="00147B6C" w:rsidRDefault="000A39ED" w:rsidP="000A39ED">
      <w:pPr>
        <w:pStyle w:val="NormalHanging12a"/>
      </w:pPr>
      <w:r w:rsidRPr="00147B6C">
        <w:t>J.</w:t>
      </w:r>
      <w:r w:rsidRPr="00147B6C">
        <w:tab/>
        <w:t>billi r-reviżjoni tal-QFP tnaqqas l-ammont annwali massimu tal-FEG minn EUR 186 miljun għal EUR 30 miljun (fi prezzijiet tal-2018), kif stabbilit fl-Artikolu 8 tar-Regolament tal-Kunsill (UE, Euratom) 2020/2093</w:t>
      </w:r>
      <w:r w:rsidRPr="00147B6C">
        <w:rPr>
          <w:bdr w:val="none" w:sz="0" w:space="0" w:color="auto" w:frame="1"/>
        </w:rPr>
        <w:t xml:space="preserve"> kif emendat bir-Regolament (UE, Euratom) 2024/765</w:t>
      </w:r>
      <w:r w:rsidRPr="00147B6C">
        <w:t>; billi l-Kummissjoni jenħtieġ li timmonitorja l-implimentazzjoni tal-FEG u l-Istituzzjonijiet kollha jenħtieġ li jieħdu kwalunkwe miżura meħtieġa biex jiżguraw li t-talbiet ġustifikati kollha għal appoġġ mill-FEG, bħala manifestazzjoni tas-solidarjetà tal-Unjoni, ikunu jistgħu jiġu ssodisfati;</w:t>
      </w:r>
    </w:p>
    <w:p w:rsidR="000A39ED" w:rsidRPr="00147B6C" w:rsidRDefault="000A39ED" w:rsidP="000A39ED">
      <w:pPr>
        <w:pStyle w:val="NormalHanging12a"/>
      </w:pPr>
      <w:r w:rsidRPr="00147B6C">
        <w:t>1.</w:t>
      </w:r>
      <w:r w:rsidRPr="00147B6C">
        <w:tab/>
        <w:t>Jaqbel mal-Kummissjoni li l-kundizzjonijiet stabbiliti fl-Artikolu 4(2), il-punt (a), tar-Regolament dwar il-FEG huma ssodisfati u li d-Danimarka għandha d-dritt għal kontribuzzjoni finanzjarja ta’ EUR 1 882 212 fl-ambitu ta’ dak ir-Regolament, somma li tirrappreżenta 60 % tal-ispiża totali ta’ EUR 3 137 021, liema spiża tinkludi n-nefqa għal servizzi personalizzati ta’ EUR 2 878 001 u n-nefqa għall-attivitajiet ta’ tħejjija, ta’ ġestjoni, ta’ informazzjoni u ta’ pubbliċità, kif ukoll ta’ kontroll u ta’ rapportar b’total ta’ EUR 259 020;</w:t>
      </w:r>
    </w:p>
    <w:p w:rsidR="000A39ED" w:rsidRPr="00147B6C" w:rsidRDefault="000A39ED" w:rsidP="000A39ED">
      <w:pPr>
        <w:pStyle w:val="NormalHanging12a"/>
      </w:pPr>
      <w:r w:rsidRPr="00147B6C">
        <w:t>2.</w:t>
      </w:r>
      <w:r w:rsidRPr="00147B6C">
        <w:tab/>
        <w:t xml:space="preserve">Jinnota li l-awtoritajiet Daniżi ppreżentaw l-applikazzjoni fis-6 ta’ Diċembru 2023, u li, wara li rċeviet informazzjoni addizzjonali mid-Danimarka, il-Kummissjoni ffinalizzat il-valutazzjoni tagħha fid-29 ta’ Frar 2024 u nnotifikatha lill-Parlament fl-istess ġurnata; </w:t>
      </w:r>
    </w:p>
    <w:p w:rsidR="000A39ED" w:rsidRPr="00147B6C" w:rsidRDefault="000A39ED" w:rsidP="000A39ED">
      <w:pPr>
        <w:pStyle w:val="NormalHanging12a"/>
      </w:pPr>
      <w:r w:rsidRPr="00147B6C">
        <w:t>3.</w:t>
      </w:r>
      <w:r w:rsidRPr="00147B6C">
        <w:tab/>
        <w:t xml:space="preserve">Jinnota li l-applikazzjoni tikkonċerna 751 ħaddiem issensjat affettwati </w:t>
      </w:r>
      <w:r w:rsidRPr="00147B6C">
        <w:rPr>
          <w:sz w:val="23"/>
        </w:rPr>
        <w:t>mill-għeluq tal-biċċerija ta’ Danish Crown f’Sæby;</w:t>
      </w:r>
      <w:r w:rsidRPr="00147B6C">
        <w:t xml:space="preserve"> jinnota wkoll li total ta’ 390 ħaddiem issensjat se jkunu benefiċjarji fil-mira u huma mistennija jipparteċipaw fil-miżuri;</w:t>
      </w:r>
    </w:p>
    <w:p w:rsidR="000A39ED" w:rsidRPr="00147B6C" w:rsidRDefault="000A39ED" w:rsidP="000A39ED">
      <w:pPr>
        <w:pStyle w:val="Default"/>
        <w:spacing w:after="240"/>
        <w:ind w:left="567" w:hanging="567"/>
        <w:rPr>
          <w:color w:val="auto"/>
        </w:rPr>
      </w:pPr>
      <w:r w:rsidRPr="00147B6C">
        <w:rPr>
          <w:color w:val="auto"/>
        </w:rPr>
        <w:t>4.</w:t>
      </w:r>
      <w:r w:rsidRPr="00147B6C">
        <w:rPr>
          <w:color w:val="auto"/>
        </w:rPr>
        <w:tab/>
        <w:t xml:space="preserve">Jieħu nota li l-biċċa l-kbira tal-ħaddiema ssensjati </w:t>
      </w:r>
      <w:r w:rsidRPr="00147B6C">
        <w:rPr>
          <w:color w:val="auto"/>
          <w:sz w:val="23"/>
        </w:rPr>
        <w:t xml:space="preserve">għandhom livelli baxxi ta’ kwalifiki formali (46 %) jew kwalifiki u ħiliet pjuttost obsoleti (40 %); </w:t>
      </w:r>
      <w:r w:rsidRPr="00147B6C">
        <w:rPr>
          <w:color w:val="auto"/>
        </w:rPr>
        <w:t xml:space="preserve">jieħu nota li 305 ħaddiema ssensjati (41 %) ġejjin minn kuntest ta’ migrazzjoni u ma għandhomx ħakma tajba tad-Daniż; il-pakkett tal-FEG jipproponi wkoll miżuri għat-titjib tal-kompetenzi ġenerali inkluż it-titjib tal-ħiliet lingwistiċi fid-Daniż; </w:t>
      </w:r>
    </w:p>
    <w:p w:rsidR="000A39ED" w:rsidRPr="00147B6C" w:rsidRDefault="000A39ED" w:rsidP="000A39ED">
      <w:pPr>
        <w:pStyle w:val="NormalHanging12a"/>
      </w:pPr>
      <w:r w:rsidRPr="00147B6C">
        <w:t>5.</w:t>
      </w:r>
      <w:r w:rsidRPr="00147B6C">
        <w:tab/>
        <w:t xml:space="preserve">Jilqa’ l-fatt li l-pakkett koordinat ta’ servizzi personalizzati tfassal mid-Danimarka f’konsultazzjoni mal-benefiċjarji fil-mira, ir-rappreżentanti tagħhom u s-sħab soċjali; </w:t>
      </w:r>
    </w:p>
    <w:p w:rsidR="000A39ED" w:rsidRPr="00147B6C" w:rsidRDefault="000A39ED" w:rsidP="000A39ED">
      <w:pPr>
        <w:pStyle w:val="NormalHanging12a"/>
      </w:pPr>
      <w:r w:rsidRPr="00147B6C">
        <w:t>6.</w:t>
      </w:r>
      <w:r w:rsidRPr="00147B6C">
        <w:tab/>
        <w:t>Ifakkar li s-servizzi personalizzati li għandhom jiġu fornuti lill-ħaddiema u lill-persuni li jaħdmu għal rashom jikkonsistu fl-azzjonijiet li ġejjin: il-motivazzjoni, iż-żamma, it-taħriġ dwar il-kompetenzi ġenerali, it-taħriġ għat-tiġdid u għat-titjib tal-ħiliet, u l-allowance għat-taħriġ u għat-tfittix ta’ impjieg;</w:t>
      </w:r>
    </w:p>
    <w:p w:rsidR="000A39ED" w:rsidRPr="00147B6C" w:rsidRDefault="000A39ED" w:rsidP="000A39ED">
      <w:pPr>
        <w:pStyle w:val="NormalHanging12a"/>
        <w:spacing w:after="0"/>
      </w:pPr>
      <w:r w:rsidRPr="00147B6C">
        <w:t>7.</w:t>
      </w:r>
      <w:r w:rsidRPr="00147B6C">
        <w:tab/>
        <w:t>Jilqa’ b’sodisfazzjon kbir il-fatt li saru offerti ta’ taħriġ li jqisu diversi studji bħal Jobbarometer 2023 (analiżi tal-ħtiġijiet tax-xogħol lokali fil-muniċipalitajiet ta’ Frederikshavn, Hjørring, Jammerbugt u Brønderslev), il-bilanċ biennali fis-suq tax-xogħol li jipprovdi ħarsa ġenerali tal-opportunitajiet possibbli ta’ impjiegi, u l-analiżi ta’ FremKom4 dwar il-ħiliet, u li għandhom l-għan li jżidu l-kompetenzi ġenerali (inklużi fil-lingwa u fin-numeriżmu), il-kompetenzi diġitali u t-titjib tal-ħiliet għall-impjiegi b’nuqqas ta’ ħiliet;</w:t>
      </w:r>
    </w:p>
    <w:p w:rsidR="000A39ED" w:rsidRPr="00147B6C" w:rsidRDefault="000A39ED" w:rsidP="000A39ED">
      <w:pPr>
        <w:pStyle w:val="NormalHanging12a"/>
        <w:spacing w:after="0"/>
      </w:pPr>
    </w:p>
    <w:p w:rsidR="000A39ED" w:rsidRPr="00147B6C" w:rsidRDefault="000A39ED" w:rsidP="000A39ED">
      <w:pPr>
        <w:pStyle w:val="NormalHanging12a"/>
      </w:pPr>
      <w:r w:rsidRPr="00147B6C">
        <w:t>8.</w:t>
      </w:r>
      <w:r w:rsidRPr="00147B6C">
        <w:tab/>
        <w:t>Jisħaq b’mod partikolari fuq l-importanza tal-Artikolu 7(2) tar-Regolament dwar il-FEG, li jirrikjedi li l-pakkett ikkoordinat jantiċipa l-prospettivi tas-suq tax-xogħol u l-</w:t>
      </w:r>
      <w:r w:rsidRPr="00147B6C">
        <w:lastRenderedPageBreak/>
        <w:t xml:space="preserve">ħiliet meħtieġa fil-futur, u dawn huma kompatibbli mal-bidla f’ekonomija effiċjenti fir-riżorsi u sostenibbli u jiffokaw partikolarment fuq id-disseminazzjoni tal-ħiliet meħtieġa fl-era industrijali diġitali; </w:t>
      </w:r>
    </w:p>
    <w:p w:rsidR="000A39ED" w:rsidRPr="00147B6C" w:rsidRDefault="000A39ED" w:rsidP="000A39ED">
      <w:pPr>
        <w:pStyle w:val="NormalHanging12a"/>
      </w:pPr>
      <w:r w:rsidRPr="00147B6C">
        <w:t>9.</w:t>
      </w:r>
      <w:r w:rsidRPr="00147B6C">
        <w:tab/>
        <w:t>Jinnota li d-Danimarka bdiet toffri servizzi personalizzati lill-benefiċjarji fil-mira fis-16 ta’ Ottubru 2023 u li, għaldaqstant, il-perjodu ta’ eliġibbiltà għal kontribuzzjoni finanzjarja mill-FEG se jkun mis-16 ta’ Ottubru 2023 sa 24 xahar wara d-data tad-dħul fis-seħħ tad-deċiżjoni ta’ finanzjament;</w:t>
      </w:r>
    </w:p>
    <w:p w:rsidR="000A39ED" w:rsidRPr="00147B6C" w:rsidRDefault="000A39ED" w:rsidP="000A39ED">
      <w:pPr>
        <w:pStyle w:val="NormalHanging12a"/>
        <w:rPr>
          <w:sz w:val="23"/>
          <w:szCs w:val="23"/>
        </w:rPr>
      </w:pPr>
      <w:r w:rsidRPr="00147B6C">
        <w:t>10.</w:t>
      </w:r>
      <w:r w:rsidRPr="00147B6C">
        <w:tab/>
        <w:t>Jinnota li d-Danimarka bdiet iġġarrab in-nefqa amministrattiva biex timplimenta l-FEG fl-1 ta’ Ġunju 2023 u li, għaldaqstant, in-nefqa għal attivitajiet ta’ tħejjija, ta’ ġestjoni, ta’ informazzjoni u ta’ pubbliċità, kif ukoll ta’ kontroll u ta’ rapportar se tkun eliġibbli għal kontribuzzjoni finanzjarja mill-FEG mill-1 ta’ Ġunju 2023 sa 31 xahar wara d-data tad-dħul fis-seħħ tad-deċiżjoni ta’ finanzjament;</w:t>
      </w:r>
    </w:p>
    <w:p w:rsidR="000A39ED" w:rsidRPr="00147B6C" w:rsidRDefault="000A39ED" w:rsidP="000A39ED">
      <w:pPr>
        <w:pStyle w:val="NormalHanging12a"/>
      </w:pPr>
      <w:r w:rsidRPr="00147B6C">
        <w:t>11.</w:t>
      </w:r>
      <w:r w:rsidRPr="00147B6C">
        <w:tab/>
        <w:t>Jisħaq li l-awtoritajiet Daniżi kkonfermaw li l-azzjonijiet eliġibbli ma jirċevux assistenza minn fondi jew strumenti finanzjarji oħra tal-Unjoni, u li l-prinċipji tal-ugwaljanza fit-trattament u n-nondiskriminazzjoni se jiġu osservati fl-aċċess għall-azzjonijiet proposti u fl-implimentazzjoni tagħhom;</w:t>
      </w:r>
    </w:p>
    <w:p w:rsidR="000A39ED" w:rsidRPr="00147B6C" w:rsidRDefault="000A39ED" w:rsidP="000A39ED">
      <w:pPr>
        <w:pStyle w:val="NormalHanging12a"/>
      </w:pPr>
      <w:r w:rsidRPr="00147B6C">
        <w:t>12.</w:t>
      </w:r>
      <w:r w:rsidRPr="00147B6C">
        <w:tab/>
        <w:t xml:space="preserve">Itenni li l-assistenza mill-FEG ma tridx tissostitwixxi azzjonijiet li huma r-responsabbiltà ta’ kumpaniji, bis-saħħa tal-leġiżlazzjoni nazzjonali jew tal-ftehimiet kollettivi, jew kwalunkwe allowance jew dritt tal-ħaddiema ssensjati, biex tiġi żgurata l-addizzjonalità sħiħa tal-allokazzjoni; 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13.</w:t>
      </w:r>
      <w:r w:rsidRPr="00147B6C">
        <w:tab/>
        <w:t>Japprova d-deċiżjoni annessa ma’ din ir-riżoluzzjoni;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14.</w:t>
      </w:r>
      <w:r w:rsidRPr="00147B6C">
        <w:tab/>
        <w:t>Jagħti istruzzjonijiet lill-President tiegħu biex tiffirma din id-deċiżjoni flimkien mal-President tal-Kunsill u biex tiżgura li tiġi ppubblikata f’</w:t>
      </w:r>
      <w:r w:rsidRPr="00147B6C">
        <w:rPr>
          <w:i/>
        </w:rPr>
        <w:t>Il-Ġurnal Uffiċjali tal-Unjoni Ewropea</w:t>
      </w:r>
      <w:r w:rsidRPr="00147B6C">
        <w:t>;</w:t>
      </w:r>
    </w:p>
    <w:p w:rsidR="000A39ED" w:rsidRPr="00147B6C" w:rsidRDefault="000A39ED" w:rsidP="000A39ED">
      <w:pPr>
        <w:pStyle w:val="NormalHanging12a"/>
        <w:rPr>
          <w:noProof/>
        </w:rPr>
      </w:pPr>
      <w:r w:rsidRPr="00147B6C">
        <w:t>15.</w:t>
      </w:r>
      <w:r w:rsidRPr="00147B6C">
        <w:tab/>
        <w:t>Jagħti istruzzjonijiet lill-President tiegħu biex tgħaddi din ir-riżoluzzjoni, flimkien mal-anness tagħha, lill-Kunsill u lill-Kummissjoni.</w:t>
      </w:r>
    </w:p>
    <w:p w:rsidR="000A39ED" w:rsidRPr="00147B6C" w:rsidRDefault="000A39ED" w:rsidP="000A39ED">
      <w:pPr>
        <w:pStyle w:val="PageHeading"/>
        <w:rPr>
          <w:noProof/>
        </w:rPr>
        <w:sectPr w:rsidR="000A39ED" w:rsidRPr="00147B6C" w:rsidSect="00C11F8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77741" w:rsidRDefault="002B6F7E" w:rsidP="000A39ED">
      <w:pPr>
        <w:pStyle w:val="PageHeading"/>
        <w:rPr>
          <w:rFonts w:ascii="Times New Roman" w:hAnsi="Times New Roman" w:cs="Times New Roman"/>
        </w:rPr>
      </w:pPr>
      <w:bookmarkStart w:id="8" w:name="_Toc160612754"/>
      <w:bookmarkStart w:id="9" w:name="_Toc163654446"/>
      <w:r>
        <w:rPr>
          <w:rFonts w:ascii="Times New Roman" w:hAnsi="Times New Roman" w:cs="Times New Roman"/>
        </w:rPr>
        <w:lastRenderedPageBreak/>
        <w:t>ANNESS</w:t>
      </w:r>
    </w:p>
    <w:p w:rsidR="000A39ED" w:rsidRPr="00F77741" w:rsidRDefault="000A39ED" w:rsidP="000A39ED">
      <w:pPr>
        <w:pStyle w:val="PageHeading"/>
        <w:rPr>
          <w:rFonts w:ascii="Times New Roman" w:hAnsi="Times New Roman" w:cs="Times New Roman"/>
          <w:noProof/>
        </w:rPr>
      </w:pPr>
      <w:r w:rsidRPr="00F77741">
        <w:rPr>
          <w:rFonts w:ascii="Times New Roman" w:hAnsi="Times New Roman" w:cs="Times New Roman"/>
        </w:rPr>
        <w:t>DEĊIŻJONI TAL-PARLAMENT EWROPEW U TAL-KUNSILL</w:t>
      </w:r>
      <w:bookmarkEnd w:id="8"/>
      <w:bookmarkEnd w:id="9"/>
    </w:p>
    <w:p w:rsidR="000A39ED" w:rsidRPr="00147B6C" w:rsidRDefault="000A39ED" w:rsidP="000A39ED">
      <w:pPr>
        <w:pStyle w:val="NormalBold24a"/>
      </w:pPr>
      <w:r w:rsidRPr="00147B6C">
        <w:t xml:space="preserve">dwar il-mobilizzazzjoni tal-Fond Ewropew ta’ Aġġustament għall-Globalizzazzjoni għall-Ħaddiema Ssensjati wara applikazzjoni ppreżentata mid-Danimarka </w:t>
      </w:r>
      <w:r w:rsidR="00F77741">
        <w:t xml:space="preserve">– </w:t>
      </w:r>
      <w:r w:rsidRPr="00147B6C">
        <w:t>EGF/2023/004 DK Danish Crown</w:t>
      </w:r>
    </w:p>
    <w:p w:rsidR="00E365E1" w:rsidRPr="00F77741" w:rsidRDefault="00F77741" w:rsidP="00C57E63">
      <w:pPr>
        <w:rPr>
          <w:i/>
          <w:szCs w:val="24"/>
        </w:rPr>
      </w:pPr>
      <w:bookmarkStart w:id="10" w:name="TextBodyEnd"/>
      <w:bookmarkEnd w:id="10"/>
      <w:r w:rsidRPr="00F77741">
        <w:rPr>
          <w:i/>
          <w:color w:val="333333"/>
          <w:szCs w:val="24"/>
          <w:shd w:val="clear" w:color="auto" w:fill="FFFFFF"/>
        </w:rPr>
        <w:t xml:space="preserve">(It-test ta' dan l-anness mhux riprodott hawnhekk billi jikkorrispondi mal-att finali, </w:t>
      </w:r>
      <w:r>
        <w:rPr>
          <w:i/>
          <w:color w:val="333333"/>
          <w:szCs w:val="24"/>
          <w:shd w:val="clear" w:color="auto" w:fill="FFFFFF"/>
        </w:rPr>
        <w:t>id-</w:t>
      </w:r>
      <w:r w:rsidRPr="00F77741">
        <w:rPr>
          <w:i/>
          <w:color w:val="333333"/>
          <w:szCs w:val="24"/>
          <w:shd w:val="clear" w:color="auto" w:fill="FFFFFF"/>
        </w:rPr>
        <w:t>Deċiżjoni (UE)</w:t>
      </w:r>
      <w:r>
        <w:rPr>
          <w:i/>
          <w:color w:val="333333"/>
          <w:szCs w:val="24"/>
          <w:shd w:val="clear" w:color="auto" w:fill="FFFFFF"/>
        </w:rPr>
        <w:t xml:space="preserve"> 2024/1299</w:t>
      </w:r>
      <w:r w:rsidR="00064809">
        <w:rPr>
          <w:i/>
          <w:color w:val="333333"/>
          <w:szCs w:val="24"/>
          <w:shd w:val="clear" w:color="auto" w:fill="FFFFFF"/>
        </w:rPr>
        <w:t>.)</w:t>
      </w:r>
      <w:bookmarkStart w:id="11" w:name="_GoBack"/>
      <w:bookmarkEnd w:id="11"/>
    </w:p>
    <w:sectPr w:rsidR="00E365E1" w:rsidRPr="00F77741" w:rsidSect="00C11F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E63" w:rsidRPr="00C11F8F" w:rsidRDefault="00C57E63">
      <w:r w:rsidRPr="00C11F8F">
        <w:separator/>
      </w:r>
    </w:p>
  </w:endnote>
  <w:endnote w:type="continuationSeparator" w:id="0">
    <w:p w:rsidR="00C57E63" w:rsidRPr="00C11F8F" w:rsidRDefault="00C57E63">
      <w:r w:rsidRPr="00C11F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9ED" w:rsidRPr="00C11F8F" w:rsidRDefault="000A39ED" w:rsidP="002A2363">
    <w:pPr>
      <w:pStyle w:val="EPFooter"/>
    </w:pPr>
    <w:r w:rsidRPr="00C11F8F">
      <w:t>PE</w:t>
    </w:r>
    <w:r w:rsidRPr="00C11F8F">
      <w:rPr>
        <w:rStyle w:val="HideTWBExt"/>
      </w:rPr>
      <w:t>&lt;NoPE&gt;</w:t>
    </w:r>
    <w:r w:rsidRPr="00C11F8F">
      <w:t>759.752</w:t>
    </w:r>
    <w:r w:rsidRPr="00C11F8F">
      <w:rPr>
        <w:rStyle w:val="HideTWBExt"/>
      </w:rPr>
      <w:t>&lt;/NoPE&gt;&lt;Version&gt;</w:t>
    </w:r>
    <w:r w:rsidRPr="00C11F8F">
      <w:t>v02-00</w:t>
    </w:r>
    <w:r w:rsidRPr="00C11F8F">
      <w:rPr>
        <w:rStyle w:val="HideTWBExt"/>
      </w:rPr>
      <w:t>&lt;/Version&gt;</w:t>
    </w:r>
    <w:r w:rsidRPr="00C11F8F">
      <w:tab/>
    </w:r>
    <w:r w:rsidRPr="00C11F8F">
      <w:fldChar w:fldCharType="begin"/>
    </w:r>
    <w:r w:rsidRPr="00C11F8F">
      <w:instrText xml:space="preserve"> PAGE  \* MERGEFORMAT </w:instrText>
    </w:r>
    <w:r w:rsidRPr="00C11F8F">
      <w:fldChar w:fldCharType="separate"/>
    </w:r>
    <w:r w:rsidR="00C11F8F" w:rsidRPr="00C11F8F">
      <w:rPr>
        <w:noProof/>
      </w:rPr>
      <w:t>2</w:t>
    </w:r>
    <w:r w:rsidRPr="00C11F8F">
      <w:fldChar w:fldCharType="end"/>
    </w:r>
    <w:r w:rsidRPr="00C11F8F">
      <w:t>/</w:t>
    </w:r>
    <w:r w:rsidR="00064809">
      <w:fldChar w:fldCharType="begin"/>
    </w:r>
    <w:r w:rsidR="00064809">
      <w:instrText xml:space="preserve"> NUMPAGES  \* MERGEFORMAT </w:instrText>
    </w:r>
    <w:r w:rsidR="00064809">
      <w:fldChar w:fldCharType="separate"/>
    </w:r>
    <w:r w:rsidR="00C11F8F" w:rsidRPr="00C11F8F">
      <w:rPr>
        <w:noProof/>
      </w:rPr>
      <w:t>7</w:t>
    </w:r>
    <w:r w:rsidR="00064809">
      <w:rPr>
        <w:noProof/>
      </w:rPr>
      <w:fldChar w:fldCharType="end"/>
    </w:r>
    <w:r w:rsidRPr="00C11F8F">
      <w:tab/>
    </w:r>
    <w:r w:rsidRPr="00C11F8F">
      <w:rPr>
        <w:rStyle w:val="HideTWBExt"/>
      </w:rPr>
      <w:t>&lt;PathFdR&gt;</w:t>
    </w:r>
    <w:r w:rsidRPr="00C11F8F">
      <w:t>RR\1300714MT.docx</w:t>
    </w:r>
    <w:r w:rsidRPr="00C11F8F">
      <w:rPr>
        <w:rStyle w:val="HideTWBExt"/>
      </w:rPr>
      <w:t>&lt;/PathFdR&gt;</w:t>
    </w:r>
  </w:p>
  <w:p w:rsidR="000A39ED" w:rsidRPr="00C11F8F" w:rsidRDefault="000A39ED" w:rsidP="002A2363">
    <w:pPr>
      <w:pStyle w:val="EPFooter2"/>
    </w:pPr>
    <w:r w:rsidRPr="00C11F8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9ED" w:rsidRPr="00C11F8F" w:rsidRDefault="000A39ED" w:rsidP="002A2363">
    <w:pPr>
      <w:pStyle w:val="EPFooter"/>
    </w:pPr>
    <w:r w:rsidRPr="00C11F8F">
      <w:rPr>
        <w:rStyle w:val="HideTWBExt"/>
      </w:rPr>
      <w:t>&lt;PathFdR&gt;</w:t>
    </w:r>
    <w:r w:rsidRPr="00C11F8F">
      <w:t>RR\1300714MT.docx</w:t>
    </w:r>
    <w:r w:rsidRPr="00C11F8F">
      <w:rPr>
        <w:rStyle w:val="HideTWBExt"/>
      </w:rPr>
      <w:t>&lt;/PathFdR&gt;</w:t>
    </w:r>
    <w:r w:rsidRPr="00C11F8F">
      <w:tab/>
    </w:r>
    <w:r w:rsidRPr="00C11F8F">
      <w:tab/>
      <w:t>PE</w:t>
    </w:r>
    <w:r w:rsidRPr="00C11F8F">
      <w:rPr>
        <w:rStyle w:val="HideTWBExt"/>
      </w:rPr>
      <w:t>&lt;NoPE&gt;</w:t>
    </w:r>
    <w:r w:rsidRPr="00C11F8F">
      <w:t>759.752</w:t>
    </w:r>
    <w:r w:rsidRPr="00C11F8F">
      <w:rPr>
        <w:rStyle w:val="HideTWBExt"/>
      </w:rPr>
      <w:t>&lt;/NoPE&gt;&lt;Version&gt;</w:t>
    </w:r>
    <w:r w:rsidRPr="00C11F8F">
      <w:t>v02-00</w:t>
    </w:r>
    <w:r w:rsidRPr="00C11F8F">
      <w:rPr>
        <w:rStyle w:val="HideTWBExt"/>
      </w:rPr>
      <w:t>&lt;/Version&gt;</w:t>
    </w:r>
  </w:p>
  <w:p w:rsidR="000A39ED" w:rsidRPr="00C11F8F" w:rsidRDefault="000A39ED" w:rsidP="002A2363">
    <w:pPr>
      <w:pStyle w:val="EPFooter2"/>
    </w:pPr>
    <w:r w:rsidRPr="00C11F8F">
      <w:t>MT</w:t>
    </w:r>
    <w:r w:rsidRPr="00C11F8F">
      <w:tab/>
    </w:r>
    <w:r w:rsidRPr="00C11F8F">
      <w:rPr>
        <w:b w:val="0"/>
        <w:i/>
        <w:color w:val="C0C0C0"/>
        <w:sz w:val="22"/>
      </w:rPr>
      <w:t>Magħquda fid-diversità</w:t>
    </w:r>
    <w:r w:rsidRPr="00C11F8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E63" w:rsidRPr="00C11F8F" w:rsidRDefault="00C57E63">
      <w:r w:rsidRPr="00C11F8F">
        <w:separator/>
      </w:r>
    </w:p>
  </w:footnote>
  <w:footnote w:type="continuationSeparator" w:id="0">
    <w:p w:rsidR="00C57E63" w:rsidRPr="00C11F8F" w:rsidRDefault="00C57E63">
      <w:r w:rsidRPr="00C11F8F">
        <w:continuationSeparator/>
      </w:r>
    </w:p>
  </w:footnote>
  <w:footnote w:id="1">
    <w:p w:rsidR="000A39ED" w:rsidRPr="00147B6C" w:rsidRDefault="000A39ED" w:rsidP="00C11F8F">
      <w:pPr>
        <w:pStyle w:val="FootnoteText"/>
        <w:ind w:left="567" w:hanging="567"/>
        <w:rPr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lang w:val="mt-MT"/>
        </w:rPr>
        <w:t xml:space="preserve"> </w:t>
      </w:r>
      <w:r w:rsidR="00C11F8F" w:rsidRPr="00147B6C">
        <w:rPr>
          <w:sz w:val="24"/>
          <w:lang w:val="mt-MT"/>
        </w:rPr>
        <w:tab/>
      </w:r>
      <w:r w:rsidRPr="00147B6C">
        <w:rPr>
          <w:sz w:val="24"/>
          <w:lang w:val="mt-MT"/>
        </w:rPr>
        <w:t>ĠU L 153, 3.5.2021, p. 48.</w:t>
      </w:r>
    </w:p>
  </w:footnote>
  <w:footnote w:id="2">
    <w:p w:rsidR="000A39ED" w:rsidRPr="00147B6C" w:rsidRDefault="000A39ED" w:rsidP="00C11F8F">
      <w:pPr>
        <w:pStyle w:val="FootnoteText"/>
        <w:ind w:left="567" w:hanging="567"/>
        <w:rPr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lang w:val="mt-MT"/>
        </w:rPr>
        <w:t xml:space="preserve"> </w:t>
      </w:r>
      <w:r w:rsidR="00C11F8F" w:rsidRPr="00147B6C">
        <w:rPr>
          <w:sz w:val="24"/>
          <w:lang w:val="mt-MT"/>
        </w:rPr>
        <w:tab/>
      </w:r>
      <w:r w:rsidRPr="00147B6C">
        <w:rPr>
          <w:sz w:val="24"/>
          <w:lang w:val="mt-MT"/>
        </w:rPr>
        <w:t>ĠU L 433</w:t>
      </w:r>
      <w:r w:rsidR="007969B4" w:rsidRPr="00147B6C">
        <w:rPr>
          <w:sz w:val="24"/>
          <w:lang w:val="mt-MT"/>
        </w:rPr>
        <w:t xml:space="preserve"> I</w:t>
      </w:r>
      <w:r w:rsidRPr="00147B6C">
        <w:rPr>
          <w:sz w:val="24"/>
          <w:lang w:val="mt-MT"/>
        </w:rPr>
        <w:t>, 22.12.2020, p. 11.</w:t>
      </w:r>
    </w:p>
  </w:footnote>
  <w:footnote w:id="3">
    <w:p w:rsidR="000A39ED" w:rsidRPr="00CC49E2" w:rsidRDefault="000A39ED" w:rsidP="00C11F8F">
      <w:pPr>
        <w:pStyle w:val="FootnoteText"/>
        <w:ind w:left="567" w:hanging="567"/>
        <w:rPr>
          <w:i/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shd w:val="clear" w:color="auto" w:fill="FFFFFF"/>
          <w:lang w:val="mt-MT"/>
        </w:rPr>
        <w:t xml:space="preserve"> </w:t>
      </w:r>
      <w:r w:rsidR="00C11F8F" w:rsidRPr="00147B6C">
        <w:rPr>
          <w:sz w:val="24"/>
          <w:shd w:val="clear" w:color="auto" w:fill="FFFFFF"/>
          <w:lang w:val="mt-MT"/>
        </w:rPr>
        <w:tab/>
      </w:r>
      <w:r w:rsidRPr="00147B6C">
        <w:rPr>
          <w:sz w:val="24"/>
          <w:lang w:val="mt-MT"/>
        </w:rPr>
        <w:t xml:space="preserve">ĠU L, 2024/765, 29.2.2024, </w:t>
      </w:r>
      <w:r w:rsidRPr="00CC49E2">
        <w:rPr>
          <w:rStyle w:val="Emphasis"/>
          <w:i w:val="0"/>
          <w:sz w:val="24"/>
          <w:shd w:val="clear" w:color="auto" w:fill="FFFFFF"/>
          <w:lang w:val="mt-MT"/>
        </w:rPr>
        <w:t>ELI: http://data.europa.eu/eli/reg/2024/765/oj.</w:t>
      </w:r>
    </w:p>
  </w:footnote>
  <w:footnote w:id="4">
    <w:p w:rsidR="000A39ED" w:rsidRPr="00147B6C" w:rsidRDefault="000A39ED" w:rsidP="00C11F8F">
      <w:pPr>
        <w:pStyle w:val="FootnoteText"/>
        <w:ind w:left="567" w:hanging="567"/>
        <w:rPr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lang w:val="mt-MT"/>
        </w:rPr>
        <w:t xml:space="preserve"> </w:t>
      </w:r>
      <w:r w:rsidR="00C11F8F" w:rsidRPr="00147B6C">
        <w:rPr>
          <w:sz w:val="24"/>
          <w:lang w:val="mt-MT"/>
        </w:rPr>
        <w:tab/>
      </w:r>
      <w:r w:rsidRPr="00147B6C">
        <w:rPr>
          <w:sz w:val="24"/>
          <w:lang w:val="mt-MT"/>
        </w:rPr>
        <w:t>ĠU L 433 I, 22.12.2020, p. 28.</w:t>
      </w:r>
    </w:p>
  </w:footnote>
  <w:footnote w:id="5">
    <w:p w:rsidR="000A39ED" w:rsidRPr="00147B6C" w:rsidRDefault="000A39ED" w:rsidP="00C11F8F">
      <w:pPr>
        <w:pStyle w:val="FootnoteText"/>
        <w:ind w:left="567" w:hanging="567"/>
        <w:rPr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lang w:val="mt-MT"/>
        </w:rPr>
        <w:t xml:space="preserve"> </w:t>
      </w:r>
      <w:r w:rsidR="00C11F8F" w:rsidRPr="00147B6C">
        <w:rPr>
          <w:sz w:val="24"/>
          <w:lang w:val="mt-MT"/>
        </w:rPr>
        <w:tab/>
      </w:r>
      <w:r w:rsidRPr="00147B6C">
        <w:rPr>
          <w:sz w:val="24"/>
          <w:lang w:val="mt-MT"/>
        </w:rPr>
        <w:t>Skont it-tifsira tal-Artikolu 3 tar-Regolament dwar il-FEG.</w:t>
      </w:r>
    </w:p>
  </w:footnote>
  <w:footnote w:id="6">
    <w:p w:rsidR="000A39ED" w:rsidRPr="00147B6C" w:rsidRDefault="000A39ED" w:rsidP="00C11F8F">
      <w:pPr>
        <w:pStyle w:val="FootnoteText"/>
        <w:ind w:left="567" w:hanging="567"/>
        <w:rPr>
          <w:sz w:val="24"/>
          <w:lang w:val="mt-MT"/>
        </w:rPr>
      </w:pPr>
      <w:r w:rsidRPr="00147B6C">
        <w:rPr>
          <w:rStyle w:val="FootnoteReference"/>
          <w:sz w:val="24"/>
          <w:lang w:val="mt-MT"/>
        </w:rPr>
        <w:footnoteRef/>
      </w:r>
      <w:r w:rsidR="00C11F8F" w:rsidRPr="00147B6C">
        <w:rPr>
          <w:sz w:val="24"/>
          <w:lang w:val="mt-MT"/>
        </w:rPr>
        <w:t xml:space="preserve"> </w:t>
      </w:r>
      <w:r w:rsidR="00C11F8F" w:rsidRPr="00147B6C">
        <w:rPr>
          <w:sz w:val="24"/>
          <w:lang w:val="mt-MT"/>
        </w:rPr>
        <w:tab/>
      </w:r>
      <w:r w:rsidRPr="00147B6C">
        <w:rPr>
          <w:sz w:val="24"/>
          <w:lang w:val="mt-MT"/>
        </w:rPr>
        <w:t xml:space="preserve">37 ħaddiem issensjat f’TekniClean A/S, u erba’ ħaddiema ssensjati fl-Amministrazzjoni Veterinarja u Alimentari Daniża.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F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1/2024"/>
    <w:docVar w:name="dvlangue" w:val="MT"/>
    <w:docVar w:name="dvnumam" w:val="0"/>
    <w:docVar w:name="dvpe" w:val="759.752"/>
    <w:docVar w:name="dvrapporteur" w:val="Rapporteur: "/>
    <w:docVar w:name="dvtitre" w:val="Riżoluzzjoni tal-Parlament Ewropew tal-25 ta' April 2024 dwar il-proposta għal deċiżjoni tal-Parlament Ewropew u tal-Kunsill dwar il-mobilizzazzjoni tal-Fond Ewropew ta’ Aġġustament għall-Globalizzazzjoni għall-Ħaddiema Ssensjati (applikazzjoni ppreżentata mid-Danimarka – EGF/2023/004 DK Danish Crown)(COM(2024)0035 – C9-0040/2024 – 2024/0044(BUD))"/>
  </w:docVars>
  <w:rsids>
    <w:rsidRoot w:val="00C57E63"/>
    <w:rsid w:val="00002272"/>
    <w:rsid w:val="00064002"/>
    <w:rsid w:val="00064809"/>
    <w:rsid w:val="000677B9"/>
    <w:rsid w:val="000831BA"/>
    <w:rsid w:val="000A39ED"/>
    <w:rsid w:val="000A42CC"/>
    <w:rsid w:val="000E7DD9"/>
    <w:rsid w:val="0010095E"/>
    <w:rsid w:val="00125B37"/>
    <w:rsid w:val="00147B6C"/>
    <w:rsid w:val="00187494"/>
    <w:rsid w:val="001F32AE"/>
    <w:rsid w:val="002767FF"/>
    <w:rsid w:val="002B18FE"/>
    <w:rsid w:val="002B5493"/>
    <w:rsid w:val="002B6F7E"/>
    <w:rsid w:val="00343214"/>
    <w:rsid w:val="00361C00"/>
    <w:rsid w:val="00395FA1"/>
    <w:rsid w:val="003E15D4"/>
    <w:rsid w:val="00411CCE"/>
    <w:rsid w:val="0041666E"/>
    <w:rsid w:val="00421060"/>
    <w:rsid w:val="00471C19"/>
    <w:rsid w:val="00475E3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D1A"/>
    <w:rsid w:val="006F74FA"/>
    <w:rsid w:val="00731ADD"/>
    <w:rsid w:val="00734777"/>
    <w:rsid w:val="00747932"/>
    <w:rsid w:val="00751A4A"/>
    <w:rsid w:val="00756632"/>
    <w:rsid w:val="00762C74"/>
    <w:rsid w:val="00776F3D"/>
    <w:rsid w:val="00786EC0"/>
    <w:rsid w:val="007969B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F8F"/>
    <w:rsid w:val="00C23CD4"/>
    <w:rsid w:val="00C57E63"/>
    <w:rsid w:val="00C61C0C"/>
    <w:rsid w:val="00C941CB"/>
    <w:rsid w:val="00CC2357"/>
    <w:rsid w:val="00CC49E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6E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74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FC515"/>
  <w15:chartTrackingRefBased/>
  <w15:docId w15:val="{B190532E-657B-4202-A3EE-B85CF16C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39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0A39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A39E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A39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39ED"/>
    <w:rPr>
      <w:sz w:val="24"/>
      <w:lang w:val="mt-MT"/>
    </w:rPr>
  </w:style>
  <w:style w:type="paragraph" w:customStyle="1" w:styleId="NormalBold24a">
    <w:name w:val="NormalBold24a"/>
    <w:basedOn w:val="Normal"/>
    <w:rsid w:val="000A39E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0A39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39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A39ED"/>
    <w:rPr>
      <w:sz w:val="24"/>
      <w:lang w:val="mt-MT"/>
    </w:rPr>
  </w:style>
  <w:style w:type="paragraph" w:customStyle="1" w:styleId="Default">
    <w:name w:val="Default"/>
    <w:rsid w:val="000A39ED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Institutionquisigne">
    <w:name w:val="Institution qui signe"/>
    <w:basedOn w:val="Normal"/>
    <w:next w:val="Normal"/>
    <w:rsid w:val="000A39E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A39E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A39E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A39E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A39E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A39ED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0A39ED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0A39ED"/>
    <w:rPr>
      <w:rFonts w:ascii="Arial" w:hAnsi="Arial" w:cs="Arial"/>
      <w:b/>
      <w:sz w:val="24"/>
      <w:lang w:val="mt-MT"/>
    </w:rPr>
  </w:style>
  <w:style w:type="paragraph" w:styleId="BalloonText">
    <w:name w:val="Balloon Text"/>
    <w:basedOn w:val="Normal"/>
    <w:link w:val="BalloonTextChar"/>
    <w:rsid w:val="007969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69B4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rsid w:val="00147B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7B6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FFDA-95CC-4EA6-9D0F-61BC58BB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2024-09-05T07:23:00Z</dcterms:created>
  <dcterms:modified xsi:type="dcterms:W3CDTF">2024-09-05T07:23:00Z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P9_TA(2024)0332_</vt:lpwstr>
  </property>
  <property fmtid="{D5CDD505-2E9C-101B-9397-08002B2CF9AE}" pid="4" name="&lt;Type&gt;">
    <vt:lpwstr>RR</vt:lpwstr>
  </property>
</Properties>
</file>