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239F0" w:rsidTr="0010095E">
        <w:trPr>
          <w:trHeight w:hRule="exact" w:val="1418"/>
        </w:trPr>
        <w:tc>
          <w:tcPr>
            <w:tcW w:w="6804" w:type="dxa"/>
            <w:shd w:val="clear" w:color="auto" w:fill="auto"/>
            <w:vAlign w:val="center"/>
          </w:tcPr>
          <w:p w:rsidR="00751A4A" w:rsidRPr="00A239F0" w:rsidRDefault="0000641E" w:rsidP="0010095E">
            <w:pPr>
              <w:pStyle w:val="EPName"/>
            </w:pPr>
            <w:r w:rsidRPr="00A239F0">
              <w:t>Europees Parlement</w:t>
            </w:r>
          </w:p>
          <w:p w:rsidR="00751A4A" w:rsidRPr="00A239F0" w:rsidRDefault="00817416" w:rsidP="00756632">
            <w:pPr>
              <w:pStyle w:val="EPTerm"/>
              <w:rPr>
                <w:rStyle w:val="HideTWBExt"/>
                <w:noProof w:val="0"/>
                <w:vanish w:val="0"/>
                <w:color w:val="auto"/>
              </w:rPr>
            </w:pPr>
            <w:r w:rsidRPr="00A239F0">
              <w:t>2019-2024</w:t>
            </w:r>
          </w:p>
        </w:tc>
        <w:tc>
          <w:tcPr>
            <w:tcW w:w="2268" w:type="dxa"/>
            <w:shd w:val="clear" w:color="auto" w:fill="auto"/>
          </w:tcPr>
          <w:p w:rsidR="00751A4A" w:rsidRPr="00A239F0" w:rsidRDefault="00187494" w:rsidP="0010095E">
            <w:pPr>
              <w:pStyle w:val="EPLogo"/>
            </w:pPr>
            <w:r w:rsidRPr="00A239F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239F0" w:rsidRDefault="00D058B8" w:rsidP="004C5D52">
      <w:pPr>
        <w:pStyle w:val="LineTop"/>
      </w:pPr>
    </w:p>
    <w:p w:rsidR="00680577" w:rsidRPr="00A239F0" w:rsidRDefault="0000641E" w:rsidP="00680577">
      <w:pPr>
        <w:pStyle w:val="EPBodyTA1"/>
      </w:pPr>
      <w:r w:rsidRPr="00A239F0">
        <w:t>AANGENOMEN TEKSTEN</w:t>
      </w:r>
    </w:p>
    <w:p w:rsidR="00D058B8" w:rsidRPr="00A239F0" w:rsidRDefault="00D058B8" w:rsidP="00D058B8">
      <w:pPr>
        <w:pStyle w:val="LineBottom"/>
      </w:pPr>
    </w:p>
    <w:p w:rsidR="0000641E" w:rsidRPr="00A239F0" w:rsidRDefault="0000641E" w:rsidP="0000641E">
      <w:pPr>
        <w:pStyle w:val="ATHeading1"/>
      </w:pPr>
      <w:bookmarkStart w:id="0" w:name="TANumber"/>
      <w:r w:rsidRPr="00A239F0">
        <w:t>P9_TA(2024)0</w:t>
      </w:r>
      <w:r w:rsidR="00A239F0" w:rsidRPr="00A239F0">
        <w:t>332</w:t>
      </w:r>
      <w:bookmarkEnd w:id="0"/>
    </w:p>
    <w:p w:rsidR="0000641E" w:rsidRPr="00A239F0" w:rsidRDefault="0000641E" w:rsidP="0000641E">
      <w:pPr>
        <w:pStyle w:val="ATHeading2"/>
      </w:pPr>
      <w:bookmarkStart w:id="1" w:name="title"/>
      <w:r w:rsidRPr="00A239F0">
        <w:t>Beschikbaarstelling van middelen uit het Europees Fonds voor aanpassing aan de globalisering: aanvraag EGF/2023/004 DK/Danish Crown – Denemarken</w:t>
      </w:r>
      <w:bookmarkEnd w:id="1"/>
    </w:p>
    <w:p w:rsidR="0000641E" w:rsidRPr="00A239F0" w:rsidRDefault="0000641E" w:rsidP="0000641E">
      <w:pPr>
        <w:rPr>
          <w:i/>
          <w:vanish/>
        </w:rPr>
      </w:pPr>
      <w:r w:rsidRPr="00A239F0">
        <w:rPr>
          <w:i/>
        </w:rPr>
        <w:fldChar w:fldCharType="begin"/>
      </w:r>
      <w:r w:rsidRPr="00A239F0">
        <w:rPr>
          <w:i/>
        </w:rPr>
        <w:instrText xml:space="preserve"> TC"(</w:instrText>
      </w:r>
      <w:bookmarkStart w:id="2" w:name="DocNumber"/>
      <w:r w:rsidRPr="00A239F0">
        <w:rPr>
          <w:i/>
        </w:rPr>
        <w:instrText>A9-0171/2024</w:instrText>
      </w:r>
      <w:bookmarkEnd w:id="2"/>
      <w:r w:rsidRPr="00A239F0">
        <w:rPr>
          <w:i/>
        </w:rPr>
        <w:instrText xml:space="preserve"> - Rapporteur: Janusz Lewandowski)"\l3 \n&gt; \* MERGEFORMAT </w:instrText>
      </w:r>
      <w:r w:rsidRPr="00A239F0">
        <w:rPr>
          <w:i/>
        </w:rPr>
        <w:fldChar w:fldCharType="end"/>
      </w:r>
    </w:p>
    <w:p w:rsidR="0000641E" w:rsidRPr="00A239F0" w:rsidRDefault="0000641E" w:rsidP="0000641E">
      <w:pPr>
        <w:rPr>
          <w:vanish/>
        </w:rPr>
      </w:pPr>
      <w:bookmarkStart w:id="3" w:name="Commission"/>
      <w:r w:rsidRPr="00A239F0">
        <w:rPr>
          <w:vanish/>
        </w:rPr>
        <w:t>Begrotingscommissie</w:t>
      </w:r>
      <w:bookmarkEnd w:id="3"/>
    </w:p>
    <w:p w:rsidR="0000641E" w:rsidRPr="00A239F0" w:rsidRDefault="0000641E" w:rsidP="0000641E">
      <w:pPr>
        <w:rPr>
          <w:vanish/>
        </w:rPr>
      </w:pPr>
      <w:bookmarkStart w:id="4" w:name="PE"/>
      <w:r w:rsidRPr="00A239F0">
        <w:rPr>
          <w:vanish/>
        </w:rPr>
        <w:t>PE759.752</w:t>
      </w:r>
      <w:bookmarkEnd w:id="4"/>
    </w:p>
    <w:p w:rsidR="0000641E" w:rsidRPr="00A239F0" w:rsidRDefault="0000641E" w:rsidP="0000641E">
      <w:pPr>
        <w:pStyle w:val="ATHeading3"/>
      </w:pPr>
      <w:bookmarkStart w:id="5" w:name="Sujet"/>
      <w:r w:rsidRPr="00A239F0">
        <w:t>Resolutie van het Europees Parlement van 2</w:t>
      </w:r>
      <w:r w:rsidR="00FB4F62" w:rsidRPr="00A239F0">
        <w:t>4</w:t>
      </w:r>
      <w:r w:rsidRPr="00A239F0">
        <w:t xml:space="preserve"> april 2024 over het voorstel voor een besluit van het Europees Parlement en de Raad betreffende de beschikbaarstelling van middelen uit het Europees Fonds voor aanpassing aan de globalisering voor ontslagen werknemers </w:t>
      </w:r>
      <w:r w:rsidR="008E74D9" w:rsidRPr="00A239F0">
        <w:t xml:space="preserve">naar aanleiding van </w:t>
      </w:r>
      <w:r w:rsidRPr="00A239F0">
        <w:t>aanvraag van Denemarken – EGF/2023/004 DK/Danish Crown</w:t>
      </w:r>
      <w:bookmarkEnd w:id="5"/>
      <w:r w:rsidRPr="00A239F0">
        <w:t xml:space="preserve"> </w:t>
      </w:r>
      <w:bookmarkStart w:id="6" w:name="References"/>
      <w:r w:rsidRPr="00A239F0">
        <w:t>(COM(2024)0035 – C9-0040/2024 – 2024/0044(BUD))</w:t>
      </w:r>
      <w:bookmarkEnd w:id="6"/>
    </w:p>
    <w:p w:rsidR="005774A5" w:rsidRPr="00A239F0" w:rsidRDefault="005774A5" w:rsidP="005774A5">
      <w:pPr>
        <w:pStyle w:val="EPComma"/>
        <w:rPr>
          <w:noProof/>
        </w:rPr>
      </w:pPr>
      <w:bookmarkStart w:id="7" w:name="TextBodyBegin"/>
      <w:bookmarkEnd w:id="7"/>
      <w:r w:rsidRPr="00A239F0">
        <w:rPr>
          <w:i/>
        </w:rPr>
        <w:t>Het Europees Parlement</w:t>
      </w:r>
      <w:r w:rsidRPr="00A239F0">
        <w:t>,</w:t>
      </w:r>
    </w:p>
    <w:p w:rsidR="005774A5" w:rsidRPr="00A239F0" w:rsidRDefault="005774A5" w:rsidP="005774A5">
      <w:pPr>
        <w:pStyle w:val="NormalHanging12a"/>
        <w:rPr>
          <w:noProof/>
        </w:rPr>
      </w:pPr>
      <w:r w:rsidRPr="00A239F0">
        <w:t>–</w:t>
      </w:r>
      <w:r w:rsidRPr="00A239F0">
        <w:tab/>
        <w:t>gezien het voorstel van de Commissie aan het Europees Parlement en de Raad (COM(2024)0035 – C9</w:t>
      </w:r>
      <w:r w:rsidRPr="00A239F0">
        <w:noBreakHyphen/>
        <w:t>0040/2024),</w:t>
      </w:r>
    </w:p>
    <w:p w:rsidR="005774A5" w:rsidRPr="00A239F0" w:rsidRDefault="005774A5" w:rsidP="005774A5">
      <w:pPr>
        <w:pStyle w:val="NormalHanging12a"/>
        <w:rPr>
          <w:noProof/>
        </w:rPr>
      </w:pPr>
      <w:r w:rsidRPr="00A239F0">
        <w:t>–</w:t>
      </w:r>
      <w:r w:rsidRPr="00A239F0">
        <w:tab/>
        <w:t>gezien Verordening (EU) 2021/691 van het Europees Parlement en de Raad van 28 april 2021 betreffende het Europees Fonds voor aanpassing aan de globalisering voor ontslagen werknemers (EFG) en tot wijziging van Verordening (EU) nr. 1309/2013</w:t>
      </w:r>
      <w:r w:rsidRPr="00A239F0">
        <w:rPr>
          <w:rStyle w:val="FootnoteReference"/>
        </w:rPr>
        <w:footnoteReference w:id="1"/>
      </w:r>
      <w:r w:rsidRPr="00A239F0">
        <w:t xml:space="preserve"> (EFG-verordening),</w:t>
      </w:r>
    </w:p>
    <w:p w:rsidR="005774A5" w:rsidRPr="00A239F0" w:rsidRDefault="005774A5" w:rsidP="005774A5">
      <w:pPr>
        <w:pStyle w:val="NormalHanging12a"/>
        <w:rPr>
          <w:noProof/>
        </w:rPr>
      </w:pPr>
      <w:r w:rsidRPr="00A239F0">
        <w:t>–</w:t>
      </w:r>
      <w:r w:rsidRPr="00A239F0">
        <w:tab/>
        <w:t>gezien Verordening (EU, Euratom) 2020/2093 van de Raad van 17 december 2020 tot bepaling van het meerjarig financieel kader voor de jaren 2021-2027</w:t>
      </w:r>
      <w:r w:rsidRPr="00A239F0">
        <w:rPr>
          <w:rStyle w:val="FootnoteReference"/>
          <w:noProof/>
        </w:rPr>
        <w:footnoteReference w:id="2"/>
      </w:r>
      <w:r w:rsidRPr="00A239F0">
        <w:t>,</w:t>
      </w:r>
      <w:r w:rsidRPr="00A239F0">
        <w:rPr>
          <w:bdr w:val="none" w:sz="0" w:space="0" w:color="auto" w:frame="1"/>
        </w:rPr>
        <w:t xml:space="preserve"> zoals gewijzigd bij Verordening (EU, Euratom) 2024/765</w:t>
      </w:r>
      <w:r w:rsidR="008E74D9" w:rsidRPr="00A239F0">
        <w:rPr>
          <w:bdr w:val="none" w:sz="0" w:space="0" w:color="auto" w:frame="1"/>
        </w:rPr>
        <w:t xml:space="preserve"> van de Raad van 29 februari 2024 </w:t>
      </w:r>
      <w:r w:rsidR="008E74D9" w:rsidRPr="00A239F0">
        <w:rPr>
          <w:color w:val="333333"/>
          <w:shd w:val="clear" w:color="auto" w:fill="FFFFFF"/>
        </w:rPr>
        <w:t>tot wijziging van Verordening (EU, Euratom) 2020/2093 tot bepaling van het meerjarig financieel kader voor de jaren 2021‑2027</w:t>
      </w:r>
      <w:r w:rsidRPr="00A239F0">
        <w:rPr>
          <w:rStyle w:val="FootnoteReference"/>
          <w:bdr w:val="none" w:sz="0" w:space="0" w:color="auto" w:frame="1"/>
        </w:rPr>
        <w:footnoteReference w:id="3"/>
      </w:r>
      <w:r w:rsidRPr="00A239F0">
        <w:t>, en met name artikel 8,</w:t>
      </w:r>
    </w:p>
    <w:p w:rsidR="005774A5" w:rsidRPr="00A239F0" w:rsidRDefault="005774A5" w:rsidP="005774A5">
      <w:pPr>
        <w:pStyle w:val="NormalHanging12a"/>
        <w:rPr>
          <w:noProof/>
        </w:rPr>
      </w:pPr>
      <w:r w:rsidRPr="00A239F0">
        <w:t>–</w:t>
      </w:r>
      <w:r w:rsidRPr="00A239F0">
        <w:tab/>
        <w:t>gezien het Interinstitutioneel Akkoord van 16 december 2020 tussen het Europees Parlement, de Raad van de Europese Unie en de Europese Commissie betreffende begrotingsdiscipline, samenwerking in begrotingszaken en goed financieel beheer, alsmede betreffende nieuwe eigen middelen, met inbegrip van een routekaart voor de invoering van nieuwe eigen middelen</w:t>
      </w:r>
      <w:r w:rsidRPr="00A239F0">
        <w:rPr>
          <w:rStyle w:val="FootnoteReference"/>
          <w:noProof/>
        </w:rPr>
        <w:footnoteReference w:id="4"/>
      </w:r>
      <w:r w:rsidRPr="00A239F0">
        <w:t>, en met name punt 12,</w:t>
      </w:r>
    </w:p>
    <w:p w:rsidR="005774A5" w:rsidRPr="00A239F0" w:rsidRDefault="005774A5" w:rsidP="005774A5">
      <w:pPr>
        <w:pStyle w:val="NormalHanging12a"/>
        <w:rPr>
          <w:noProof/>
        </w:rPr>
      </w:pPr>
      <w:r w:rsidRPr="00A239F0">
        <w:t>–</w:t>
      </w:r>
      <w:r w:rsidRPr="00A239F0">
        <w:tab/>
        <w:t>gezien de brief van de Commissie werkgelegenheid en sociale zaken,</w:t>
      </w:r>
    </w:p>
    <w:p w:rsidR="005774A5" w:rsidRPr="00A239F0" w:rsidRDefault="005774A5" w:rsidP="005774A5">
      <w:pPr>
        <w:pStyle w:val="NormalHanging12a"/>
      </w:pPr>
      <w:r w:rsidRPr="00A239F0">
        <w:t>–</w:t>
      </w:r>
      <w:r w:rsidRPr="00A239F0">
        <w:tab/>
        <w:t>gezien het verslag van de Begrotingscommissie (A9-0171/2024),</w:t>
      </w:r>
    </w:p>
    <w:p w:rsidR="005774A5" w:rsidRPr="00A239F0" w:rsidRDefault="005774A5" w:rsidP="005774A5">
      <w:pPr>
        <w:pStyle w:val="NormalHanging12a"/>
        <w:rPr>
          <w:noProof/>
        </w:rPr>
      </w:pPr>
      <w:r w:rsidRPr="00A239F0">
        <w:lastRenderedPageBreak/>
        <w:t>A.</w:t>
      </w:r>
      <w:r w:rsidRPr="00A239F0">
        <w:tab/>
        <w:t>overwegende dat de Unie wetgevings- en begrotingsinstrumenten in het leven heeft geroepen om extra steun te verlenen aan werknemers die gevolgen ondervinden van grote structurele veranderingen in de wereldhandelsstromen of van de wereldwijde financiële en economische crisis, en hen te helpen om op de arbeidsmarkt terug te keren; overwegende dat deze bijstand wordt verleend in de vorm van financiële steun aan de werknemers en aan de ondernemingen waarvoor zij hebben gewerkt;</w:t>
      </w:r>
    </w:p>
    <w:p w:rsidR="005774A5" w:rsidRPr="00A239F0" w:rsidRDefault="005774A5" w:rsidP="005774A5">
      <w:pPr>
        <w:widowControl/>
        <w:spacing w:after="240"/>
        <w:ind w:left="567" w:hanging="567"/>
      </w:pPr>
      <w:r w:rsidRPr="00A239F0">
        <w:t>B.</w:t>
      </w:r>
      <w:r w:rsidRPr="00A239F0">
        <w:tab/>
        <w:t>overwegende dat Denemarken aanvraag EGF/2023/004 DK/Danish Crown heeft ingediend voor een financiële bijdrage uit het Europees Fonds voor aanpassing aan de globalisering (EFG), naar aanleiding van in totaal 751 ontslagen</w:t>
      </w:r>
      <w:r w:rsidRPr="00A239F0">
        <w:rPr>
          <w:rStyle w:val="FootnoteReference"/>
        </w:rPr>
        <w:footnoteReference w:id="5"/>
      </w:r>
      <w:r w:rsidRPr="00A239F0">
        <w:t xml:space="preserve"> in de economische sector die is ingedeeld in afdeling 10 (Vervaardiging van voedingsmiddelen) van NACE Rev. 2, in de provincie Noord-Jutland, met 692 ontslagen binnen de referentieperiode voor de aanvraag van 19 mei 2023 tot en met 19 september 2023, en 59 ontslagen vóór of na de referentieperiode;</w:t>
      </w:r>
    </w:p>
    <w:p w:rsidR="005774A5" w:rsidRPr="00A239F0" w:rsidRDefault="008E74D9" w:rsidP="005774A5">
      <w:pPr>
        <w:pStyle w:val="NormalHanging12a"/>
      </w:pPr>
      <w:r w:rsidRPr="00A239F0">
        <w:t>C.</w:t>
      </w:r>
      <w:r w:rsidR="005774A5" w:rsidRPr="00A239F0">
        <w:tab/>
        <w:t>overwegende dat de aanvraag betrekking heeft op 692 ontslagen binnen de referentieperiode voor de aanvraag: 651 ontslagen werknemers bij het bedrijf Danish Crown (Danish Crown A/S) en 41 ontslagen werknemers bij twee leveranciers en downstreamproducenten van Danish Crown</w:t>
      </w:r>
      <w:r w:rsidR="005774A5" w:rsidRPr="00A239F0">
        <w:rPr>
          <w:rStyle w:val="FootnoteReference"/>
        </w:rPr>
        <w:footnoteReference w:id="6"/>
      </w:r>
      <w:r w:rsidR="005774A5" w:rsidRPr="00A239F0">
        <w:t>;</w:t>
      </w:r>
    </w:p>
    <w:p w:rsidR="005774A5" w:rsidRPr="00A239F0" w:rsidRDefault="008E74D9" w:rsidP="005774A5">
      <w:pPr>
        <w:pStyle w:val="NormalHanging12a"/>
      </w:pPr>
      <w:r w:rsidRPr="00A239F0">
        <w:t>D.</w:t>
      </w:r>
      <w:r w:rsidR="005774A5" w:rsidRPr="00A239F0">
        <w:tab/>
        <w:t xml:space="preserve">overwegende dat de aanvraag betrekking heeft op 59 ontslagen werknemers </w:t>
      </w:r>
      <w:r w:rsidR="005774A5" w:rsidRPr="00A239F0">
        <w:rPr>
          <w:sz w:val="23"/>
        </w:rPr>
        <w:t>wier werkzaamheden vóór of na de referentieperiode van vier maanden zijn beëindigd, waarbij een duidelijk oorzakelijk verband kan worden gelegd met de gebeurtenis die in de referentieperiode heeft geleid tot de beëindiging van de werkzaamheden van de ontslagen werknemers, overeenkomstig artikel 6, lid 2, van de EFG-verordening;</w:t>
      </w:r>
    </w:p>
    <w:p w:rsidR="005774A5" w:rsidRPr="00A239F0" w:rsidRDefault="005774A5" w:rsidP="005774A5">
      <w:pPr>
        <w:pStyle w:val="NormalHanging12a"/>
      </w:pPr>
      <w:r w:rsidRPr="00A239F0">
        <w:t>E.</w:t>
      </w:r>
      <w:r w:rsidRPr="00A239F0">
        <w:tab/>
        <w:t>overwegende dat de aanvraag is ingediend op grond van de criteria voor steunverlening van artikel 4, lid 2, punt a), van de EFG-verordening, die vereisen dat binnen een referentieperiode van vier maanden in een onderneming in een lidstaat ten minste 200 werknemers gedwongen zijn ontslagen, met inbegrip van werknemers die gedwongen zijn ontslagen bij leveranciers en downstreamproducenten en/of zelfstandigen die hun werkzaamheden hebben beëindigd;</w:t>
      </w:r>
    </w:p>
    <w:p w:rsidR="005774A5" w:rsidRPr="00A239F0" w:rsidRDefault="005774A5" w:rsidP="005774A5">
      <w:pPr>
        <w:pStyle w:val="NormalHanging12a"/>
      </w:pPr>
      <w:r w:rsidRPr="00A239F0">
        <w:t>F.</w:t>
      </w:r>
      <w:r w:rsidRPr="00A239F0">
        <w:tab/>
        <w:t xml:space="preserve">overwegende dat </w:t>
      </w:r>
      <w:r w:rsidRPr="00A239F0">
        <w:rPr>
          <w:sz w:val="23"/>
        </w:rPr>
        <w:t>de Deense slachthuissector zich in een structurele crisis bevindt; overwegende dat het aantal in Denemarken geslachte varkens sinds 2005 met 4,4 miljoen (20 %) is gedaald; overwegende dat de daling grotendeels toe te schrijven is aan een verschuiving van het fokken van slachtvarkens naar het fokken van biggen voor uitvoer; overwegende dat het uitvoeren van biggen voor Deense landbouwers rendabeler is dan het vetmesten van slachtvarkens vanwege de lage prijzen van varkensvlees;</w:t>
      </w:r>
    </w:p>
    <w:p w:rsidR="005774A5" w:rsidRPr="00A239F0" w:rsidRDefault="005774A5" w:rsidP="005774A5">
      <w:pPr>
        <w:pStyle w:val="NormalHanging12a"/>
        <w:rPr>
          <w:rFonts w:eastAsia="Calibri"/>
          <w:szCs w:val="22"/>
        </w:rPr>
      </w:pPr>
      <w:r w:rsidRPr="00A239F0">
        <w:t>G.</w:t>
      </w:r>
      <w:r w:rsidRPr="00A239F0">
        <w:tab/>
      </w:r>
      <w:r w:rsidRPr="00A239F0">
        <w:rPr>
          <w:sz w:val="23"/>
        </w:rPr>
        <w:t>overwegende dat Danish Crown een groep Deense levensmiddelenbedrijven is die zich bezighoudt met de slacht, verwerking en verkoop van voornamelijk varkens- en rundvlees; overwegende dat de genoemde ontslagen te wijten zijn aan de sluiting van het slachthuis van Danish Crown in Sæby, in de gemeente Frederikshavn, na een daling van het aantal slachtvarkens;</w:t>
      </w:r>
    </w:p>
    <w:p w:rsidR="005774A5" w:rsidRPr="00A239F0" w:rsidRDefault="005774A5" w:rsidP="005774A5">
      <w:pPr>
        <w:pStyle w:val="NormalHanging12a"/>
      </w:pPr>
      <w:r w:rsidRPr="00A239F0">
        <w:t>H.</w:t>
      </w:r>
      <w:r w:rsidRPr="00A239F0">
        <w:tab/>
        <w:t>overwegende dat er is voldaan aan de voorschriften van de nationale en EU-wetgeving betreffende collectieve ontslagen;</w:t>
      </w:r>
    </w:p>
    <w:p w:rsidR="005774A5" w:rsidRPr="00A239F0" w:rsidRDefault="005774A5" w:rsidP="005774A5">
      <w:pPr>
        <w:pStyle w:val="NormalHanging12a"/>
      </w:pPr>
      <w:r w:rsidRPr="00A239F0">
        <w:lastRenderedPageBreak/>
        <w:t>I.</w:t>
      </w:r>
      <w:r w:rsidRPr="00A239F0">
        <w:tab/>
        <w:t>overwegende dat financiële bijdragen uit het EFG in de eerste plaats gericht moeten zijn op actieve arbeidsmarktbeleidsmaatregelen en op gepersonaliseerde diensten die tot doel hebben de begunstigden snel aan een fatsoenlijke en duurzame baan te helpen binnen of buiten de sector waar zij oorspronkelijk werkten, en hen voor te bereiden op een groenere en meer gedigitaliseerde Europese economie;</w:t>
      </w:r>
    </w:p>
    <w:p w:rsidR="005774A5" w:rsidRPr="00A239F0" w:rsidRDefault="005774A5" w:rsidP="005774A5">
      <w:pPr>
        <w:pStyle w:val="NormalHanging12a"/>
      </w:pPr>
      <w:r w:rsidRPr="00A239F0">
        <w:t>J.</w:t>
      </w:r>
      <w:r w:rsidRPr="00A239F0">
        <w:tab/>
        <w:t>overwegende dat bij de herziening van het MFK het jaarlijkse maximumbedrag dat beschikbaar is voor het EFG, wordt verlaagd van 186 miljoen EUR tot 30 miljoen EUR (in prijzen van 2018), zoals vastgesteld in artikel 8 van Verordening (EU, Euratom) 2020/2093 van de Raad,</w:t>
      </w:r>
      <w:r w:rsidRPr="00A239F0">
        <w:rPr>
          <w:bdr w:val="none" w:sz="0" w:space="0" w:color="auto" w:frame="1"/>
        </w:rPr>
        <w:t xml:space="preserve"> zoals gewijzigd bij Verordening (EU, Euratom) 2024/765</w:t>
      </w:r>
      <w:r w:rsidRPr="00A239F0">
        <w:t>; overwegende dat de Commissie toezicht moet houden op de tenuitvoerlegging van het EFG en dat alle instellingen de nodige maatregelen moeten nemen om ervoor te zorgen dat solidariteit wordt betoond en aan alle gerechtvaardigde aanvragen voor EFG-steun kan worden voldaan;</w:t>
      </w:r>
    </w:p>
    <w:p w:rsidR="005774A5" w:rsidRPr="00A239F0" w:rsidRDefault="005774A5" w:rsidP="005774A5">
      <w:pPr>
        <w:pStyle w:val="NormalHanging12a"/>
      </w:pPr>
      <w:r w:rsidRPr="00A239F0">
        <w:t>1.</w:t>
      </w:r>
      <w:r w:rsidRPr="00A239F0">
        <w:tab/>
        <w:t>is het met de Commissie eens dat is voldaan aan de voorwaarden die zijn vastgelegd in artikel 4, lid 2, punt a), van de EFG-verordening en dat Denemarken uit hoofde van die verordening recht heeft op een financiële bijdrage ter hoogte van 1 882 212 EUR, wat overeenkomt met 60 % van de totale kosten van 3 137 021 EUR, waarvan 2 878 001 EUR voor individuele diensten en 259 020 EUR voor voorbereiding, beheer, voorlichting, publiciteit, controle en rapportage;</w:t>
      </w:r>
    </w:p>
    <w:p w:rsidR="005774A5" w:rsidRPr="00A239F0" w:rsidRDefault="005774A5" w:rsidP="005774A5">
      <w:pPr>
        <w:pStyle w:val="NormalHanging12a"/>
      </w:pPr>
      <w:r w:rsidRPr="00A239F0">
        <w:t>2.</w:t>
      </w:r>
      <w:r w:rsidRPr="00A239F0">
        <w:tab/>
        <w:t>neemt er nota van dat de Deense autoriteiten de aanvraag op 6 december 2023 hebben ingediend en dat de Commissie, na het verstrekken van aanvullende gegevens door Denemarken, haar beoordeling op 29 februari 2024 heeft afgerond en het Parlement hiervan diezelf</w:t>
      </w:r>
      <w:r w:rsidR="008E74D9" w:rsidRPr="00A239F0">
        <w:t>de dag in kennis heeft gesteld;</w:t>
      </w:r>
    </w:p>
    <w:p w:rsidR="005774A5" w:rsidRPr="00A239F0" w:rsidRDefault="005774A5" w:rsidP="005774A5">
      <w:pPr>
        <w:pStyle w:val="NormalHanging12a"/>
      </w:pPr>
      <w:r w:rsidRPr="00A239F0">
        <w:t>3.</w:t>
      </w:r>
      <w:r w:rsidRPr="00A239F0">
        <w:tab/>
        <w:t xml:space="preserve">stelt vast dat de aanvraag verband houdt met het ontslag van 751 werknemers als gevolg van de </w:t>
      </w:r>
      <w:r w:rsidRPr="00A239F0">
        <w:rPr>
          <w:sz w:val="23"/>
        </w:rPr>
        <w:t>sluiting van het slachthuis van Danish Crown in Sæby;</w:t>
      </w:r>
      <w:r w:rsidRPr="00A239F0">
        <w:t xml:space="preserve"> stelt voorts vast dat 390 van de ontslagen werknemers beoogde begunstigden zijn en naar verwachting aan de maatregelen zullen deelnemen;</w:t>
      </w:r>
    </w:p>
    <w:p w:rsidR="005774A5" w:rsidRPr="00A239F0" w:rsidRDefault="005774A5" w:rsidP="005774A5">
      <w:pPr>
        <w:pStyle w:val="Default"/>
        <w:spacing w:after="240"/>
        <w:ind w:left="567" w:hanging="567"/>
        <w:rPr>
          <w:color w:val="auto"/>
        </w:rPr>
      </w:pPr>
      <w:r w:rsidRPr="00A239F0">
        <w:rPr>
          <w:color w:val="auto"/>
        </w:rPr>
        <w:t>4.</w:t>
      </w:r>
      <w:r w:rsidRPr="00A239F0">
        <w:rPr>
          <w:color w:val="auto"/>
        </w:rPr>
        <w:tab/>
        <w:t xml:space="preserve">neemt kennis van het feit dat het merendeel van de ontslagen </w:t>
      </w:r>
      <w:r w:rsidRPr="00A239F0">
        <w:rPr>
          <w:color w:val="auto"/>
          <w:sz w:val="23"/>
        </w:rPr>
        <w:t>werknemers een laag niveau aan formele kwalificaties (46 %) heeft of verouderde kwalificaties en vaardigheden (40 %)</w:t>
      </w:r>
      <w:r w:rsidRPr="00A239F0">
        <w:rPr>
          <w:color w:val="auto"/>
        </w:rPr>
        <w:t>;</w:t>
      </w:r>
      <w:r w:rsidRPr="00A239F0">
        <w:rPr>
          <w:color w:val="auto"/>
          <w:sz w:val="23"/>
        </w:rPr>
        <w:t xml:space="preserve"> </w:t>
      </w:r>
      <w:r w:rsidRPr="00A239F0">
        <w:rPr>
          <w:color w:val="auto"/>
        </w:rPr>
        <w:t>neemt er nota van dat 41 % (305) van de ontslagen werknemers een migratieachtergrond heeft en niet vloeiend Deens spreekt; in het EFG-pakket worden ook maatregelen voorgesteld ter bevordering van de algemene vaardigheden, onder meer door de kennis van het Deens te verbeteren;</w:t>
      </w:r>
    </w:p>
    <w:p w:rsidR="005774A5" w:rsidRPr="00A239F0" w:rsidRDefault="005774A5" w:rsidP="005774A5">
      <w:pPr>
        <w:pStyle w:val="NormalHanging12a"/>
      </w:pPr>
      <w:r w:rsidRPr="00A239F0">
        <w:t>5.</w:t>
      </w:r>
      <w:r w:rsidRPr="00A239F0">
        <w:tab/>
        <w:t>stelt verheugd vast dat Denemarken het gecoördineerde pakket van gepersonaliseerde steunmaatregelen heeft opgesteld in overleg met de beoogde begunstigden, hun vertegenwoordigers en de sociale partners;</w:t>
      </w:r>
    </w:p>
    <w:p w:rsidR="005774A5" w:rsidRPr="00A239F0" w:rsidRDefault="005774A5" w:rsidP="005774A5">
      <w:pPr>
        <w:pStyle w:val="NormalHanging12a"/>
      </w:pPr>
      <w:r w:rsidRPr="00A239F0">
        <w:t>6.</w:t>
      </w:r>
      <w:r w:rsidRPr="00A239F0">
        <w:tab/>
        <w:t>herinnert eraan dat de gepersonaliseerde steunmaatregelen ten behoeve van de werknemers en zelfstandigen bestaan uit: motivering, behoud, opleiding over algemene vaardigheden, bij- en omscholing en toelagen voor het volgen van een opleiding en het zoeken naar een baan;</w:t>
      </w:r>
    </w:p>
    <w:p w:rsidR="005774A5" w:rsidRPr="00A239F0" w:rsidRDefault="005774A5" w:rsidP="008E74D9">
      <w:pPr>
        <w:pStyle w:val="NormalHanging12a"/>
      </w:pPr>
      <w:r w:rsidRPr="00A239F0">
        <w:t>7.</w:t>
      </w:r>
      <w:r w:rsidRPr="00A239F0">
        <w:tab/>
        <w:t xml:space="preserve">is buitengewoon tevreden over het feit dat het opleidingsaanbod werd ontwikkeld op basis van verschillende studies, zoals de Jobbarometer 2023 (een analyse van de arbeidsbehoeften in Frederikshavn, Hjørring, Jammerbugt en Brønderslev), de Arbejdsmarkedsbalancen (halfjaarlijks overzicht van de situatie op de arbeidsmarkt) en </w:t>
      </w:r>
      <w:r w:rsidRPr="00A239F0">
        <w:lastRenderedPageBreak/>
        <w:t>de FremKom4-analyse van vaardigheden, en dat het opleidingsaanbod gericht is op het vergroten van algemene vaardigheden (onder meer op het gebied van taal en rekenen) en digitale vaardigheden en op het verbeteren van de vaardigheden die nodig zijn op gebieden waar sprake is van een tekort aan vakkrachten;</w:t>
      </w:r>
    </w:p>
    <w:p w:rsidR="005774A5" w:rsidRPr="00A239F0" w:rsidRDefault="005774A5" w:rsidP="005774A5">
      <w:pPr>
        <w:pStyle w:val="NormalHanging12a"/>
      </w:pPr>
      <w:r w:rsidRPr="00A239F0">
        <w:t>8.</w:t>
      </w:r>
      <w:r w:rsidRPr="00A239F0">
        <w:tab/>
        <w:t xml:space="preserve">wijst met name op het belangrijke artikel 7, lid 2, van de EFG-verordening, waarin wordt bepaald dat bij het samenstellen van het gecoördineerde pakket rekening moet worden gehouden met toekomstperspectieven van de arbeidsmarkt en de in de toekomst benodigde vaardigheden, en dat het gecoördineerde pakket moet aansluiten bij de overgang naar een hulpbronnenefficiënte en duurzame economie, waarbij de nadruk gelegd moet worden op de verspreiding van in het digitale industriële tijdperk benodigde vaardigheden; </w:t>
      </w:r>
    </w:p>
    <w:p w:rsidR="005774A5" w:rsidRPr="00A239F0" w:rsidRDefault="005774A5" w:rsidP="005774A5">
      <w:pPr>
        <w:pStyle w:val="NormalHanging12a"/>
      </w:pPr>
      <w:r w:rsidRPr="00A239F0">
        <w:t>9.</w:t>
      </w:r>
      <w:r w:rsidRPr="00A239F0">
        <w:tab/>
        <w:t>stelt vast dat Denemarken met ingang van 16 oktober 2023 is begonnen met het verstrekken van gepersonaliseerde steunmaatregelen aan de beoogde begunstigden, wat betekent dat de periode om in aanmerking te komen voor een financiële bijdrage uit het EFG zal lopen van 16 oktober 2023 tot 24 maanden na de datum van inwerkingtreding van het financieringsbesluit;</w:t>
      </w:r>
    </w:p>
    <w:p w:rsidR="005774A5" w:rsidRPr="00A239F0" w:rsidRDefault="005774A5" w:rsidP="005774A5">
      <w:pPr>
        <w:pStyle w:val="NormalHanging12a"/>
        <w:rPr>
          <w:sz w:val="23"/>
          <w:szCs w:val="23"/>
        </w:rPr>
      </w:pPr>
      <w:r w:rsidRPr="00A239F0">
        <w:t>10.</w:t>
      </w:r>
      <w:r w:rsidRPr="00A239F0">
        <w:tab/>
        <w:t>stelt vast dat Denemarken op 1 juni 2023 de eerste administratieve uitgaven heeft gedaan met het oog op de uitvoering van het EFG, en dat de uitgaven voor activiteiten op het vlak van voorbereiding, beheer, voorlichting en publiciteit, en controle en rapportage derhalve van 1 juni 2023 tot 31 maanden na de datum van inwerkingtreding van het financieringsbesluit voor een financiële bijdrage uit het EFG in aanmerking komen;</w:t>
      </w:r>
    </w:p>
    <w:p w:rsidR="005774A5" w:rsidRPr="00A239F0" w:rsidRDefault="005774A5" w:rsidP="005774A5">
      <w:pPr>
        <w:pStyle w:val="NormalHanging12a"/>
      </w:pPr>
      <w:r w:rsidRPr="00A239F0">
        <w:t>11.</w:t>
      </w:r>
      <w:r w:rsidRPr="00A239F0">
        <w:tab/>
        <w:t>benadrukt dat de Deense autoriteiten hebben bevestigd dat de subsidiabele maatregelen geen steun ontvangen uit andere fondsen of financiële instrumenten van de Unie, en dat bij de toegang tot de voorgestelde maatregelen en de uitvoering ervan de beginselen van gelijke behandeling en non-discriminatie zullen worden gerespecteerd;</w:t>
      </w:r>
    </w:p>
    <w:p w:rsidR="005774A5" w:rsidRPr="00A239F0" w:rsidRDefault="005774A5" w:rsidP="005774A5">
      <w:pPr>
        <w:pStyle w:val="NormalHanging12a"/>
      </w:pPr>
      <w:r w:rsidRPr="00A239F0">
        <w:t>12.</w:t>
      </w:r>
      <w:r w:rsidRPr="00A239F0">
        <w:tab/>
        <w:t>wijst er nogmaals op dat steun uit het EFG geen vervanging mag zijn voor maatregelen die op grond van nationale wetgeving of collectieve arbeidsovereenkomsten onder de verantwoordelijkheid van bedrijven vallen, of voor om het even welke vergoedingen of rechten ten beh</w:t>
      </w:r>
      <w:bookmarkStart w:id="8" w:name="_GoBack"/>
      <w:bookmarkEnd w:id="8"/>
      <w:r w:rsidRPr="00A239F0">
        <w:t>oeve van de ontslagen werknemers, en dat de toewijzing dus geheel en al aanvullend moet zijn;</w:t>
      </w:r>
    </w:p>
    <w:p w:rsidR="005774A5" w:rsidRPr="00A239F0" w:rsidRDefault="005774A5" w:rsidP="005774A5">
      <w:pPr>
        <w:pStyle w:val="NormalHanging12a"/>
        <w:rPr>
          <w:noProof/>
        </w:rPr>
      </w:pPr>
      <w:r w:rsidRPr="00A239F0">
        <w:t>13.</w:t>
      </w:r>
      <w:r w:rsidRPr="00A239F0">
        <w:tab/>
        <w:t>hecht zijn goedkeuring aan het bij deze resolutie gevoegde besluit;</w:t>
      </w:r>
    </w:p>
    <w:p w:rsidR="005774A5" w:rsidRPr="00A239F0" w:rsidRDefault="005774A5" w:rsidP="005774A5">
      <w:pPr>
        <w:pStyle w:val="NormalHanging12a"/>
        <w:rPr>
          <w:noProof/>
        </w:rPr>
      </w:pPr>
      <w:r w:rsidRPr="00A239F0">
        <w:t>14.</w:t>
      </w:r>
      <w:r w:rsidRPr="00A239F0">
        <w:tab/>
        <w:t xml:space="preserve">verzoekt zijn Voorzitter dit besluit samen met de voorzitter van de Raad te ondertekenen en zorg te dragen voor publicatie ervan in het </w:t>
      </w:r>
      <w:r w:rsidRPr="00A239F0">
        <w:rPr>
          <w:i/>
        </w:rPr>
        <w:t>Publicatieblad van de Europese Unie</w:t>
      </w:r>
      <w:r w:rsidRPr="00A239F0">
        <w:t>;</w:t>
      </w:r>
    </w:p>
    <w:p w:rsidR="005774A5" w:rsidRPr="00A239F0" w:rsidRDefault="005774A5" w:rsidP="005774A5">
      <w:pPr>
        <w:pStyle w:val="NormalHanging12a"/>
      </w:pPr>
      <w:r w:rsidRPr="00A239F0">
        <w:t>15.</w:t>
      </w:r>
      <w:r w:rsidRPr="00A239F0">
        <w:tab/>
        <w:t>verzoekt zijn Voorzitter deze resolutie, met inbegrip van de bijlage, te doen toekomen aan de Raad en de Commissie.</w:t>
      </w:r>
    </w:p>
    <w:p w:rsidR="005774A5" w:rsidRPr="00A239F0" w:rsidRDefault="005774A5" w:rsidP="005774A5">
      <w:pPr>
        <w:rPr>
          <w:noProof/>
        </w:rPr>
      </w:pPr>
    </w:p>
    <w:p w:rsidR="005774A5" w:rsidRPr="00A239F0" w:rsidRDefault="005774A5" w:rsidP="005774A5">
      <w:pPr>
        <w:pStyle w:val="PageHeading"/>
        <w:rPr>
          <w:noProof/>
        </w:rPr>
        <w:sectPr w:rsidR="005774A5" w:rsidRPr="00A239F0" w:rsidSect="004F2DA6">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572F6C" w:rsidRPr="00572F6C" w:rsidRDefault="005774A5" w:rsidP="005774A5">
      <w:pPr>
        <w:pStyle w:val="PageHeading"/>
        <w:rPr>
          <w:rFonts w:ascii="Times New Roman" w:hAnsi="Times New Roman" w:cs="Times New Roman"/>
        </w:rPr>
      </w:pPr>
      <w:bookmarkStart w:id="9" w:name="_Toc164158384"/>
      <w:r w:rsidRPr="00572F6C">
        <w:rPr>
          <w:rFonts w:ascii="Times New Roman" w:hAnsi="Times New Roman" w:cs="Times New Roman"/>
        </w:rPr>
        <w:lastRenderedPageBreak/>
        <w:t>BIJLAGE</w:t>
      </w:r>
    </w:p>
    <w:p w:rsidR="005774A5" w:rsidRPr="00572F6C" w:rsidRDefault="005774A5" w:rsidP="005774A5">
      <w:pPr>
        <w:pStyle w:val="PageHeading"/>
        <w:rPr>
          <w:rFonts w:ascii="Times New Roman" w:hAnsi="Times New Roman" w:cs="Times New Roman"/>
          <w:noProof/>
        </w:rPr>
      </w:pPr>
      <w:r w:rsidRPr="00572F6C">
        <w:rPr>
          <w:rFonts w:ascii="Times New Roman" w:hAnsi="Times New Roman" w:cs="Times New Roman"/>
        </w:rPr>
        <w:t>BESLUIT VAN HET EUROPEES PARLEMENT EN DE RAAD</w:t>
      </w:r>
      <w:bookmarkEnd w:id="9"/>
    </w:p>
    <w:p w:rsidR="005774A5" w:rsidRPr="00572F6C" w:rsidRDefault="005774A5" w:rsidP="005774A5">
      <w:pPr>
        <w:pStyle w:val="NormalBold24a"/>
      </w:pPr>
      <w:r w:rsidRPr="00572F6C">
        <w:t xml:space="preserve">betreffende de beschikbaarstelling van middelen uit het Europees Fonds voor aanpassing aan de globalisering voor ontslagen werknemers naar aanleiding van een aanvraag van Denemarken </w:t>
      </w:r>
      <w:r w:rsidR="00572F6C" w:rsidRPr="00572F6C">
        <w:t xml:space="preserve">– </w:t>
      </w:r>
      <w:r w:rsidRPr="00572F6C">
        <w:t>EGF/2023/004 DK Danish Crown</w:t>
      </w:r>
    </w:p>
    <w:p w:rsidR="008E74D9" w:rsidRPr="00A239F0" w:rsidRDefault="00572F6C" w:rsidP="008E74D9">
      <w:pPr>
        <w:widowControl/>
        <w:tabs>
          <w:tab w:val="left" w:pos="4253"/>
        </w:tabs>
        <w:rPr>
          <w:szCs w:val="24"/>
        </w:rPr>
      </w:pPr>
      <w:r w:rsidRPr="00572F6C">
        <w:rPr>
          <w:i/>
        </w:rPr>
        <w:t>(De tekst van de bijlage wordt hier niet weergegeven, aangezien deze overeenkomt met de definitieve handeling</w:t>
      </w:r>
      <w:r w:rsidRPr="00572F6C">
        <w:rPr>
          <w:i/>
        </w:rPr>
        <w:t>:</w:t>
      </w:r>
      <w:r w:rsidRPr="00572F6C">
        <w:rPr>
          <w:i/>
        </w:rPr>
        <w:t xml:space="preserve"> Besluit (EU) 2024/</w:t>
      </w:r>
      <w:r w:rsidRPr="00572F6C">
        <w:rPr>
          <w:rStyle w:val="Emphasis"/>
        </w:rPr>
        <w:t>1299</w:t>
      </w:r>
      <w:r w:rsidRPr="00572F6C">
        <w:rPr>
          <w:i/>
        </w:rPr>
        <w:t>.)</w:t>
      </w:r>
    </w:p>
    <w:sectPr w:rsidR="008E74D9" w:rsidRPr="00A239F0" w:rsidSect="004F2DA6">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641E" w:rsidRPr="004F2DA6" w:rsidRDefault="0000641E">
      <w:r w:rsidRPr="004F2DA6">
        <w:separator/>
      </w:r>
    </w:p>
  </w:endnote>
  <w:endnote w:type="continuationSeparator" w:id="0">
    <w:p w:rsidR="0000641E" w:rsidRPr="004F2DA6" w:rsidRDefault="0000641E">
      <w:r w:rsidRPr="004F2D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74A5" w:rsidRPr="004F2DA6" w:rsidRDefault="005774A5" w:rsidP="00E221B5">
    <w:pPr>
      <w:pStyle w:val="EPFooter"/>
    </w:pPr>
    <w:r w:rsidRPr="004F2DA6">
      <w:t>PE</w:t>
    </w:r>
    <w:r w:rsidRPr="004F2DA6">
      <w:rPr>
        <w:rStyle w:val="HideTWBExt"/>
      </w:rPr>
      <w:t>&lt;NoPE&gt;</w:t>
    </w:r>
    <w:r w:rsidRPr="004F2DA6">
      <w:t>759.752</w:t>
    </w:r>
    <w:r w:rsidRPr="004F2DA6">
      <w:rPr>
        <w:rStyle w:val="HideTWBExt"/>
      </w:rPr>
      <w:t>&lt;/NoPE&gt;&lt;Version&gt;</w:t>
    </w:r>
    <w:r w:rsidRPr="004F2DA6">
      <w:t>v02-00</w:t>
    </w:r>
    <w:r w:rsidRPr="004F2DA6">
      <w:rPr>
        <w:rStyle w:val="HideTWBExt"/>
      </w:rPr>
      <w:t>&lt;/Version&gt;</w:t>
    </w:r>
    <w:r w:rsidRPr="004F2DA6">
      <w:tab/>
    </w:r>
    <w:r w:rsidRPr="004F2DA6">
      <w:fldChar w:fldCharType="begin"/>
    </w:r>
    <w:r w:rsidRPr="004F2DA6">
      <w:instrText xml:space="preserve"> PAGE  \* MERGEFORMAT </w:instrText>
    </w:r>
    <w:r w:rsidRPr="004F2DA6">
      <w:fldChar w:fldCharType="separate"/>
    </w:r>
    <w:r w:rsidRPr="004F2DA6">
      <w:rPr>
        <w:noProof/>
      </w:rPr>
      <w:t>4</w:t>
    </w:r>
    <w:r w:rsidRPr="004F2DA6">
      <w:fldChar w:fldCharType="end"/>
    </w:r>
    <w:r w:rsidRPr="004F2DA6">
      <w:t>/</w:t>
    </w:r>
    <w:r w:rsidR="00572F6C">
      <w:fldChar w:fldCharType="begin"/>
    </w:r>
    <w:r w:rsidR="00572F6C">
      <w:instrText xml:space="preserve"> NUMPAGES  \* MERGEFORMAT </w:instrText>
    </w:r>
    <w:r w:rsidR="00572F6C">
      <w:fldChar w:fldCharType="separate"/>
    </w:r>
    <w:r w:rsidRPr="004F2DA6">
      <w:rPr>
        <w:noProof/>
      </w:rPr>
      <w:t>4</w:t>
    </w:r>
    <w:r w:rsidR="00572F6C">
      <w:rPr>
        <w:noProof/>
      </w:rPr>
      <w:fldChar w:fldCharType="end"/>
    </w:r>
    <w:r w:rsidRPr="004F2DA6">
      <w:tab/>
    </w:r>
    <w:r w:rsidRPr="004F2DA6">
      <w:rPr>
        <w:rStyle w:val="HideTWBExt"/>
      </w:rPr>
      <w:t>&lt;PathFdR&gt;</w:t>
    </w:r>
    <w:r w:rsidRPr="004F2DA6">
      <w:t>RR\1300714NL.docx</w:t>
    </w:r>
    <w:r w:rsidRPr="004F2DA6">
      <w:rPr>
        <w:rStyle w:val="HideTWBExt"/>
      </w:rPr>
      <w:t>&lt;/PathFdR&gt;</w:t>
    </w:r>
  </w:p>
  <w:p w:rsidR="005774A5" w:rsidRPr="004F2DA6" w:rsidRDefault="005774A5" w:rsidP="00E221B5">
    <w:pPr>
      <w:pStyle w:val="EPFooter2"/>
    </w:pPr>
    <w:r w:rsidRPr="004F2DA6">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74A5" w:rsidRPr="004F2DA6" w:rsidRDefault="005774A5" w:rsidP="00E221B5">
    <w:pPr>
      <w:pStyle w:val="EPFooter"/>
    </w:pPr>
    <w:r w:rsidRPr="004F2DA6">
      <w:rPr>
        <w:rStyle w:val="HideTWBExt"/>
      </w:rPr>
      <w:t>&lt;PathFdR&gt;</w:t>
    </w:r>
    <w:r w:rsidRPr="004F2DA6">
      <w:t>RR\1300714NL.docx</w:t>
    </w:r>
    <w:r w:rsidRPr="004F2DA6">
      <w:rPr>
        <w:rStyle w:val="HideTWBExt"/>
      </w:rPr>
      <w:t>&lt;/PathFdR&gt;</w:t>
    </w:r>
    <w:r w:rsidRPr="004F2DA6">
      <w:tab/>
    </w:r>
    <w:r w:rsidRPr="004F2DA6">
      <w:tab/>
      <w:t>PE</w:t>
    </w:r>
    <w:r w:rsidRPr="004F2DA6">
      <w:rPr>
        <w:rStyle w:val="HideTWBExt"/>
      </w:rPr>
      <w:t>&lt;NoPE&gt;</w:t>
    </w:r>
    <w:r w:rsidRPr="004F2DA6">
      <w:t>759.752</w:t>
    </w:r>
    <w:r w:rsidRPr="004F2DA6">
      <w:rPr>
        <w:rStyle w:val="HideTWBExt"/>
      </w:rPr>
      <w:t>&lt;/NoPE&gt;&lt;Version&gt;</w:t>
    </w:r>
    <w:r w:rsidRPr="004F2DA6">
      <w:t>v02-00</w:t>
    </w:r>
    <w:r w:rsidRPr="004F2DA6">
      <w:rPr>
        <w:rStyle w:val="HideTWBExt"/>
      </w:rPr>
      <w:t>&lt;/Version&gt;</w:t>
    </w:r>
  </w:p>
  <w:p w:rsidR="005774A5" w:rsidRPr="004F2DA6" w:rsidRDefault="005774A5" w:rsidP="00E221B5">
    <w:pPr>
      <w:pStyle w:val="EPFooter2"/>
    </w:pPr>
    <w:r w:rsidRPr="004F2DA6">
      <w:t>NL</w:t>
    </w:r>
    <w:r w:rsidRPr="004F2DA6">
      <w:tab/>
    </w:r>
    <w:r w:rsidRPr="004F2DA6">
      <w:rPr>
        <w:b w:val="0"/>
        <w:i/>
        <w:color w:val="C0C0C0"/>
        <w:sz w:val="22"/>
      </w:rPr>
      <w:t>In verscheidenheid verenigd</w:t>
    </w:r>
    <w:r w:rsidRPr="004F2DA6">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2DA6"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2DA6"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2DA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641E" w:rsidRPr="004F2DA6" w:rsidRDefault="0000641E">
      <w:r w:rsidRPr="004F2DA6">
        <w:separator/>
      </w:r>
    </w:p>
  </w:footnote>
  <w:footnote w:type="continuationSeparator" w:id="0">
    <w:p w:rsidR="0000641E" w:rsidRPr="004F2DA6" w:rsidRDefault="0000641E">
      <w:r w:rsidRPr="004F2DA6">
        <w:continuationSeparator/>
      </w:r>
    </w:p>
  </w:footnote>
  <w:footnote w:id="1">
    <w:p w:rsidR="005774A5" w:rsidRPr="004F2DA6" w:rsidRDefault="005774A5" w:rsidP="004F2DA6">
      <w:pPr>
        <w:pStyle w:val="FootnoteText"/>
        <w:ind w:left="567" w:hanging="567"/>
        <w:rPr>
          <w:sz w:val="24"/>
          <w:lang w:val="nl-NL"/>
        </w:rPr>
      </w:pPr>
      <w:r w:rsidRPr="004F2DA6">
        <w:rPr>
          <w:rStyle w:val="FootnoteReference"/>
          <w:sz w:val="24"/>
          <w:lang w:val="nl-NL"/>
        </w:rPr>
        <w:footnoteRef/>
      </w:r>
      <w:r w:rsidR="004F2DA6" w:rsidRPr="004F2DA6">
        <w:rPr>
          <w:sz w:val="24"/>
          <w:lang w:val="nl-NL"/>
        </w:rPr>
        <w:tab/>
      </w:r>
      <w:r w:rsidRPr="004F2DA6">
        <w:rPr>
          <w:sz w:val="24"/>
          <w:lang w:val="nl-NL"/>
        </w:rPr>
        <w:t>PB L 153 van 3.5.2021, blz. 48.</w:t>
      </w:r>
    </w:p>
  </w:footnote>
  <w:footnote w:id="2">
    <w:p w:rsidR="005774A5" w:rsidRPr="004F2DA6" w:rsidRDefault="005774A5" w:rsidP="004F2DA6">
      <w:pPr>
        <w:pStyle w:val="FootnoteText"/>
        <w:ind w:left="567" w:hanging="567"/>
        <w:rPr>
          <w:sz w:val="24"/>
          <w:lang w:val="nl-NL"/>
        </w:rPr>
      </w:pPr>
      <w:r w:rsidRPr="004F2DA6">
        <w:rPr>
          <w:rStyle w:val="FootnoteReference"/>
          <w:sz w:val="24"/>
          <w:lang w:val="nl-NL"/>
        </w:rPr>
        <w:footnoteRef/>
      </w:r>
      <w:r w:rsidR="004F2DA6" w:rsidRPr="004F2DA6">
        <w:rPr>
          <w:sz w:val="24"/>
          <w:lang w:val="nl-NL"/>
        </w:rPr>
        <w:tab/>
      </w:r>
      <w:r w:rsidRPr="004F2DA6">
        <w:rPr>
          <w:sz w:val="24"/>
          <w:lang w:val="nl-NL"/>
        </w:rPr>
        <w:t>PB L 433 I van 22.12.2020, blz. 11.</w:t>
      </w:r>
    </w:p>
  </w:footnote>
  <w:footnote w:id="3">
    <w:p w:rsidR="005774A5" w:rsidRPr="0042739C" w:rsidRDefault="005774A5" w:rsidP="004F2DA6">
      <w:pPr>
        <w:pStyle w:val="FootnoteText"/>
        <w:ind w:left="567" w:hanging="567"/>
        <w:rPr>
          <w:i/>
          <w:sz w:val="24"/>
          <w:lang w:val="fi-FI"/>
        </w:rPr>
      </w:pPr>
      <w:r w:rsidRPr="004F2DA6">
        <w:rPr>
          <w:rStyle w:val="FootnoteReference"/>
          <w:sz w:val="24"/>
          <w:lang w:val="nl-NL"/>
        </w:rPr>
        <w:footnoteRef/>
      </w:r>
      <w:r w:rsidR="004F2DA6" w:rsidRPr="0042739C">
        <w:rPr>
          <w:color w:val="333333"/>
          <w:sz w:val="24"/>
          <w:shd w:val="clear" w:color="auto" w:fill="FFFFFF"/>
          <w:lang w:val="fi-FI"/>
        </w:rPr>
        <w:tab/>
      </w:r>
      <w:r w:rsidRPr="0042739C">
        <w:rPr>
          <w:sz w:val="24"/>
          <w:lang w:val="fi-FI"/>
        </w:rPr>
        <w:t xml:space="preserve">PB L, 2024/765, 29.2.2024, </w:t>
      </w:r>
      <w:r w:rsidRPr="0042739C">
        <w:rPr>
          <w:rStyle w:val="Emphasis"/>
          <w:i w:val="0"/>
          <w:color w:val="333333"/>
          <w:sz w:val="24"/>
          <w:shd w:val="clear" w:color="auto" w:fill="FFFFFF"/>
          <w:lang w:val="fi-FI"/>
        </w:rPr>
        <w:t>ELI: http://data.europa.eu/eli/reg/2024/765/oj.</w:t>
      </w:r>
    </w:p>
  </w:footnote>
  <w:footnote w:id="4">
    <w:p w:rsidR="005774A5" w:rsidRPr="004F2DA6" w:rsidRDefault="005774A5" w:rsidP="004F2DA6">
      <w:pPr>
        <w:pStyle w:val="FootnoteText"/>
        <w:ind w:left="567" w:hanging="567"/>
        <w:rPr>
          <w:sz w:val="24"/>
          <w:lang w:val="nl-NL"/>
        </w:rPr>
      </w:pPr>
      <w:r w:rsidRPr="004F2DA6">
        <w:rPr>
          <w:rStyle w:val="FootnoteReference"/>
          <w:sz w:val="24"/>
          <w:lang w:val="nl-NL"/>
        </w:rPr>
        <w:footnoteRef/>
      </w:r>
      <w:r w:rsidR="004F2DA6" w:rsidRPr="004F2DA6">
        <w:rPr>
          <w:sz w:val="24"/>
          <w:lang w:val="nl-NL"/>
        </w:rPr>
        <w:tab/>
      </w:r>
      <w:r w:rsidRPr="004F2DA6">
        <w:rPr>
          <w:sz w:val="24"/>
          <w:lang w:val="nl-NL"/>
        </w:rPr>
        <w:t>PB L 433 I van 22.12.2020, blz. 28.</w:t>
      </w:r>
    </w:p>
  </w:footnote>
  <w:footnote w:id="5">
    <w:p w:rsidR="005774A5" w:rsidRPr="004F2DA6" w:rsidRDefault="005774A5" w:rsidP="004F2DA6">
      <w:pPr>
        <w:pStyle w:val="FootnoteText"/>
        <w:ind w:left="567" w:hanging="567"/>
        <w:rPr>
          <w:sz w:val="24"/>
          <w:lang w:val="nl-NL"/>
        </w:rPr>
      </w:pPr>
      <w:r w:rsidRPr="004F2DA6">
        <w:rPr>
          <w:rStyle w:val="FootnoteReference"/>
          <w:sz w:val="24"/>
          <w:lang w:val="nl-NL"/>
        </w:rPr>
        <w:footnoteRef/>
      </w:r>
      <w:r w:rsidR="004F2DA6" w:rsidRPr="004F2DA6">
        <w:rPr>
          <w:sz w:val="24"/>
          <w:lang w:val="nl-NL"/>
        </w:rPr>
        <w:tab/>
      </w:r>
      <w:r w:rsidRPr="004F2DA6">
        <w:rPr>
          <w:sz w:val="24"/>
          <w:lang w:val="nl-NL"/>
        </w:rPr>
        <w:t>In de zin van artikel 3 van de EFG‑verordening.</w:t>
      </w:r>
    </w:p>
  </w:footnote>
  <w:footnote w:id="6">
    <w:p w:rsidR="005774A5" w:rsidRPr="004F2DA6" w:rsidRDefault="005774A5" w:rsidP="004F2DA6">
      <w:pPr>
        <w:pStyle w:val="FootnoteText"/>
        <w:ind w:left="567" w:hanging="567"/>
        <w:rPr>
          <w:sz w:val="24"/>
          <w:lang w:val="nl-NL"/>
        </w:rPr>
      </w:pPr>
      <w:r w:rsidRPr="004F2DA6">
        <w:rPr>
          <w:rStyle w:val="FootnoteReference"/>
          <w:sz w:val="24"/>
          <w:lang w:val="nl-NL"/>
        </w:rPr>
        <w:footnoteRef/>
      </w:r>
      <w:r w:rsidR="004F2DA6" w:rsidRPr="004F2DA6">
        <w:rPr>
          <w:sz w:val="24"/>
          <w:lang w:val="nl-NL"/>
        </w:rPr>
        <w:tab/>
      </w:r>
      <w:r w:rsidRPr="004F2DA6">
        <w:rPr>
          <w:sz w:val="24"/>
          <w:lang w:val="nl-NL"/>
        </w:rPr>
        <w:t xml:space="preserve">37 ontslagen werknemers bij TekniClean A/S en 4 ontslagen werknemers bij de Deense dienst voor veterinaire zaken en levensmiddelen.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2DA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2DA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2DA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1/2024"/>
    <w:docVar w:name="dvlangue" w:val="NL"/>
    <w:docVar w:name="dvnumam" w:val="0"/>
    <w:docVar w:name="dvpe" w:val="759.752"/>
    <w:docVar w:name="dvrapporteur" w:val="Rapporteur: "/>
    <w:docVar w:name="dvtitre" w:val="Resolutie van het Europees Parlement van 25 april 2024 over het voorstel voor een besluit van het Europees Parlement en de Raad betreffende de beschikbaarstelling van middelen uit het Europees Fonds voor aanpassing aan de globalisering voor ontslagen werknemers (aanvraag van Denemarken – EGF/2023/004 DK/Danish Crown)(COM(2024)0035 – C9-0040/2024 – 2024/0044(BUD))"/>
  </w:docVars>
  <w:rsids>
    <w:rsidRoot w:val="0000641E"/>
    <w:rsid w:val="00002272"/>
    <w:rsid w:val="0000641E"/>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2739C"/>
    <w:rsid w:val="00471C19"/>
    <w:rsid w:val="004867E3"/>
    <w:rsid w:val="00494A28"/>
    <w:rsid w:val="004C0004"/>
    <w:rsid w:val="004C5D52"/>
    <w:rsid w:val="004F2DA6"/>
    <w:rsid w:val="0050519A"/>
    <w:rsid w:val="005072A1"/>
    <w:rsid w:val="00514517"/>
    <w:rsid w:val="00545827"/>
    <w:rsid w:val="00560270"/>
    <w:rsid w:val="00572F6C"/>
    <w:rsid w:val="005774A5"/>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74D9"/>
    <w:rsid w:val="00930C23"/>
    <w:rsid w:val="0093193B"/>
    <w:rsid w:val="009509D8"/>
    <w:rsid w:val="00950B64"/>
    <w:rsid w:val="00981893"/>
    <w:rsid w:val="00A1687D"/>
    <w:rsid w:val="00A239F0"/>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B4F62"/>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06C6C3"/>
  <w15:chartTrackingRefBased/>
  <w15:docId w15:val="{2521ACF0-1E4D-49CC-8E80-EFA68D0F6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774A5"/>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5774A5"/>
    <w:pPr>
      <w:keepNext/>
      <w:spacing w:after="480"/>
      <w:jc w:val="center"/>
    </w:pPr>
    <w:rPr>
      <w:rFonts w:ascii="Arial" w:hAnsi="Arial" w:cs="Arial"/>
      <w:b/>
    </w:rPr>
  </w:style>
  <w:style w:type="paragraph" w:customStyle="1" w:styleId="NormalHanging12a">
    <w:name w:val="NormalHanging12a"/>
    <w:basedOn w:val="Normal"/>
    <w:link w:val="NormalHanging12aChar"/>
    <w:rsid w:val="005774A5"/>
    <w:pPr>
      <w:spacing w:after="240"/>
      <w:ind w:left="567" w:hanging="567"/>
    </w:pPr>
  </w:style>
  <w:style w:type="paragraph" w:styleId="Header">
    <w:name w:val="header"/>
    <w:basedOn w:val="Normal"/>
    <w:link w:val="HeaderChar"/>
    <w:rsid w:val="005774A5"/>
    <w:pPr>
      <w:tabs>
        <w:tab w:val="center" w:pos="4513"/>
        <w:tab w:val="right" w:pos="9026"/>
      </w:tabs>
    </w:pPr>
  </w:style>
  <w:style w:type="character" w:customStyle="1" w:styleId="HeaderChar">
    <w:name w:val="Header Char"/>
    <w:basedOn w:val="DefaultParagraphFont"/>
    <w:link w:val="Header"/>
    <w:rsid w:val="005774A5"/>
    <w:rPr>
      <w:sz w:val="24"/>
      <w:lang w:val="nl-NL"/>
    </w:rPr>
  </w:style>
  <w:style w:type="paragraph" w:customStyle="1" w:styleId="NormalBold24a">
    <w:name w:val="NormalBold24a"/>
    <w:basedOn w:val="Normal"/>
    <w:rsid w:val="005774A5"/>
    <w:pPr>
      <w:spacing w:after="480"/>
    </w:pPr>
    <w:rPr>
      <w:b/>
      <w:bCs/>
    </w:rPr>
  </w:style>
  <w:style w:type="paragraph" w:customStyle="1" w:styleId="EPFooter">
    <w:name w:val="EPFooter"/>
    <w:basedOn w:val="Normal"/>
    <w:rsid w:val="005774A5"/>
    <w:pPr>
      <w:tabs>
        <w:tab w:val="center" w:pos="4535"/>
        <w:tab w:val="right" w:pos="9071"/>
      </w:tabs>
      <w:spacing w:before="240" w:after="240"/>
    </w:pPr>
    <w:rPr>
      <w:color w:val="010000"/>
      <w:sz w:val="22"/>
    </w:rPr>
  </w:style>
  <w:style w:type="paragraph" w:customStyle="1" w:styleId="EPComma">
    <w:name w:val="EPComma"/>
    <w:basedOn w:val="Normal"/>
    <w:rsid w:val="005774A5"/>
    <w:pPr>
      <w:spacing w:before="480" w:after="240"/>
    </w:pPr>
  </w:style>
  <w:style w:type="character" w:customStyle="1" w:styleId="NormalHanging12aChar">
    <w:name w:val="NormalHanging12a Char"/>
    <w:basedOn w:val="DefaultParagraphFont"/>
    <w:link w:val="NormalHanging12a"/>
    <w:locked/>
    <w:rsid w:val="005774A5"/>
    <w:rPr>
      <w:sz w:val="24"/>
      <w:lang w:val="nl-NL"/>
    </w:rPr>
  </w:style>
  <w:style w:type="paragraph" w:customStyle="1" w:styleId="Default">
    <w:name w:val="Default"/>
    <w:rsid w:val="005774A5"/>
    <w:pPr>
      <w:autoSpaceDE w:val="0"/>
      <w:autoSpaceDN w:val="0"/>
      <w:adjustRightInd w:val="0"/>
    </w:pPr>
    <w:rPr>
      <w:color w:val="000000"/>
      <w:sz w:val="24"/>
      <w:szCs w:val="24"/>
      <w:lang w:val="nl-NL"/>
    </w:rPr>
  </w:style>
  <w:style w:type="paragraph" w:customStyle="1" w:styleId="Institutionquisigne">
    <w:name w:val="Institution qui signe"/>
    <w:basedOn w:val="Normal"/>
    <w:next w:val="Normal"/>
    <w:rsid w:val="005774A5"/>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5774A5"/>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5774A5"/>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5774A5"/>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5774A5"/>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5774A5"/>
    <w:pPr>
      <w:widowControl/>
      <w:spacing w:before="120" w:after="120"/>
      <w:ind w:left="709" w:hanging="709"/>
      <w:jc w:val="both"/>
    </w:pPr>
    <w:rPr>
      <w:rFonts w:eastAsiaTheme="minorEastAsia"/>
      <w:szCs w:val="22"/>
      <w:lang w:eastAsia="en-US"/>
    </w:rPr>
  </w:style>
  <w:style w:type="character" w:styleId="Emphasis">
    <w:name w:val="Emphasis"/>
    <w:basedOn w:val="DefaultParagraphFont"/>
    <w:qFormat/>
    <w:rsid w:val="005774A5"/>
    <w:rPr>
      <w:i/>
      <w:iCs/>
    </w:rPr>
  </w:style>
  <w:style w:type="character" w:customStyle="1" w:styleId="PageHeadingChar">
    <w:name w:val="PageHeading Char"/>
    <w:basedOn w:val="DefaultParagraphFont"/>
    <w:link w:val="PageHeading"/>
    <w:rsid w:val="005774A5"/>
    <w:rPr>
      <w:rFonts w:ascii="Arial" w:hAnsi="Arial" w:cs="Arial"/>
      <w:b/>
      <w:sz w:val="24"/>
      <w:lang w:val="nl-NL"/>
    </w:rPr>
  </w:style>
  <w:style w:type="paragraph" w:styleId="Footer">
    <w:name w:val="footer"/>
    <w:basedOn w:val="Normal"/>
    <w:link w:val="FooterChar"/>
    <w:rsid w:val="008E74D9"/>
    <w:pPr>
      <w:tabs>
        <w:tab w:val="center" w:pos="4513"/>
        <w:tab w:val="right" w:pos="9026"/>
      </w:tabs>
    </w:pPr>
  </w:style>
  <w:style w:type="character" w:customStyle="1" w:styleId="FooterChar">
    <w:name w:val="Footer Char"/>
    <w:basedOn w:val="DefaultParagraphFont"/>
    <w:link w:val="Footer"/>
    <w:rsid w:val="008E74D9"/>
    <w:rPr>
      <w:sz w:val="24"/>
      <w:lang w:val="nl-NL"/>
    </w:rPr>
  </w:style>
  <w:style w:type="paragraph" w:styleId="BalloonText">
    <w:name w:val="Balloon Text"/>
    <w:basedOn w:val="Normal"/>
    <w:link w:val="BalloonTextChar"/>
    <w:rsid w:val="008E74D9"/>
    <w:rPr>
      <w:rFonts w:ascii="Segoe UI" w:hAnsi="Segoe UI" w:cs="Segoe UI"/>
      <w:sz w:val="18"/>
      <w:szCs w:val="18"/>
    </w:rPr>
  </w:style>
  <w:style w:type="character" w:customStyle="1" w:styleId="BalloonTextChar">
    <w:name w:val="Balloon Text Char"/>
    <w:basedOn w:val="DefaultParagraphFont"/>
    <w:link w:val="BalloonText"/>
    <w:rsid w:val="008E74D9"/>
    <w:rPr>
      <w:rFonts w:ascii="Segoe UI" w:hAnsi="Segoe UI" w:cs="Segoe UI"/>
      <w:sz w:val="18"/>
      <w:szCs w:val="18"/>
      <w:lang w:val="nl-NL"/>
    </w:rPr>
  </w:style>
  <w:style w:type="character" w:styleId="CommentReference">
    <w:name w:val="annotation reference"/>
    <w:basedOn w:val="DefaultParagraphFont"/>
    <w:rsid w:val="00572F6C"/>
    <w:rPr>
      <w:sz w:val="16"/>
      <w:szCs w:val="16"/>
    </w:rPr>
  </w:style>
  <w:style w:type="paragraph" w:styleId="CommentText">
    <w:name w:val="annotation text"/>
    <w:basedOn w:val="Normal"/>
    <w:link w:val="CommentTextChar"/>
    <w:rsid w:val="00572F6C"/>
    <w:rPr>
      <w:sz w:val="20"/>
      <w:lang w:val="en-GB"/>
    </w:rPr>
  </w:style>
  <w:style w:type="character" w:customStyle="1" w:styleId="CommentTextChar">
    <w:name w:val="Comment Text Char"/>
    <w:basedOn w:val="DefaultParagraphFont"/>
    <w:link w:val="CommentText"/>
    <w:rsid w:val="00572F6C"/>
  </w:style>
  <w:style w:type="character" w:styleId="Hyperlink">
    <w:name w:val="Hyperlink"/>
    <w:basedOn w:val="DefaultParagraphFont"/>
    <w:rsid w:val="00572F6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D76887-4A41-4E81-A392-F646BA0DD5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1696</Words>
  <Characters>9842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SLOSSE Filiep</cp:lastModifiedBy>
  <cp:revision>2</cp:revision>
  <cp:lastPrinted>2004-11-19T15:42:00Z</cp:lastPrinted>
  <dcterms:created xsi:type="dcterms:W3CDTF">2024-09-09T09:46:00Z</dcterms:created>
  <dcterms:modified xsi:type="dcterms:W3CDTF">2024-09-09T09:46:00Z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P9_TA(2024)0332_</vt:lpwstr>
  </property>
  <property fmtid="{D5CDD505-2E9C-101B-9397-08002B2CF9AE}" pid="4" name="&lt;Type&gt;">
    <vt:lpwstr>RR</vt:lpwstr>
  </property>
</Properties>
</file>