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43B" w:rsidTr="0010095E">
        <w:trPr>
          <w:trHeight w:hRule="exact" w:val="1418"/>
        </w:trPr>
        <w:tc>
          <w:tcPr>
            <w:tcW w:w="6804" w:type="dxa"/>
            <w:shd w:val="clear" w:color="auto" w:fill="auto"/>
            <w:vAlign w:val="center"/>
          </w:tcPr>
          <w:p w:rsidR="00751A4A" w:rsidRPr="006E743B" w:rsidRDefault="00FB760E" w:rsidP="0010095E">
            <w:pPr>
              <w:pStyle w:val="EPName"/>
            </w:pPr>
            <w:r w:rsidRPr="006E743B">
              <w:t>Parlamentul European</w:t>
            </w:r>
          </w:p>
          <w:p w:rsidR="00751A4A" w:rsidRPr="006E743B" w:rsidRDefault="00817416" w:rsidP="00756632">
            <w:pPr>
              <w:pStyle w:val="EPTerm"/>
              <w:rPr>
                <w:rStyle w:val="HideTWBExt"/>
                <w:noProof w:val="0"/>
                <w:vanish w:val="0"/>
                <w:color w:val="auto"/>
              </w:rPr>
            </w:pPr>
            <w:r w:rsidRPr="006E743B">
              <w:t>2019-2024</w:t>
            </w:r>
          </w:p>
        </w:tc>
        <w:tc>
          <w:tcPr>
            <w:tcW w:w="2268" w:type="dxa"/>
            <w:shd w:val="clear" w:color="auto" w:fill="auto"/>
          </w:tcPr>
          <w:p w:rsidR="00751A4A" w:rsidRPr="006E743B" w:rsidRDefault="00187494" w:rsidP="0010095E">
            <w:pPr>
              <w:pStyle w:val="EPLogo"/>
            </w:pPr>
            <w:r w:rsidRPr="006E74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743B" w:rsidRDefault="00D058B8" w:rsidP="004C5D52">
      <w:pPr>
        <w:pStyle w:val="LineTop"/>
      </w:pPr>
    </w:p>
    <w:p w:rsidR="00680577" w:rsidRPr="006E743B" w:rsidRDefault="00FB760E" w:rsidP="00680577">
      <w:pPr>
        <w:pStyle w:val="EPBodyTA1"/>
      </w:pPr>
      <w:r w:rsidRPr="006E743B">
        <w:t>TEXTE ADOPTATE</w:t>
      </w:r>
    </w:p>
    <w:p w:rsidR="00D058B8" w:rsidRPr="006E743B" w:rsidRDefault="00D058B8" w:rsidP="00D058B8">
      <w:pPr>
        <w:pStyle w:val="LineBottom"/>
      </w:pPr>
    </w:p>
    <w:p w:rsidR="00FB760E" w:rsidRPr="006E743B" w:rsidRDefault="00FB760E" w:rsidP="00FB760E">
      <w:pPr>
        <w:pStyle w:val="ATHeading1"/>
      </w:pPr>
      <w:bookmarkStart w:id="0" w:name="TANumber"/>
      <w:r w:rsidRPr="006E743B">
        <w:t>P9_TA(2024)0</w:t>
      </w:r>
      <w:bookmarkEnd w:id="0"/>
      <w:r w:rsidR="006E743B" w:rsidRPr="006E743B">
        <w:t>332</w:t>
      </w:r>
    </w:p>
    <w:p w:rsidR="00FB760E" w:rsidRPr="006E743B" w:rsidRDefault="00FB760E" w:rsidP="00FB760E">
      <w:pPr>
        <w:pStyle w:val="ATHeading2"/>
      </w:pPr>
      <w:bookmarkStart w:id="1" w:name="title"/>
      <w:r w:rsidRPr="006E743B">
        <w:t>Mobilizarea Fondului european de ajustare la global</w:t>
      </w:r>
      <w:r w:rsidR="002527A5">
        <w:t xml:space="preserve">izare </w:t>
      </w:r>
      <w:r w:rsidR="002527A5">
        <w:t>–</w:t>
      </w:r>
      <w:r w:rsidR="002527A5">
        <w:t xml:space="preserve"> Cererea EGF/2023/004 DK/</w:t>
      </w:r>
      <w:proofErr w:type="spellStart"/>
      <w:r w:rsidRPr="006E743B">
        <w:t>Danish</w:t>
      </w:r>
      <w:proofErr w:type="spellEnd"/>
      <w:r w:rsidRPr="006E743B">
        <w:t xml:space="preserve"> Crown </w:t>
      </w:r>
      <w:r w:rsidR="002527A5">
        <w:t>–</w:t>
      </w:r>
      <w:r w:rsidRPr="006E743B">
        <w:t xml:space="preserve"> Danemarca</w:t>
      </w:r>
      <w:bookmarkEnd w:id="1"/>
    </w:p>
    <w:p w:rsidR="00FB760E" w:rsidRPr="006E743B" w:rsidRDefault="00FB760E" w:rsidP="00FB760E">
      <w:pPr>
        <w:rPr>
          <w:i/>
          <w:vanish/>
        </w:rPr>
      </w:pPr>
      <w:r w:rsidRPr="006E743B">
        <w:rPr>
          <w:i/>
        </w:rPr>
        <w:fldChar w:fldCharType="begin"/>
      </w:r>
      <w:r w:rsidRPr="006E743B">
        <w:rPr>
          <w:i/>
        </w:rPr>
        <w:instrText xml:space="preserve"> TC"(</w:instrText>
      </w:r>
      <w:bookmarkStart w:id="2" w:name="DocNumber"/>
      <w:r w:rsidRPr="006E743B">
        <w:rPr>
          <w:i/>
        </w:rPr>
        <w:instrText>A9-0171/2024</w:instrText>
      </w:r>
      <w:bookmarkEnd w:id="2"/>
      <w:r w:rsidRPr="006E743B">
        <w:rPr>
          <w:i/>
        </w:rPr>
        <w:instrText xml:space="preserve"> - Raportor: Janusz Lewandowski)"\l3 \n&gt; \* MERGEFORMAT </w:instrText>
      </w:r>
      <w:r w:rsidRPr="006E743B">
        <w:rPr>
          <w:i/>
        </w:rPr>
        <w:fldChar w:fldCharType="end"/>
      </w:r>
    </w:p>
    <w:p w:rsidR="00FB760E" w:rsidRPr="006E743B" w:rsidRDefault="00FB760E" w:rsidP="00FB760E">
      <w:pPr>
        <w:rPr>
          <w:vanish/>
        </w:rPr>
      </w:pPr>
      <w:bookmarkStart w:id="3" w:name="Commission"/>
      <w:r w:rsidRPr="006E743B">
        <w:rPr>
          <w:vanish/>
        </w:rPr>
        <w:t>Comisia pentru bugete</w:t>
      </w:r>
      <w:bookmarkEnd w:id="3"/>
    </w:p>
    <w:p w:rsidR="00FB760E" w:rsidRPr="006E743B" w:rsidRDefault="00FB760E" w:rsidP="00FB760E">
      <w:pPr>
        <w:rPr>
          <w:vanish/>
        </w:rPr>
      </w:pPr>
      <w:bookmarkStart w:id="4" w:name="PE"/>
      <w:r w:rsidRPr="006E743B">
        <w:rPr>
          <w:vanish/>
        </w:rPr>
        <w:t>PE759.752</w:t>
      </w:r>
      <w:bookmarkEnd w:id="4"/>
    </w:p>
    <w:p w:rsidR="00FB760E" w:rsidRPr="006E743B" w:rsidRDefault="00FB760E" w:rsidP="00FB760E">
      <w:pPr>
        <w:pStyle w:val="ATHeading3"/>
      </w:pPr>
      <w:bookmarkStart w:id="5" w:name="Sujet"/>
      <w:r w:rsidRPr="006E743B">
        <w:t xml:space="preserve">Rezoluția Parlamentului European din </w:t>
      </w:r>
      <w:r w:rsidR="00A26C14" w:rsidRPr="006E743B">
        <w:t>2</w:t>
      </w:r>
      <w:r w:rsidR="006E743B">
        <w:t>4</w:t>
      </w:r>
      <w:r w:rsidR="00A26C14" w:rsidRPr="006E743B">
        <w:t xml:space="preserve"> </w:t>
      </w:r>
      <w:r w:rsidRPr="006E743B">
        <w:t xml:space="preserve">aprilie 2024 referitoare la propunerea de decizie a Parlamentului European și a Consiliului privind mobilizarea Fondului european de ajustare la globalizare pentru lucrătorii disponibilizați </w:t>
      </w:r>
      <w:r w:rsidR="00A26C14" w:rsidRPr="006E743B">
        <w:t xml:space="preserve">ca urmare a unei </w:t>
      </w:r>
      <w:r w:rsidRPr="006E743B">
        <w:t>cerer</w:t>
      </w:r>
      <w:r w:rsidR="00A26C14" w:rsidRPr="006E743B">
        <w:t>i</w:t>
      </w:r>
      <w:r w:rsidRPr="006E743B">
        <w:t xml:space="preserve"> din p</w:t>
      </w:r>
      <w:r w:rsidR="002527A5">
        <w:t xml:space="preserve">artea Danemarcei – EGF/2023/004 </w:t>
      </w:r>
      <w:r w:rsidRPr="006E743B">
        <w:t>DK/</w:t>
      </w:r>
      <w:proofErr w:type="spellStart"/>
      <w:r w:rsidRPr="006E743B">
        <w:t>Danish</w:t>
      </w:r>
      <w:proofErr w:type="spellEnd"/>
      <w:r w:rsidRPr="006E743B">
        <w:t xml:space="preserve"> Crown</w:t>
      </w:r>
      <w:bookmarkEnd w:id="5"/>
      <w:r w:rsidRPr="006E743B">
        <w:t xml:space="preserve"> </w:t>
      </w:r>
      <w:bookmarkStart w:id="6" w:name="References"/>
      <w:r w:rsidRPr="006E743B">
        <w:t>(COM(2024)0035 – C9-0040/2024 – 2024/0044(BUD))</w:t>
      </w:r>
      <w:bookmarkEnd w:id="6"/>
    </w:p>
    <w:p w:rsidR="0013514B" w:rsidRPr="006E743B" w:rsidRDefault="0013514B" w:rsidP="0013514B">
      <w:pPr>
        <w:pStyle w:val="EPComma"/>
        <w:rPr>
          <w:noProof/>
        </w:rPr>
      </w:pPr>
      <w:bookmarkStart w:id="7" w:name="TextBodyBegin"/>
      <w:bookmarkEnd w:id="7"/>
      <w:r w:rsidRPr="006E743B">
        <w:rPr>
          <w:i/>
          <w:iCs/>
        </w:rPr>
        <w:t>Parlamentul European</w:t>
      </w:r>
      <w:r w:rsidRPr="006E743B">
        <w:t>,</w:t>
      </w:r>
    </w:p>
    <w:p w:rsidR="0013514B" w:rsidRPr="006E743B" w:rsidRDefault="0013514B" w:rsidP="0013514B">
      <w:pPr>
        <w:pStyle w:val="NormalHanging12a"/>
        <w:rPr>
          <w:noProof/>
        </w:rPr>
      </w:pPr>
      <w:r w:rsidRPr="006E743B">
        <w:t>–</w:t>
      </w:r>
      <w:r w:rsidRPr="006E743B">
        <w:tab/>
        <w:t>având în vedere propunerea Comisiei prezentată Parlamentului European și Consiliului (COM(2024)0035 – C9</w:t>
      </w:r>
      <w:r w:rsidRPr="006E743B">
        <w:noBreakHyphen/>
        <w:t>0040/2024),</w:t>
      </w:r>
    </w:p>
    <w:p w:rsidR="0013514B" w:rsidRPr="006E743B" w:rsidRDefault="0013514B" w:rsidP="0013514B">
      <w:pPr>
        <w:pStyle w:val="NormalHanging12a"/>
        <w:rPr>
          <w:noProof/>
        </w:rPr>
      </w:pPr>
      <w:r w:rsidRPr="006E743B">
        <w:t>–</w:t>
      </w:r>
      <w:r w:rsidRPr="006E743B">
        <w:tab/>
        <w:t>având în vedere Regulamentul (UE) 2021/691 al Parlamentului European și al Consiliului din 28 aprilie 2021 privind Fondul european de ajustare la globalizare pentru lucrătorii disponibilizați (FEG) și de abrogare a Regulamentului (UE) nr. 1309/2013</w:t>
      </w:r>
      <w:r w:rsidRPr="006E743B">
        <w:rPr>
          <w:rStyle w:val="FootnoteReference"/>
        </w:rPr>
        <w:footnoteReference w:id="1"/>
      </w:r>
      <w:r w:rsidRPr="006E743B">
        <w:t xml:space="preserve"> („Regulamentul privind FEG”),</w:t>
      </w:r>
    </w:p>
    <w:p w:rsidR="0013514B" w:rsidRPr="006E743B" w:rsidRDefault="0013514B" w:rsidP="0013514B">
      <w:pPr>
        <w:pStyle w:val="NormalHanging12a"/>
        <w:rPr>
          <w:noProof/>
        </w:rPr>
      </w:pPr>
      <w:r w:rsidRPr="006E743B">
        <w:t>–</w:t>
      </w:r>
      <w:r w:rsidRPr="006E743B">
        <w:tab/>
        <w:t xml:space="preserve">având în vedere Regulamentul (UE, Euratom) </w:t>
      </w:r>
      <w:bookmarkStart w:id="8" w:name="_GoBack"/>
      <w:bookmarkEnd w:id="8"/>
      <w:r w:rsidRPr="006E743B">
        <w:t>2020/2093 al Consiliului din 17 decembrie 2020 de stabilire a cadrului financiar multianual pentru perioada 2021-2027</w:t>
      </w:r>
      <w:r w:rsidRPr="006E743B">
        <w:rPr>
          <w:rStyle w:val="FootnoteReference"/>
          <w:noProof/>
        </w:rPr>
        <w:footnoteReference w:id="2"/>
      </w:r>
      <w:r w:rsidRPr="006E743B">
        <w:t xml:space="preserve">, astfel cum a fost modificat de </w:t>
      </w:r>
      <w:r w:rsidR="00A26C14" w:rsidRPr="006E743B">
        <w:rPr>
          <w:color w:val="333333"/>
          <w:shd w:val="clear" w:color="auto" w:fill="FFFFFF"/>
        </w:rPr>
        <w:t>Regulamentul (UE, Euratom) 2024/765 al Consiliului din 29 februarie 2024 de modificare a Regulamentului (UE, Euratom) 2020/2093 de stabilire a cadrului financiar multianual pentru perioada 2021-2027</w:t>
      </w:r>
      <w:r w:rsidRPr="006E743B">
        <w:rPr>
          <w:rStyle w:val="FootnoteReference"/>
          <w:bdr w:val="none" w:sz="0" w:space="0" w:color="auto" w:frame="1"/>
        </w:rPr>
        <w:footnoteReference w:id="3"/>
      </w:r>
      <w:r w:rsidR="00AA5EB5">
        <w:t>, în special articolul </w:t>
      </w:r>
      <w:r w:rsidRPr="006E743B">
        <w:t>8,</w:t>
      </w:r>
    </w:p>
    <w:p w:rsidR="0013514B" w:rsidRPr="006E743B" w:rsidRDefault="0013514B" w:rsidP="0013514B">
      <w:pPr>
        <w:pStyle w:val="NormalHanging12a"/>
        <w:rPr>
          <w:noProof/>
        </w:rPr>
      </w:pPr>
      <w:r w:rsidRPr="006E743B">
        <w:t>–</w:t>
      </w:r>
      <w:r w:rsidRPr="006E743B">
        <w:tab/>
        <w:t>având în vedere Acordul interinstituțional din 16 decembrie 2020 între Parlamentul European, Consiliu și Comisie privind disciplina bugetară, cooperarea în chestiuni bugetare și buna gestiune financiară, precum și privind noile resurse proprii, inclusiv o foaie de parcurs în vederea introducerii de noi resurse proprii</w:t>
      </w:r>
      <w:r w:rsidRPr="006E743B">
        <w:rPr>
          <w:rStyle w:val="FootnoteReference"/>
          <w:noProof/>
        </w:rPr>
        <w:footnoteReference w:id="4"/>
      </w:r>
      <w:r w:rsidRPr="006E743B">
        <w:t>, în special punctul 12,</w:t>
      </w:r>
    </w:p>
    <w:p w:rsidR="0013514B" w:rsidRPr="006E743B" w:rsidRDefault="0013514B" w:rsidP="0013514B">
      <w:pPr>
        <w:pStyle w:val="NormalHanging12a"/>
        <w:rPr>
          <w:noProof/>
        </w:rPr>
      </w:pPr>
      <w:r w:rsidRPr="006E743B">
        <w:lastRenderedPageBreak/>
        <w:t>–</w:t>
      </w:r>
      <w:r w:rsidRPr="006E743B">
        <w:tab/>
        <w:t>având în vedere scrisoarea Comisiei pentru ocuparea forței de muncă și afaceri sociale,</w:t>
      </w:r>
    </w:p>
    <w:p w:rsidR="0013514B" w:rsidRPr="006E743B" w:rsidRDefault="0013514B" w:rsidP="0013514B">
      <w:pPr>
        <w:pStyle w:val="NormalHanging12a"/>
      </w:pPr>
      <w:r w:rsidRPr="006E743B">
        <w:t>–</w:t>
      </w:r>
      <w:r w:rsidRPr="006E743B">
        <w:tab/>
        <w:t>având în vedere raportul Comisiei pentru bugete (A9-0171/2024),</w:t>
      </w:r>
    </w:p>
    <w:p w:rsidR="0013514B" w:rsidRPr="006E743B" w:rsidRDefault="0013514B" w:rsidP="0013514B">
      <w:pPr>
        <w:pStyle w:val="NormalHanging12a"/>
        <w:rPr>
          <w:noProof/>
        </w:rPr>
      </w:pPr>
      <w:r w:rsidRPr="006E743B">
        <w:t>A.</w:t>
      </w:r>
      <w:r w:rsidRPr="006E743B">
        <w:tab/>
        <w:t>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se traduce printr-un sprijin financiar acordat lucrătorilor și societăților pentru care au lucrat;</w:t>
      </w:r>
    </w:p>
    <w:p w:rsidR="0013514B" w:rsidRPr="006E743B" w:rsidRDefault="0013514B" w:rsidP="0013514B">
      <w:pPr>
        <w:widowControl/>
        <w:spacing w:after="240"/>
        <w:ind w:left="567" w:hanging="567"/>
      </w:pPr>
      <w:r w:rsidRPr="006E743B">
        <w:t>B.</w:t>
      </w:r>
      <w:r w:rsidRPr="006E743B">
        <w:tab/>
        <w:t>întrucât Danemarca a depus cererea EGF/2023/004 DK/</w:t>
      </w:r>
      <w:proofErr w:type="spellStart"/>
      <w:r w:rsidRPr="006E743B">
        <w:t>Danish</w:t>
      </w:r>
      <w:proofErr w:type="spellEnd"/>
      <w:r w:rsidRPr="006E743B">
        <w:t xml:space="preserve"> Crown pentru o contribuție financiară din Fondul european de ajustare la globalizare (FEG), ca urmare a unui număr total de 751 de disponibilizări</w:t>
      </w:r>
      <w:r w:rsidRPr="006E743B">
        <w:rPr>
          <w:rStyle w:val="FootnoteReference"/>
        </w:rPr>
        <w:footnoteReference w:id="5"/>
      </w:r>
      <w:r w:rsidRPr="006E743B">
        <w:t xml:space="preserve"> în sectorul economic încadrat la diviziunea 10 (Industria alimentară) din NACE Rev. 2 în provincia </w:t>
      </w:r>
      <w:proofErr w:type="spellStart"/>
      <w:r w:rsidRPr="006E743B">
        <w:t>Nordylland</w:t>
      </w:r>
      <w:proofErr w:type="spellEnd"/>
      <w:r w:rsidRPr="006E743B">
        <w:t>, 692 de disponibilizări având loc în perioada de referință pentru cerere, cuprinsă între 19 mai 2023 și 19 septembrie 2023, și 59 de disponibilizări înainte sau după perioada de referință;</w:t>
      </w:r>
    </w:p>
    <w:p w:rsidR="0013514B" w:rsidRPr="006E743B" w:rsidRDefault="0013514B" w:rsidP="0013514B">
      <w:pPr>
        <w:pStyle w:val="NormalHanging12a"/>
      </w:pPr>
      <w:r w:rsidRPr="006E743B">
        <w:t xml:space="preserve">C. </w:t>
      </w:r>
      <w:r w:rsidRPr="006E743B">
        <w:tab/>
        <w:t xml:space="preserve">întrucât cererea se referă la 692 de disponibilizări în perioada de referință pentru cerere, 651 de lucrători disponibilizați a căror activitate a încetat în cadrul </w:t>
      </w:r>
      <w:proofErr w:type="spellStart"/>
      <w:r w:rsidRPr="006E743B">
        <w:t>Danish</w:t>
      </w:r>
      <w:proofErr w:type="spellEnd"/>
      <w:r w:rsidRPr="006E743B">
        <w:t xml:space="preserve"> Crown (</w:t>
      </w:r>
      <w:proofErr w:type="spellStart"/>
      <w:r w:rsidRPr="006E743B">
        <w:t>Danish</w:t>
      </w:r>
      <w:proofErr w:type="spellEnd"/>
      <w:r w:rsidRPr="006E743B">
        <w:t xml:space="preserve"> Crown A/S) și 41 de lucrători disponibilizați de doi furnizori și producători din aval ai </w:t>
      </w:r>
      <w:proofErr w:type="spellStart"/>
      <w:r w:rsidRPr="006E743B">
        <w:t>Danish</w:t>
      </w:r>
      <w:proofErr w:type="spellEnd"/>
      <w:r w:rsidRPr="006E743B">
        <w:t xml:space="preserve"> Crown</w:t>
      </w:r>
      <w:r w:rsidRPr="006E743B">
        <w:rPr>
          <w:rStyle w:val="FootnoteReference"/>
        </w:rPr>
        <w:footnoteReference w:id="6"/>
      </w:r>
      <w:r w:rsidRPr="006E743B">
        <w:t>;</w:t>
      </w:r>
    </w:p>
    <w:p w:rsidR="0013514B" w:rsidRPr="006E743B" w:rsidRDefault="0013514B" w:rsidP="0013514B">
      <w:pPr>
        <w:pStyle w:val="NormalHanging12a"/>
      </w:pPr>
      <w:r w:rsidRPr="006E743B">
        <w:t xml:space="preserve">D. </w:t>
      </w:r>
      <w:r w:rsidRPr="006E743B">
        <w:tab/>
        <w:t>întrucât cererea se referă la disponibilizarea a 59 de lucrători a căror activitate a încetat înainte sau după perioada de referință de patru luni, putându-se stabili o legătură de cauzalitate clară cu evenimentul care a declanșat încetarea activității lucrătorilor disponibilizați în cursul perioadei de referință, astfel cum se prevede la articolul 6 alineatul (2) din Regulamentul privind FEG;</w:t>
      </w:r>
      <w:r w:rsidRPr="006E743B">
        <w:rPr>
          <w:sz w:val="23"/>
        </w:rPr>
        <w:t xml:space="preserve"> </w:t>
      </w:r>
    </w:p>
    <w:p w:rsidR="0013514B" w:rsidRPr="006E743B" w:rsidRDefault="0013514B" w:rsidP="0013514B">
      <w:pPr>
        <w:pStyle w:val="NormalHanging12a"/>
      </w:pPr>
      <w:r w:rsidRPr="006E743B">
        <w:t>E.</w:t>
      </w:r>
      <w:r w:rsidRPr="006E743B">
        <w:tab/>
        <w:t>întrucât cererea se bazează pe criteriile de intervenție de la articolul 4 alineatul (2) litera (a) din Regulamentul privind FEG, conform cărora se prevede disponibilizarea a cel puțin 200 de lucrători într-o perioadă de referință de patru luni dintr-o întreprindere dintr-un stat membru, inclusiv lucrători concediați de furnizori și producători din aval și/sau persoane care desfășoară o activitate independentă și care și-au încetat activitatea;</w:t>
      </w:r>
    </w:p>
    <w:p w:rsidR="0013514B" w:rsidRPr="006E743B" w:rsidRDefault="0013514B" w:rsidP="0013514B">
      <w:pPr>
        <w:pStyle w:val="NormalHanging12a"/>
      </w:pPr>
      <w:r w:rsidRPr="006E743B">
        <w:t>F.</w:t>
      </w:r>
      <w:r w:rsidRPr="006E743B">
        <w:tab/>
        <w:t>întrucât sectorul abatoarelor din Danemarca se află într-o criză structurală;</w:t>
      </w:r>
      <w:r w:rsidRPr="006E743B">
        <w:rPr>
          <w:sz w:val="23"/>
        </w:rPr>
        <w:t xml:space="preserve"> întrucât, din 2005, numărul porcilor sacrificați în Danemarca a scăzut cu 4,4 milioane (20 %); întrucât scăderea se datorează în mare parte trecerii de la creșterea porcilor destinați sacrificării la creșterea purceilor pentru export; </w:t>
      </w:r>
      <w:r w:rsidRPr="006E743B">
        <w:t>întrucât exportul de purcei este mai profitabil pentru fermierii danezi decât îngrășarea porcilor pentru sacrificare, din cauza prețurilor scăzute ale cărnii de porc;</w:t>
      </w:r>
    </w:p>
    <w:p w:rsidR="0013514B" w:rsidRPr="006E743B" w:rsidRDefault="0013514B" w:rsidP="0013514B">
      <w:pPr>
        <w:pStyle w:val="NormalHanging12a"/>
        <w:rPr>
          <w:rFonts w:eastAsia="Calibri"/>
          <w:szCs w:val="22"/>
        </w:rPr>
      </w:pPr>
      <w:r w:rsidRPr="006E743B">
        <w:t>G.</w:t>
      </w:r>
      <w:r w:rsidRPr="006E743B">
        <w:tab/>
      </w:r>
      <w:r w:rsidRPr="006E743B">
        <w:rPr>
          <w:sz w:val="23"/>
        </w:rPr>
        <w:t xml:space="preserve">întrucât </w:t>
      </w:r>
      <w:proofErr w:type="spellStart"/>
      <w:r w:rsidRPr="006E743B">
        <w:rPr>
          <w:sz w:val="23"/>
        </w:rPr>
        <w:t>Danish</w:t>
      </w:r>
      <w:proofErr w:type="spellEnd"/>
      <w:r w:rsidRPr="006E743B">
        <w:rPr>
          <w:sz w:val="23"/>
        </w:rPr>
        <w:t xml:space="preserve"> Crown este un grup de societăți daneze din sectorul alimentar care desfășoară activități în domeniul măcelăriei, prelucrării și vânzării de carne de porc, în principal, și de vită; </w:t>
      </w:r>
      <w:r w:rsidRPr="006E743B">
        <w:t xml:space="preserve">întrucât evenimentul care a dus la aceste disponibilizări este închiderea abatorului societății </w:t>
      </w:r>
      <w:proofErr w:type="spellStart"/>
      <w:r w:rsidRPr="006E743B">
        <w:t>Danish</w:t>
      </w:r>
      <w:proofErr w:type="spellEnd"/>
      <w:r w:rsidRPr="006E743B">
        <w:t xml:space="preserve"> Crown din </w:t>
      </w:r>
      <w:proofErr w:type="spellStart"/>
      <w:r w:rsidRPr="006E743B">
        <w:t>Sæby</w:t>
      </w:r>
      <w:proofErr w:type="spellEnd"/>
      <w:r w:rsidRPr="006E743B">
        <w:t xml:space="preserve">, municipalitatea </w:t>
      </w:r>
      <w:proofErr w:type="spellStart"/>
      <w:r w:rsidRPr="006E743B">
        <w:t>Frederikshavn</w:t>
      </w:r>
      <w:proofErr w:type="spellEnd"/>
      <w:r w:rsidRPr="006E743B">
        <w:t>, ca urmare a scăderii numărului porcilor disponibili pentru sacrificare;</w:t>
      </w:r>
    </w:p>
    <w:p w:rsidR="0013514B" w:rsidRPr="006E743B" w:rsidRDefault="0013514B" w:rsidP="0013514B">
      <w:pPr>
        <w:pStyle w:val="NormalHanging12a"/>
      </w:pPr>
      <w:r w:rsidRPr="006E743B">
        <w:lastRenderedPageBreak/>
        <w:t>H.</w:t>
      </w:r>
      <w:r w:rsidRPr="006E743B">
        <w:tab/>
        <w:t>întrucât cerințele prevăzute de legislația națională și de legislația Uniunii în ceea ce privește concedierile colective au fost respectate;</w:t>
      </w:r>
    </w:p>
    <w:p w:rsidR="0013514B" w:rsidRPr="006E743B" w:rsidRDefault="0013514B" w:rsidP="0013514B">
      <w:pPr>
        <w:pStyle w:val="NormalHanging12a"/>
      </w:pPr>
      <w:r w:rsidRPr="006E743B">
        <w:t>I.</w:t>
      </w:r>
      <w:r w:rsidRPr="006E743B">
        <w:tab/>
        <w:t>întrucât contribuțiile financiare din FEG ar trebui să fie direcționate în primul rând spre măsuri de politică active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rsidR="0013514B" w:rsidRPr="006E743B" w:rsidRDefault="0013514B" w:rsidP="0013514B">
      <w:pPr>
        <w:pStyle w:val="NormalHanging12a"/>
      </w:pPr>
      <w:r w:rsidRPr="006E743B">
        <w:t>J.</w:t>
      </w:r>
      <w:r w:rsidRPr="006E743B">
        <w:tab/>
        <w:t>întrucât revizuirea CFM reduce cuantumul anual maxim al FEG de la 186 de milioane EUR la 30 de milioane EUR (la prețurile din 2018), astfel cum se prevede la articolul 8 din Regulamentul (UE, Euratom) 2020/2093 al Consiliului, astfel cum a fost modificat de Regulamentul (UE, Euratom) 2024/765; întrucât Comisia ar trebui să monitorizeze punerea în aplicare a FEG și toate instituțiile ar trebui să ia toate măsurile necesare pentru a se asigura că se poate da curs tuturor cererilor justificate de sprijin din partea FEG, ca o manifestare a solidarității Uniunii,</w:t>
      </w:r>
    </w:p>
    <w:p w:rsidR="0013514B" w:rsidRPr="006E743B" w:rsidRDefault="0013514B" w:rsidP="0013514B">
      <w:pPr>
        <w:pStyle w:val="NormalHanging12a"/>
      </w:pPr>
      <w:r w:rsidRPr="006E743B">
        <w:t>1.</w:t>
      </w:r>
      <w:r w:rsidRPr="006E743B">
        <w:tab/>
        <w:t>este de acord cu Comisia că sunt îndeplinite condițiile prevăzute la articolul 4 alineatul (2) litera (a) din Regulamentul privind FEG și că Danemarca are dreptul, în temeiul acestui regulament, la o contribuție financiară în valoare de 1 882 212 EUR, ceea ce reprezintă 60 % din costurile totale de 3 137 021 EUR, sumă care corespunde cheltuielilor pentru servicii personalizate în valoare de 2 878 001 EUR și cheltuielilor pentru activitățile de pregătire, gestionare, informare și publicitate, control și raportare în valoare de 259 020 EUR;</w:t>
      </w:r>
    </w:p>
    <w:p w:rsidR="0013514B" w:rsidRPr="006E743B" w:rsidRDefault="0013514B" w:rsidP="0013514B">
      <w:pPr>
        <w:pStyle w:val="NormalHanging12a"/>
      </w:pPr>
      <w:r w:rsidRPr="006E743B">
        <w:t>2.</w:t>
      </w:r>
      <w:r w:rsidRPr="006E743B">
        <w:tab/>
        <w:t xml:space="preserve">observă că autoritățile daneze au depus cererea la 6 decembrie 2023 și că, pe baza informațiilor suplimentare furnizate de Danemarca, Comisia și-a finalizat evaluarea la 29 februarie 2024, aducând la cunoștința Parlamentului această evaluare la aceeași dată; </w:t>
      </w:r>
    </w:p>
    <w:p w:rsidR="0013514B" w:rsidRPr="006E743B" w:rsidRDefault="0013514B" w:rsidP="0013514B">
      <w:pPr>
        <w:pStyle w:val="NormalHanging12a"/>
      </w:pPr>
      <w:r w:rsidRPr="006E743B">
        <w:t>3.</w:t>
      </w:r>
      <w:r w:rsidRPr="006E743B">
        <w:tab/>
        <w:t xml:space="preserve">ia act de faptul că cererea se referă la 751 de lucrători disponibilizați, afectați de închiderea abatorului danez </w:t>
      </w:r>
      <w:proofErr w:type="spellStart"/>
      <w:r w:rsidRPr="006E743B">
        <w:t>Danish</w:t>
      </w:r>
      <w:proofErr w:type="spellEnd"/>
      <w:r w:rsidRPr="006E743B">
        <w:t xml:space="preserve"> Crown din </w:t>
      </w:r>
      <w:proofErr w:type="spellStart"/>
      <w:r w:rsidRPr="006E743B">
        <w:t>Sæby</w:t>
      </w:r>
      <w:proofErr w:type="spellEnd"/>
      <w:r w:rsidRPr="006E743B">
        <w:t>; constată, de asemenea, că numărul total de beneficiari vizați care se preconizează că vor participa la măsuri este de 390 de lucrători disponibilizați;</w:t>
      </w:r>
    </w:p>
    <w:p w:rsidR="0013514B" w:rsidRPr="006E743B" w:rsidRDefault="0013514B" w:rsidP="0013514B">
      <w:pPr>
        <w:pStyle w:val="Default"/>
        <w:spacing w:after="240"/>
        <w:ind w:left="567" w:hanging="567"/>
        <w:rPr>
          <w:color w:val="auto"/>
        </w:rPr>
      </w:pPr>
      <w:r w:rsidRPr="006E743B">
        <w:rPr>
          <w:color w:val="auto"/>
        </w:rPr>
        <w:t>4.</w:t>
      </w:r>
      <w:r w:rsidRPr="006E743B">
        <w:rPr>
          <w:color w:val="auto"/>
        </w:rPr>
        <w:tab/>
        <w:t>ia act de faptul că majoritatea lucrătorilor au niveluri scăzute de calificări formale (46 %) sau calificări și competențe mai degrabă depășite (40 %);</w:t>
      </w:r>
      <w:r w:rsidRPr="006E743B">
        <w:rPr>
          <w:color w:val="auto"/>
          <w:sz w:val="23"/>
        </w:rPr>
        <w:t xml:space="preserve"> </w:t>
      </w:r>
      <w:r w:rsidRPr="006E743B">
        <w:rPr>
          <w:color w:val="auto"/>
        </w:rPr>
        <w:t xml:space="preserve">ia act de faptul că 305 (41 %) din lucrătorii disponibilizați provin dintr-un context de migrație și nu vorbesc fluent daneză; pachetul FEG propune, de asemenea, măsuri de îmbunătățire a competențelor generale, inclusiv îmbunătățirea competențelor lingvistice în limba daneză; </w:t>
      </w:r>
    </w:p>
    <w:p w:rsidR="0013514B" w:rsidRPr="006E743B" w:rsidRDefault="0013514B" w:rsidP="0013514B">
      <w:pPr>
        <w:pStyle w:val="NormalHanging12a"/>
      </w:pPr>
      <w:r w:rsidRPr="006E743B">
        <w:t>5.</w:t>
      </w:r>
      <w:r w:rsidRPr="006E743B">
        <w:tab/>
        <w:t xml:space="preserve">salută faptul că pachetul coordonat de servicii personalizate a fost elaborat de Danemarca în consultare cu beneficiarii vizați, cu reprezentanții acestora și cu partenerii sociali: </w:t>
      </w:r>
    </w:p>
    <w:p w:rsidR="0013514B" w:rsidRPr="006E743B" w:rsidRDefault="0013514B" w:rsidP="0013514B">
      <w:pPr>
        <w:pStyle w:val="NormalHanging12a"/>
      </w:pPr>
      <w:r w:rsidRPr="006E743B">
        <w:t>6.</w:t>
      </w:r>
      <w:r w:rsidRPr="006E743B">
        <w:tab/>
        <w:t>reamintește că serviciile personalizate care vor fi puse la dispoziția lucrătorilor și a persoanelor care desfășoară o activitate independentă constau în acțiunile descrise mai jos: motivarea, păstrarea, formarea privind competențele generale, formarea pentru perfecționare/recalificare și o alocație pentru formare și pentru căutarea unui loc de muncă;</w:t>
      </w:r>
    </w:p>
    <w:p w:rsidR="0013514B" w:rsidRPr="006E743B" w:rsidRDefault="0013514B" w:rsidP="0013514B">
      <w:pPr>
        <w:pStyle w:val="NormalHanging12a"/>
        <w:spacing w:after="0"/>
      </w:pPr>
      <w:r w:rsidRPr="006E743B">
        <w:t>7.</w:t>
      </w:r>
      <w:r w:rsidRPr="006E743B">
        <w:tab/>
        <w:t xml:space="preserve">salută călduros faptul că au fost elaborate oferte de formare pe baza mai multor studii, </w:t>
      </w:r>
      <w:r w:rsidRPr="006E743B">
        <w:lastRenderedPageBreak/>
        <w:t xml:space="preserve">cum ar fi </w:t>
      </w:r>
      <w:proofErr w:type="spellStart"/>
      <w:r w:rsidRPr="006E743B">
        <w:t>Jobbarometer</w:t>
      </w:r>
      <w:proofErr w:type="spellEnd"/>
      <w:r w:rsidRPr="006E743B">
        <w:t xml:space="preserve"> 2023 (o analiză a nevoilor locale de forță de muncă din municipalitățile </w:t>
      </w:r>
      <w:proofErr w:type="spellStart"/>
      <w:r w:rsidRPr="006E743B">
        <w:t>Frederikshavn</w:t>
      </w:r>
      <w:proofErr w:type="spellEnd"/>
      <w:r w:rsidRPr="006E743B">
        <w:t xml:space="preserve">, </w:t>
      </w:r>
      <w:proofErr w:type="spellStart"/>
      <w:r w:rsidRPr="006E743B">
        <w:t>Hjørring</w:t>
      </w:r>
      <w:proofErr w:type="spellEnd"/>
      <w:r w:rsidRPr="006E743B">
        <w:t xml:space="preserve">, </w:t>
      </w:r>
      <w:proofErr w:type="spellStart"/>
      <w:r w:rsidRPr="006E743B">
        <w:t>Jammerbugt</w:t>
      </w:r>
      <w:proofErr w:type="spellEnd"/>
      <w:r w:rsidRPr="006E743B">
        <w:t xml:space="preserve"> și </w:t>
      </w:r>
      <w:proofErr w:type="spellStart"/>
      <w:r w:rsidRPr="006E743B">
        <w:t>Brønderslev</w:t>
      </w:r>
      <w:proofErr w:type="spellEnd"/>
      <w:r w:rsidRPr="006E743B">
        <w:t>), Bilanțul bianual privind echilibrul pieței forței de muncă, care oferă o imagine de ansamblu a posibilelor locuri de muncă vacante, și analiza FremKom4 privind competențele, și că aceste oferte de formare urmăresc să dezvolte competențele generale (inclusiv competențele lingvistice și numerice), competențele digitale și îmbunătățească competențele pentru locurile de muncă cu pentru care există penurii de forță de muncă;</w:t>
      </w:r>
    </w:p>
    <w:p w:rsidR="0013514B" w:rsidRPr="006E743B" w:rsidRDefault="0013514B" w:rsidP="0013514B">
      <w:pPr>
        <w:pStyle w:val="NormalHanging12a"/>
        <w:spacing w:after="0"/>
      </w:pPr>
    </w:p>
    <w:p w:rsidR="0013514B" w:rsidRPr="006E743B" w:rsidRDefault="0013514B" w:rsidP="0013514B">
      <w:pPr>
        <w:pStyle w:val="NormalHanging12a"/>
      </w:pPr>
      <w:r w:rsidRPr="006E743B">
        <w:t>8.</w:t>
      </w:r>
      <w:r w:rsidRPr="006E743B">
        <w:tab/>
        <w:t xml:space="preserve">subliniază, în special, importanța articolului 7 alineatul (2) din Regulamentul privind FEG, care impune ca pachetul coordonat să anticipeze perspectivele viitoare de pe piața muncii și competențele necesare, acestea trebuind să fie compatibile cu trecerea la o economie sustenabilă și eficientă din punctul de vedere al utilizării resurselor și să pună un accent deosebit pe diseminarea competențelor necesare în era industrială digitală; </w:t>
      </w:r>
    </w:p>
    <w:p w:rsidR="0013514B" w:rsidRPr="006E743B" w:rsidRDefault="0013514B" w:rsidP="0013514B">
      <w:pPr>
        <w:pStyle w:val="NormalHanging12a"/>
      </w:pPr>
      <w:r w:rsidRPr="006E743B">
        <w:t>9.</w:t>
      </w:r>
      <w:r w:rsidRPr="006E743B">
        <w:tab/>
        <w:t>constată că Danemarca a început să ofere servicii personalizate beneficiarilor vizați la 16 octombrie 2023 și că perioada de eligibilitate pentru o contribuție financiară din FEG va începe așadar la 16 octombrie 2023 și va dura 24 de luni de la data intrării în vigoare a deciziei de finanțare;</w:t>
      </w:r>
    </w:p>
    <w:p w:rsidR="0013514B" w:rsidRPr="006E743B" w:rsidRDefault="0013514B" w:rsidP="0013514B">
      <w:pPr>
        <w:pStyle w:val="NormalHanging12a"/>
        <w:rPr>
          <w:sz w:val="23"/>
          <w:szCs w:val="23"/>
        </w:rPr>
      </w:pPr>
      <w:r w:rsidRPr="006E743B">
        <w:t>10.</w:t>
      </w:r>
      <w:r w:rsidRPr="006E743B">
        <w:tab/>
        <w:t>observă că Danemarca a început să facă cheltuieli administrative pentru execuția FEG la 1 iunie 2023 și că cheltuielile pentru activitățile de pregătire, gestionare, informare și publicitate, control și raportare vor fi așadar eligibile pentru o contribuție financiară din FEG de la 1 iunie 2023, timp de 31 de luni de la data intrării în vigoare a deciziei de finanțare;</w:t>
      </w:r>
    </w:p>
    <w:p w:rsidR="0013514B" w:rsidRPr="006E743B" w:rsidRDefault="0013514B" w:rsidP="0013514B">
      <w:pPr>
        <w:pStyle w:val="NormalHanging12a"/>
      </w:pPr>
      <w:r w:rsidRPr="006E743B">
        <w:t>11.</w:t>
      </w:r>
      <w:r w:rsidRPr="006E743B">
        <w:tab/>
        <w:t>subliniază că autoritățile daneze au confirmat că acțiunile eligibile nu beneficiază de asistență din partea altor fonduri sau instrumente financiare ale Uniunii și că principiile egalității de tratament și nediscriminării vor fi respectate în ceea ce privește accesul la acțiunile propuse și punerea lor în aplicare;</w:t>
      </w:r>
    </w:p>
    <w:p w:rsidR="0013514B" w:rsidRPr="006E743B" w:rsidRDefault="0013514B" w:rsidP="0013514B">
      <w:pPr>
        <w:pStyle w:val="NormalHanging12a"/>
      </w:pPr>
      <w:r w:rsidRPr="006E743B">
        <w:t>12.</w:t>
      </w:r>
      <w:r w:rsidRPr="006E743B">
        <w:tab/>
        <w:t xml:space="preserve">reamintește că asistența din partea FEG nu trebuie să înlocuiască acțiunile care intră în responsabilitatea întreprinderilor în temeiul dreptului național sau al acordurilor colective sau orice indemnizație ori drept al lucrătorilor disponibilizați, pentru a se asigura </w:t>
      </w:r>
      <w:proofErr w:type="spellStart"/>
      <w:r w:rsidRPr="006E743B">
        <w:t>adiționalitatea</w:t>
      </w:r>
      <w:proofErr w:type="spellEnd"/>
      <w:r w:rsidRPr="006E743B">
        <w:t xml:space="preserve"> deplină a asistenței alocate; </w:t>
      </w:r>
    </w:p>
    <w:p w:rsidR="0013514B" w:rsidRPr="006E743B" w:rsidRDefault="0013514B" w:rsidP="0013514B">
      <w:pPr>
        <w:pStyle w:val="NormalHanging12a"/>
        <w:rPr>
          <w:noProof/>
        </w:rPr>
      </w:pPr>
      <w:r w:rsidRPr="006E743B">
        <w:t>13.</w:t>
      </w:r>
      <w:r w:rsidRPr="006E743B">
        <w:tab/>
        <w:t>aprobă decizia anexată la prezenta rezoluție;</w:t>
      </w:r>
    </w:p>
    <w:p w:rsidR="0013514B" w:rsidRPr="006E743B" w:rsidRDefault="0013514B" w:rsidP="0013514B">
      <w:pPr>
        <w:pStyle w:val="NormalHanging12a"/>
        <w:rPr>
          <w:noProof/>
        </w:rPr>
      </w:pPr>
      <w:r w:rsidRPr="006E743B">
        <w:t>14.</w:t>
      </w:r>
      <w:r w:rsidRPr="006E743B">
        <w:tab/>
        <w:t xml:space="preserve">încredințează Președintei sarcina de a semna această decizie împreună cu Președintele Consiliului și de a asigura publicarea sa în </w:t>
      </w:r>
      <w:r w:rsidRPr="006E743B">
        <w:rPr>
          <w:i/>
          <w:iCs/>
        </w:rPr>
        <w:t>Jurnalul Oficial al Uniunii Europene</w:t>
      </w:r>
      <w:r w:rsidRPr="006E743B">
        <w:t>;</w:t>
      </w:r>
    </w:p>
    <w:p w:rsidR="0013514B" w:rsidRPr="006E743B" w:rsidRDefault="0013514B" w:rsidP="0013514B">
      <w:pPr>
        <w:pStyle w:val="NormalHanging12a"/>
      </w:pPr>
      <w:r w:rsidRPr="006E743B">
        <w:t>15.</w:t>
      </w:r>
      <w:r w:rsidRPr="006E743B">
        <w:tab/>
        <w:t>încredințează Președintei sarcina de a transmite prezenta rezoluție, împreună cu anexa, Consiliului și Comisiei.</w:t>
      </w:r>
    </w:p>
    <w:p w:rsidR="0013514B" w:rsidRPr="006E743B" w:rsidRDefault="0013514B" w:rsidP="0013514B">
      <w:pPr>
        <w:rPr>
          <w:noProof/>
        </w:rPr>
      </w:pPr>
    </w:p>
    <w:p w:rsidR="0013514B" w:rsidRPr="006E743B" w:rsidRDefault="0013514B" w:rsidP="0013514B">
      <w:pPr>
        <w:pStyle w:val="PageHeading"/>
        <w:rPr>
          <w:noProof/>
        </w:rPr>
        <w:sectPr w:rsidR="0013514B" w:rsidRPr="006E743B" w:rsidSect="00E1087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527A5" w:rsidRPr="002527A5" w:rsidRDefault="0013514B" w:rsidP="0013514B">
      <w:pPr>
        <w:pStyle w:val="PageHeading"/>
        <w:rPr>
          <w:rFonts w:ascii="Times New Roman" w:hAnsi="Times New Roman" w:cs="Times New Roman"/>
        </w:rPr>
      </w:pPr>
      <w:bookmarkStart w:id="9" w:name="_Toc164417864"/>
      <w:r w:rsidRPr="002527A5">
        <w:rPr>
          <w:rFonts w:ascii="Times New Roman" w:hAnsi="Times New Roman" w:cs="Times New Roman"/>
        </w:rPr>
        <w:lastRenderedPageBreak/>
        <w:t>ANEXĂ</w:t>
      </w:r>
    </w:p>
    <w:p w:rsidR="0013514B" w:rsidRPr="002527A5" w:rsidRDefault="0013514B" w:rsidP="0013514B">
      <w:pPr>
        <w:pStyle w:val="PageHeading"/>
        <w:rPr>
          <w:rFonts w:ascii="Times New Roman" w:hAnsi="Times New Roman" w:cs="Times New Roman"/>
          <w:noProof/>
        </w:rPr>
      </w:pPr>
      <w:r w:rsidRPr="002527A5">
        <w:rPr>
          <w:rFonts w:ascii="Times New Roman" w:hAnsi="Times New Roman" w:cs="Times New Roman"/>
        </w:rPr>
        <w:t>DECIZIA PARLAMENTULUI EUROPEAN ȘI A CONSILIULUI</w:t>
      </w:r>
      <w:bookmarkEnd w:id="9"/>
    </w:p>
    <w:p w:rsidR="0013514B" w:rsidRPr="002527A5" w:rsidRDefault="0013514B" w:rsidP="0013514B">
      <w:pPr>
        <w:pStyle w:val="NormalBold24a"/>
      </w:pPr>
      <w:r w:rsidRPr="002527A5">
        <w:t xml:space="preserve">privind mobilizarea Fondului european de ajustare la globalizare pentru lucrătorii disponibilizați în urma unei cereri din partea Danemarcei </w:t>
      </w:r>
      <w:r w:rsidR="002527A5">
        <w:t>–</w:t>
      </w:r>
      <w:r w:rsidR="002527A5">
        <w:t xml:space="preserve"> </w:t>
      </w:r>
      <w:r w:rsidRPr="002527A5">
        <w:t>EGF/2023/004 DK/</w:t>
      </w:r>
      <w:proofErr w:type="spellStart"/>
      <w:r w:rsidRPr="002527A5">
        <w:t>Danish</w:t>
      </w:r>
      <w:proofErr w:type="spellEnd"/>
      <w:r w:rsidRPr="002527A5">
        <w:t xml:space="preserve"> Crown</w:t>
      </w:r>
    </w:p>
    <w:p w:rsidR="00E365E1" w:rsidRPr="002527A5" w:rsidRDefault="002527A5" w:rsidP="002527A5">
      <w:pPr>
        <w:widowControl/>
        <w:spacing w:before="120"/>
      </w:pPr>
      <w:bookmarkStart w:id="10" w:name="TextBodyEnd"/>
      <w:bookmarkEnd w:id="10"/>
      <w:r w:rsidRPr="002527A5">
        <w:rPr>
          <w:i/>
          <w:noProof/>
        </w:rPr>
        <w:t>(Textul prezentei anexe nu este reprodus aici, întrucât corespunde cu actul final, Decizia (UE) 2024/</w:t>
      </w:r>
      <w:r>
        <w:rPr>
          <w:i/>
          <w:noProof/>
        </w:rPr>
        <w:t>1299</w:t>
      </w:r>
      <w:r w:rsidRPr="002527A5">
        <w:rPr>
          <w:i/>
          <w:noProof/>
        </w:rPr>
        <w:t>.)</w:t>
      </w:r>
    </w:p>
    <w:sectPr w:rsidR="00E365E1" w:rsidRPr="002527A5" w:rsidSect="00E1087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60E" w:rsidRPr="00E10873" w:rsidRDefault="00FB760E">
      <w:r w:rsidRPr="00E10873">
        <w:separator/>
      </w:r>
    </w:p>
  </w:endnote>
  <w:endnote w:type="continuationSeparator" w:id="0">
    <w:p w:rsidR="00FB760E" w:rsidRPr="00E10873" w:rsidRDefault="00FB760E">
      <w:r w:rsidRPr="00E108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14B" w:rsidRPr="00E10873" w:rsidRDefault="0013514B" w:rsidP="00C55FA8">
    <w:pPr>
      <w:pStyle w:val="EPFooter"/>
    </w:pPr>
    <w:r w:rsidRPr="00E10873">
      <w:t>PE</w:t>
    </w:r>
    <w:r w:rsidRPr="00E10873">
      <w:rPr>
        <w:rStyle w:val="HideTWBExt"/>
      </w:rPr>
      <w:t>&lt;NoPE&gt;</w:t>
    </w:r>
    <w:r w:rsidRPr="00E10873">
      <w:t>759.752</w:t>
    </w:r>
    <w:r w:rsidRPr="00E10873">
      <w:rPr>
        <w:rStyle w:val="HideTWBExt"/>
      </w:rPr>
      <w:t>&lt;/NoPE&gt;&lt;Version&gt;</w:t>
    </w:r>
    <w:r w:rsidRPr="00E10873">
      <w:t>v02-00</w:t>
    </w:r>
    <w:r w:rsidRPr="00E10873">
      <w:rPr>
        <w:rStyle w:val="HideTWBExt"/>
      </w:rPr>
      <w:t>&lt;/Version&gt;</w:t>
    </w:r>
    <w:r w:rsidRPr="00E10873">
      <w:tab/>
    </w:r>
    <w:r w:rsidRPr="00E10873">
      <w:fldChar w:fldCharType="begin"/>
    </w:r>
    <w:r w:rsidRPr="00E10873">
      <w:instrText xml:space="preserve"> PAGE  \* MERGEFORMAT </w:instrText>
    </w:r>
    <w:r w:rsidRPr="00E10873">
      <w:fldChar w:fldCharType="separate"/>
    </w:r>
    <w:r w:rsidRPr="00E10873">
      <w:rPr>
        <w:noProof/>
      </w:rPr>
      <w:t>4</w:t>
    </w:r>
    <w:r w:rsidRPr="00E10873">
      <w:fldChar w:fldCharType="end"/>
    </w:r>
    <w:r w:rsidRPr="00E10873">
      <w:t>/</w:t>
    </w:r>
    <w:fldSimple w:instr=" NUMPAGES  \* MERGEFORMAT ">
      <w:r w:rsidRPr="00E10873">
        <w:rPr>
          <w:noProof/>
        </w:rPr>
        <w:t>4</w:t>
      </w:r>
    </w:fldSimple>
    <w:r w:rsidRPr="00E10873">
      <w:tab/>
    </w:r>
    <w:r w:rsidRPr="00E10873">
      <w:rPr>
        <w:rStyle w:val="HideTWBExt"/>
      </w:rPr>
      <w:t>&lt;PathFdR&gt;</w:t>
    </w:r>
    <w:r w:rsidRPr="00E10873">
      <w:t>RR\1300714RO.docx</w:t>
    </w:r>
    <w:r w:rsidRPr="00E10873">
      <w:rPr>
        <w:rStyle w:val="HideTWBExt"/>
      </w:rPr>
      <w:t>&lt;/PathFdR&gt;</w:t>
    </w:r>
  </w:p>
  <w:p w:rsidR="0013514B" w:rsidRPr="00E10873" w:rsidRDefault="0013514B" w:rsidP="00C55FA8">
    <w:pPr>
      <w:pStyle w:val="EPFooter2"/>
    </w:pPr>
    <w:r w:rsidRPr="00E1087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14B" w:rsidRPr="00E10873" w:rsidRDefault="0013514B" w:rsidP="00C55FA8">
    <w:pPr>
      <w:pStyle w:val="EPFooter"/>
    </w:pPr>
    <w:r w:rsidRPr="00E10873">
      <w:rPr>
        <w:rStyle w:val="HideTWBExt"/>
      </w:rPr>
      <w:t>&lt;PathFdR&gt;</w:t>
    </w:r>
    <w:r w:rsidRPr="00E10873">
      <w:t>RR\1300714RO.docx</w:t>
    </w:r>
    <w:r w:rsidRPr="00E10873">
      <w:rPr>
        <w:rStyle w:val="HideTWBExt"/>
      </w:rPr>
      <w:t>&lt;/PathFdR&gt;</w:t>
    </w:r>
    <w:r w:rsidRPr="00E10873">
      <w:tab/>
    </w:r>
    <w:r w:rsidRPr="00E10873">
      <w:tab/>
      <w:t>PE</w:t>
    </w:r>
    <w:r w:rsidRPr="00E10873">
      <w:rPr>
        <w:rStyle w:val="HideTWBExt"/>
      </w:rPr>
      <w:t>&lt;NoPE&gt;</w:t>
    </w:r>
    <w:r w:rsidRPr="00E10873">
      <w:t>759.752</w:t>
    </w:r>
    <w:r w:rsidRPr="00E10873">
      <w:rPr>
        <w:rStyle w:val="HideTWBExt"/>
      </w:rPr>
      <w:t>&lt;/NoPE&gt;&lt;Version&gt;</w:t>
    </w:r>
    <w:r w:rsidRPr="00E10873">
      <w:t>v02-00</w:t>
    </w:r>
    <w:r w:rsidRPr="00E10873">
      <w:rPr>
        <w:rStyle w:val="HideTWBExt"/>
      </w:rPr>
      <w:t>&lt;/Version&gt;</w:t>
    </w:r>
  </w:p>
  <w:p w:rsidR="0013514B" w:rsidRPr="00E10873" w:rsidRDefault="0013514B" w:rsidP="00C55FA8">
    <w:pPr>
      <w:pStyle w:val="EPFooter2"/>
    </w:pPr>
    <w:r w:rsidRPr="00E10873">
      <w:t>RO</w:t>
    </w:r>
    <w:r w:rsidRPr="00E10873">
      <w:tab/>
    </w:r>
    <w:r w:rsidRPr="00E10873">
      <w:rPr>
        <w:b w:val="0"/>
        <w:i/>
        <w:color w:val="C0C0C0"/>
        <w:sz w:val="22"/>
      </w:rPr>
      <w:t>Unită în diversitate</w:t>
    </w:r>
    <w:r w:rsidRPr="00E1087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60E" w:rsidRPr="00E10873" w:rsidRDefault="00FB760E">
      <w:r w:rsidRPr="00E10873">
        <w:separator/>
      </w:r>
    </w:p>
  </w:footnote>
  <w:footnote w:type="continuationSeparator" w:id="0">
    <w:p w:rsidR="00FB760E" w:rsidRPr="00E10873" w:rsidRDefault="00FB760E">
      <w:r w:rsidRPr="00E10873">
        <w:continuationSeparator/>
      </w:r>
    </w:p>
  </w:footnote>
  <w:footnote w:id="1">
    <w:p w:rsidR="0013514B" w:rsidRPr="00E10873" w:rsidRDefault="0013514B" w:rsidP="00E10873">
      <w:pPr>
        <w:pStyle w:val="FootnoteText"/>
        <w:ind w:left="567" w:hanging="567"/>
        <w:rPr>
          <w:sz w:val="24"/>
          <w:lang w:val="ro-RO"/>
        </w:rPr>
      </w:pPr>
      <w:r w:rsidRPr="00E10873">
        <w:rPr>
          <w:rStyle w:val="FootnoteReference"/>
          <w:sz w:val="24"/>
          <w:lang w:val="ro-RO"/>
        </w:rPr>
        <w:footnoteRef/>
      </w:r>
      <w:r w:rsidR="00E10873" w:rsidRPr="00E10873">
        <w:rPr>
          <w:sz w:val="24"/>
          <w:lang w:val="ro-RO"/>
        </w:rPr>
        <w:t xml:space="preserve"> </w:t>
      </w:r>
      <w:r w:rsidR="00E10873" w:rsidRPr="00E10873">
        <w:rPr>
          <w:sz w:val="24"/>
          <w:lang w:val="ro-RO"/>
        </w:rPr>
        <w:tab/>
      </w:r>
      <w:r w:rsidRPr="00E10873">
        <w:rPr>
          <w:sz w:val="24"/>
          <w:lang w:val="ro-RO"/>
        </w:rPr>
        <w:t>JO L 153, 3.5.2021, p. 48.</w:t>
      </w:r>
    </w:p>
  </w:footnote>
  <w:footnote w:id="2">
    <w:p w:rsidR="0013514B" w:rsidRPr="00E10873" w:rsidRDefault="0013514B" w:rsidP="00E10873">
      <w:pPr>
        <w:pStyle w:val="FootnoteText"/>
        <w:ind w:left="567" w:hanging="567"/>
        <w:rPr>
          <w:sz w:val="24"/>
          <w:lang w:val="ro-RO"/>
        </w:rPr>
      </w:pPr>
      <w:r w:rsidRPr="00E10873">
        <w:rPr>
          <w:rStyle w:val="FootnoteReference"/>
          <w:sz w:val="24"/>
          <w:lang w:val="ro-RO"/>
        </w:rPr>
        <w:footnoteRef/>
      </w:r>
      <w:r w:rsidR="00E10873" w:rsidRPr="00E10873">
        <w:rPr>
          <w:sz w:val="24"/>
          <w:lang w:val="ro-RO"/>
        </w:rPr>
        <w:t xml:space="preserve"> </w:t>
      </w:r>
      <w:r w:rsidR="00E10873" w:rsidRPr="00E10873">
        <w:rPr>
          <w:sz w:val="24"/>
          <w:lang w:val="ro-RO"/>
        </w:rPr>
        <w:tab/>
      </w:r>
      <w:r w:rsidRPr="00E10873">
        <w:rPr>
          <w:sz w:val="24"/>
          <w:lang w:val="ro-RO"/>
        </w:rPr>
        <w:t>JO L 433 I, 22.12.2020, p. 11.</w:t>
      </w:r>
    </w:p>
  </w:footnote>
  <w:footnote w:id="3">
    <w:p w:rsidR="0013514B" w:rsidRPr="002527A5" w:rsidRDefault="0013514B" w:rsidP="00E10873">
      <w:pPr>
        <w:pStyle w:val="FootnoteText"/>
        <w:ind w:left="567" w:hanging="567"/>
        <w:rPr>
          <w:sz w:val="24"/>
          <w:lang w:val="ro-RO"/>
        </w:rPr>
      </w:pPr>
      <w:r w:rsidRPr="002527A5">
        <w:rPr>
          <w:rStyle w:val="FootnoteReference"/>
          <w:sz w:val="24"/>
          <w:lang w:val="ro-RO"/>
        </w:rPr>
        <w:footnoteRef/>
      </w:r>
      <w:r w:rsidR="00E10873" w:rsidRPr="002527A5">
        <w:rPr>
          <w:color w:val="333333"/>
          <w:sz w:val="24"/>
          <w:shd w:val="clear" w:color="auto" w:fill="FFFFFF"/>
          <w:lang w:val="ro-RO"/>
        </w:rPr>
        <w:t xml:space="preserve"> </w:t>
      </w:r>
      <w:r w:rsidR="00E10873" w:rsidRPr="002527A5">
        <w:rPr>
          <w:color w:val="333333"/>
          <w:sz w:val="24"/>
          <w:shd w:val="clear" w:color="auto" w:fill="FFFFFF"/>
          <w:lang w:val="ro-RO"/>
        </w:rPr>
        <w:tab/>
      </w:r>
      <w:r w:rsidRPr="002527A5">
        <w:rPr>
          <w:sz w:val="24"/>
          <w:lang w:val="ro-RO"/>
        </w:rPr>
        <w:t xml:space="preserve">JO L, 2024/765, 29.2.2024, </w:t>
      </w:r>
      <w:r w:rsidRPr="002527A5">
        <w:rPr>
          <w:rStyle w:val="Emphasis"/>
          <w:i w:val="0"/>
          <w:color w:val="333333"/>
          <w:sz w:val="24"/>
          <w:shd w:val="clear" w:color="auto" w:fill="FFFFFF"/>
          <w:lang w:val="ro-RO"/>
        </w:rPr>
        <w:t>ELI</w:t>
      </w:r>
      <w:r w:rsidRPr="002527A5">
        <w:rPr>
          <w:sz w:val="24"/>
          <w:lang w:val="ro-RO"/>
        </w:rPr>
        <w:t>:</w:t>
      </w:r>
      <w:r w:rsidR="002527A5" w:rsidRPr="002527A5">
        <w:rPr>
          <w:sz w:val="24"/>
          <w:lang w:val="ro-RO"/>
        </w:rPr>
        <w:t xml:space="preserve"> </w:t>
      </w:r>
      <w:hyperlink r:id="rId1" w:history="1">
        <w:r w:rsidR="002527A5" w:rsidRPr="00FC2846">
          <w:rPr>
            <w:rStyle w:val="Hyperlink"/>
            <w:sz w:val="24"/>
            <w:lang w:val="ro-RO"/>
          </w:rPr>
          <w:t>http:</w:t>
        </w:r>
        <w:r w:rsidR="002527A5" w:rsidRPr="00FC2846">
          <w:rPr>
            <w:rStyle w:val="Hyperlink"/>
            <w:sz w:val="24"/>
            <w:lang w:val="ro-RO"/>
          </w:rPr>
          <w:t>/</w:t>
        </w:r>
        <w:r w:rsidR="002527A5" w:rsidRPr="00FC2846">
          <w:rPr>
            <w:rStyle w:val="Hyperlink"/>
            <w:sz w:val="24"/>
            <w:lang w:val="ro-RO"/>
          </w:rPr>
          <w:t>/data.europa.eu/eli/reg/2024/765/</w:t>
        </w:r>
        <w:r w:rsidR="002527A5" w:rsidRPr="00FC2846">
          <w:rPr>
            <w:rStyle w:val="Hyperlink"/>
            <w:sz w:val="24"/>
            <w:shd w:val="clear" w:color="auto" w:fill="FFFFFF"/>
            <w:lang w:val="ro-RO"/>
          </w:rPr>
          <w:t>oj?locale=ro</w:t>
        </w:r>
      </w:hyperlink>
      <w:r w:rsidRPr="002527A5">
        <w:rPr>
          <w:rStyle w:val="Emphasis"/>
          <w:color w:val="333333"/>
          <w:sz w:val="24"/>
          <w:shd w:val="clear" w:color="auto" w:fill="FFFFFF"/>
          <w:lang w:val="ro-RO"/>
        </w:rPr>
        <w:t>.</w:t>
      </w:r>
    </w:p>
  </w:footnote>
  <w:footnote w:id="4">
    <w:p w:rsidR="0013514B" w:rsidRPr="00E10873" w:rsidRDefault="0013514B" w:rsidP="00E10873">
      <w:pPr>
        <w:pStyle w:val="FootnoteText"/>
        <w:ind w:left="567" w:hanging="567"/>
        <w:rPr>
          <w:sz w:val="24"/>
          <w:lang w:val="ro-RO"/>
        </w:rPr>
      </w:pPr>
      <w:r w:rsidRPr="00E10873">
        <w:rPr>
          <w:rStyle w:val="FootnoteReference"/>
          <w:sz w:val="24"/>
          <w:lang w:val="ro-RO"/>
        </w:rPr>
        <w:footnoteRef/>
      </w:r>
      <w:r w:rsidR="00E10873" w:rsidRPr="00E10873">
        <w:rPr>
          <w:sz w:val="24"/>
          <w:lang w:val="ro-RO"/>
        </w:rPr>
        <w:t xml:space="preserve"> </w:t>
      </w:r>
      <w:r w:rsidR="00E10873" w:rsidRPr="00E10873">
        <w:rPr>
          <w:sz w:val="24"/>
          <w:lang w:val="ro-RO"/>
        </w:rPr>
        <w:tab/>
      </w:r>
      <w:r w:rsidRPr="00E10873">
        <w:rPr>
          <w:sz w:val="24"/>
          <w:lang w:val="ro-RO"/>
        </w:rPr>
        <w:t>JO L 433 I, 22.12.2020, p. 28.</w:t>
      </w:r>
    </w:p>
  </w:footnote>
  <w:footnote w:id="5">
    <w:p w:rsidR="0013514B" w:rsidRPr="00E10873" w:rsidRDefault="0013514B" w:rsidP="00E10873">
      <w:pPr>
        <w:pStyle w:val="FootnoteText"/>
        <w:ind w:left="567" w:hanging="567"/>
        <w:rPr>
          <w:sz w:val="24"/>
          <w:lang w:val="ro-RO"/>
        </w:rPr>
      </w:pPr>
      <w:r w:rsidRPr="00E10873">
        <w:rPr>
          <w:rStyle w:val="FootnoteReference"/>
          <w:sz w:val="24"/>
          <w:lang w:val="ro-RO"/>
        </w:rPr>
        <w:footnoteRef/>
      </w:r>
      <w:r w:rsidR="00E10873" w:rsidRPr="00E10873">
        <w:rPr>
          <w:sz w:val="24"/>
          <w:lang w:val="ro-RO"/>
        </w:rPr>
        <w:t xml:space="preserve"> </w:t>
      </w:r>
      <w:r w:rsidR="00E10873" w:rsidRPr="00E10873">
        <w:rPr>
          <w:sz w:val="24"/>
          <w:lang w:val="ro-RO"/>
        </w:rPr>
        <w:tab/>
      </w:r>
      <w:r w:rsidRPr="00E10873">
        <w:rPr>
          <w:sz w:val="24"/>
          <w:lang w:val="ro-RO"/>
        </w:rPr>
        <w:t>În sensul articolului 3 din Regulamentul privind FEG.</w:t>
      </w:r>
    </w:p>
  </w:footnote>
  <w:footnote w:id="6">
    <w:p w:rsidR="0013514B" w:rsidRPr="00E10873" w:rsidRDefault="0013514B" w:rsidP="00E10873">
      <w:pPr>
        <w:pStyle w:val="FootnoteText"/>
        <w:ind w:left="567" w:hanging="567"/>
        <w:rPr>
          <w:sz w:val="24"/>
          <w:lang w:val="ro-RO"/>
        </w:rPr>
      </w:pPr>
      <w:r w:rsidRPr="00E10873">
        <w:rPr>
          <w:rStyle w:val="FootnoteReference"/>
          <w:sz w:val="24"/>
          <w:lang w:val="ro-RO"/>
        </w:rPr>
        <w:footnoteRef/>
      </w:r>
      <w:r w:rsidR="00E10873" w:rsidRPr="00E10873">
        <w:rPr>
          <w:sz w:val="24"/>
          <w:lang w:val="ro-RO"/>
        </w:rPr>
        <w:t xml:space="preserve"> </w:t>
      </w:r>
      <w:r w:rsidR="00E10873" w:rsidRPr="00E10873">
        <w:rPr>
          <w:sz w:val="24"/>
          <w:lang w:val="ro-RO"/>
        </w:rPr>
        <w:tab/>
      </w:r>
      <w:r w:rsidRPr="00E10873">
        <w:rPr>
          <w:sz w:val="24"/>
          <w:lang w:val="ro-RO"/>
        </w:rPr>
        <w:t xml:space="preserve">37 de lucrători disponibilizați în </w:t>
      </w:r>
      <w:proofErr w:type="spellStart"/>
      <w:r w:rsidRPr="00E10873">
        <w:rPr>
          <w:sz w:val="24"/>
          <w:lang w:val="ro-RO"/>
        </w:rPr>
        <w:t>TekniClean</w:t>
      </w:r>
      <w:proofErr w:type="spellEnd"/>
      <w:r w:rsidRPr="00E10873">
        <w:rPr>
          <w:sz w:val="24"/>
          <w:lang w:val="ro-RO"/>
        </w:rPr>
        <w:t xml:space="preserve"> A/S și patru lucrători disponibilizați din Administrația veterinară și alimentară daneză.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8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RO"/>
    <w:docVar w:name="dvnumam" w:val="0"/>
    <w:docVar w:name="dvpe" w:val="759.752"/>
    <w:docVar w:name="dvrapporteur" w:val="Raportor: "/>
    <w:docVar w:name="dvtitre" w:val="Rezoluția Parlamentului European din 24 aprilie 2024 referitoare la propunerea de decizie a Parlamentului European și a Consiliului privind mobilizarea Fondului european de ajustare la globalizare pentru lucrătorii disponibilizați (cerere din partea Danemarcei – EGF/2023/004/DK/Danish Crown)(COM(2024)0035 – C9-0040/2024 – 2024/0044(BUD))"/>
  </w:docVars>
  <w:rsids>
    <w:rsidRoot w:val="00FB760E"/>
    <w:rsid w:val="00002272"/>
    <w:rsid w:val="00064002"/>
    <w:rsid w:val="000677B9"/>
    <w:rsid w:val="000831BA"/>
    <w:rsid w:val="000A42CC"/>
    <w:rsid w:val="000E7DD9"/>
    <w:rsid w:val="0010095E"/>
    <w:rsid w:val="00125B37"/>
    <w:rsid w:val="0013514B"/>
    <w:rsid w:val="00187494"/>
    <w:rsid w:val="001F32AE"/>
    <w:rsid w:val="00232AF0"/>
    <w:rsid w:val="002527A5"/>
    <w:rsid w:val="002767FF"/>
    <w:rsid w:val="002B18FE"/>
    <w:rsid w:val="002B5493"/>
    <w:rsid w:val="00343214"/>
    <w:rsid w:val="00361C00"/>
    <w:rsid w:val="00395FA1"/>
    <w:rsid w:val="003A59CF"/>
    <w:rsid w:val="003E15D4"/>
    <w:rsid w:val="00401987"/>
    <w:rsid w:val="00411CCE"/>
    <w:rsid w:val="0041666E"/>
    <w:rsid w:val="00421060"/>
    <w:rsid w:val="00471C19"/>
    <w:rsid w:val="004742FE"/>
    <w:rsid w:val="004867E3"/>
    <w:rsid w:val="00494A28"/>
    <w:rsid w:val="004C0004"/>
    <w:rsid w:val="004C5D52"/>
    <w:rsid w:val="0050519A"/>
    <w:rsid w:val="005072A1"/>
    <w:rsid w:val="00514517"/>
    <w:rsid w:val="00545827"/>
    <w:rsid w:val="00560270"/>
    <w:rsid w:val="005C2568"/>
    <w:rsid w:val="006037C0"/>
    <w:rsid w:val="00635CB4"/>
    <w:rsid w:val="006631B6"/>
    <w:rsid w:val="00680577"/>
    <w:rsid w:val="006E743B"/>
    <w:rsid w:val="006F74FA"/>
    <w:rsid w:val="0072121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15C"/>
    <w:rsid w:val="00930C23"/>
    <w:rsid w:val="0093193B"/>
    <w:rsid w:val="009509D8"/>
    <w:rsid w:val="00950B64"/>
    <w:rsid w:val="00981893"/>
    <w:rsid w:val="00A1687D"/>
    <w:rsid w:val="00A26C14"/>
    <w:rsid w:val="00A43E52"/>
    <w:rsid w:val="00A4678D"/>
    <w:rsid w:val="00A778C7"/>
    <w:rsid w:val="00AA5EB5"/>
    <w:rsid w:val="00AB441E"/>
    <w:rsid w:val="00AB6293"/>
    <w:rsid w:val="00AE0928"/>
    <w:rsid w:val="00AF3B82"/>
    <w:rsid w:val="00B12E95"/>
    <w:rsid w:val="00B22876"/>
    <w:rsid w:val="00B558F0"/>
    <w:rsid w:val="00BB4C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873"/>
    <w:rsid w:val="00E365E1"/>
    <w:rsid w:val="00E820A4"/>
    <w:rsid w:val="00EB006A"/>
    <w:rsid w:val="00EB4772"/>
    <w:rsid w:val="00ED169E"/>
    <w:rsid w:val="00ED4235"/>
    <w:rsid w:val="00EF6715"/>
    <w:rsid w:val="00F04346"/>
    <w:rsid w:val="00F075DC"/>
    <w:rsid w:val="00F149E9"/>
    <w:rsid w:val="00F5134D"/>
    <w:rsid w:val="00F74202"/>
    <w:rsid w:val="00F87713"/>
    <w:rsid w:val="00F87C35"/>
    <w:rsid w:val="00FB4360"/>
    <w:rsid w:val="00FB760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1F4DC"/>
  <w15:chartTrackingRefBased/>
  <w15:docId w15:val="{27A9655B-4ED8-495B-9EC9-46A08543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514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3514B"/>
    <w:pPr>
      <w:keepNext/>
      <w:spacing w:after="480"/>
      <w:jc w:val="center"/>
    </w:pPr>
    <w:rPr>
      <w:rFonts w:ascii="Arial" w:hAnsi="Arial" w:cs="Arial"/>
      <w:b/>
    </w:rPr>
  </w:style>
  <w:style w:type="paragraph" w:customStyle="1" w:styleId="NormalHanging12a">
    <w:name w:val="NormalHanging12a"/>
    <w:basedOn w:val="Normal"/>
    <w:link w:val="NormalHanging12aChar"/>
    <w:rsid w:val="0013514B"/>
    <w:pPr>
      <w:spacing w:after="240"/>
      <w:ind w:left="567" w:hanging="567"/>
    </w:pPr>
  </w:style>
  <w:style w:type="paragraph" w:styleId="Header">
    <w:name w:val="header"/>
    <w:basedOn w:val="Normal"/>
    <w:link w:val="HeaderChar"/>
    <w:rsid w:val="0013514B"/>
    <w:pPr>
      <w:tabs>
        <w:tab w:val="center" w:pos="4513"/>
        <w:tab w:val="right" w:pos="9026"/>
      </w:tabs>
    </w:pPr>
  </w:style>
  <w:style w:type="character" w:customStyle="1" w:styleId="HeaderChar">
    <w:name w:val="Header Char"/>
    <w:basedOn w:val="DefaultParagraphFont"/>
    <w:link w:val="Header"/>
    <w:rsid w:val="0013514B"/>
    <w:rPr>
      <w:sz w:val="24"/>
      <w:lang w:val="ro-RO"/>
    </w:rPr>
  </w:style>
  <w:style w:type="paragraph" w:customStyle="1" w:styleId="NormalBold24a">
    <w:name w:val="NormalBold24a"/>
    <w:basedOn w:val="Normal"/>
    <w:rsid w:val="0013514B"/>
    <w:pPr>
      <w:spacing w:after="480"/>
    </w:pPr>
    <w:rPr>
      <w:b/>
      <w:bCs/>
    </w:rPr>
  </w:style>
  <w:style w:type="paragraph" w:customStyle="1" w:styleId="EPFooter">
    <w:name w:val="EPFooter"/>
    <w:basedOn w:val="Normal"/>
    <w:rsid w:val="0013514B"/>
    <w:pPr>
      <w:tabs>
        <w:tab w:val="center" w:pos="4535"/>
        <w:tab w:val="right" w:pos="9071"/>
      </w:tabs>
      <w:spacing w:before="240" w:after="240"/>
    </w:pPr>
    <w:rPr>
      <w:color w:val="010000"/>
      <w:sz w:val="22"/>
    </w:rPr>
  </w:style>
  <w:style w:type="paragraph" w:customStyle="1" w:styleId="EPComma">
    <w:name w:val="EPComma"/>
    <w:basedOn w:val="Normal"/>
    <w:rsid w:val="0013514B"/>
    <w:pPr>
      <w:spacing w:before="480" w:after="240"/>
    </w:pPr>
  </w:style>
  <w:style w:type="character" w:customStyle="1" w:styleId="NormalHanging12aChar">
    <w:name w:val="NormalHanging12a Char"/>
    <w:basedOn w:val="DefaultParagraphFont"/>
    <w:link w:val="NormalHanging12a"/>
    <w:locked/>
    <w:rsid w:val="0013514B"/>
    <w:rPr>
      <w:sz w:val="24"/>
      <w:lang w:val="ro-RO"/>
    </w:rPr>
  </w:style>
  <w:style w:type="paragraph" w:customStyle="1" w:styleId="Default">
    <w:name w:val="Default"/>
    <w:rsid w:val="0013514B"/>
    <w:pPr>
      <w:autoSpaceDE w:val="0"/>
      <w:autoSpaceDN w:val="0"/>
      <w:adjustRightInd w:val="0"/>
    </w:pPr>
    <w:rPr>
      <w:color w:val="000000"/>
      <w:sz w:val="24"/>
      <w:szCs w:val="24"/>
      <w:lang w:val="ro-RO"/>
    </w:rPr>
  </w:style>
  <w:style w:type="paragraph" w:customStyle="1" w:styleId="Institutionquisigne">
    <w:name w:val="Institution qui signe"/>
    <w:basedOn w:val="Normal"/>
    <w:next w:val="Normal"/>
    <w:rsid w:val="0013514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3514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3514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3514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3514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3514B"/>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13514B"/>
    <w:rPr>
      <w:i/>
      <w:iCs/>
    </w:rPr>
  </w:style>
  <w:style w:type="character" w:customStyle="1" w:styleId="PageHeadingChar">
    <w:name w:val="PageHeading Char"/>
    <w:basedOn w:val="DefaultParagraphFont"/>
    <w:link w:val="PageHeading"/>
    <w:rsid w:val="0013514B"/>
    <w:rPr>
      <w:rFonts w:ascii="Arial" w:hAnsi="Arial" w:cs="Arial"/>
      <w:b/>
      <w:sz w:val="24"/>
      <w:lang w:val="ro-RO"/>
    </w:rPr>
  </w:style>
  <w:style w:type="paragraph" w:styleId="Footer">
    <w:name w:val="footer"/>
    <w:basedOn w:val="Normal"/>
    <w:link w:val="FooterChar"/>
    <w:rsid w:val="00A26C14"/>
    <w:pPr>
      <w:tabs>
        <w:tab w:val="center" w:pos="4513"/>
        <w:tab w:val="right" w:pos="9026"/>
      </w:tabs>
    </w:pPr>
  </w:style>
  <w:style w:type="character" w:customStyle="1" w:styleId="FooterChar">
    <w:name w:val="Footer Char"/>
    <w:basedOn w:val="DefaultParagraphFont"/>
    <w:link w:val="Footer"/>
    <w:rsid w:val="00A26C14"/>
    <w:rPr>
      <w:sz w:val="24"/>
      <w:lang w:val="ro-RO"/>
    </w:rPr>
  </w:style>
  <w:style w:type="paragraph" w:styleId="BalloonText">
    <w:name w:val="Balloon Text"/>
    <w:basedOn w:val="Normal"/>
    <w:link w:val="BalloonTextChar"/>
    <w:rsid w:val="00A26C14"/>
    <w:rPr>
      <w:rFonts w:ascii="Segoe UI" w:hAnsi="Segoe UI" w:cs="Segoe UI"/>
      <w:sz w:val="18"/>
      <w:szCs w:val="18"/>
    </w:rPr>
  </w:style>
  <w:style w:type="character" w:customStyle="1" w:styleId="BalloonTextChar">
    <w:name w:val="Balloon Text Char"/>
    <w:basedOn w:val="DefaultParagraphFont"/>
    <w:link w:val="BalloonText"/>
    <w:rsid w:val="00A26C14"/>
    <w:rPr>
      <w:rFonts w:ascii="Segoe UI" w:hAnsi="Segoe UI" w:cs="Segoe UI"/>
      <w:sz w:val="18"/>
      <w:szCs w:val="18"/>
      <w:lang w:val="ro-RO"/>
    </w:rPr>
  </w:style>
  <w:style w:type="character" w:styleId="Hyperlink">
    <w:name w:val="Hyperlink"/>
    <w:basedOn w:val="DefaultParagraphFont"/>
    <w:rsid w:val="00A26C14"/>
    <w:rPr>
      <w:color w:val="0563C1" w:themeColor="hyperlink"/>
      <w:u w:val="single"/>
    </w:rPr>
  </w:style>
  <w:style w:type="character" w:styleId="FollowedHyperlink">
    <w:name w:val="FollowedHyperlink"/>
    <w:basedOn w:val="DefaultParagraphFont"/>
    <w:rsid w:val="002527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local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81B5-8C06-4738-9384-C874533F1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1616</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2024-09-09T13:36:00Z</dcterms:created>
  <dcterms:modified xsi:type="dcterms:W3CDTF">2024-09-09T13:36:00Z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P9_TA(2024)0332_</vt:lpwstr>
  </property>
  <property fmtid="{D5CDD505-2E9C-101B-9397-08002B2CF9AE}" pid="4" name="&lt;Type&gt;">
    <vt:lpwstr>RR</vt:lpwstr>
  </property>
</Properties>
</file>