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P9_TA(2024)0332</w:t>
      </w:r>
      <w:bookmarkEnd w:id="0"/>
    </w:p>
    <w:p>
      <w:pPr>
        <w:pStyle w:val="ATHeading2"/>
      </w:pPr>
      <w:bookmarkStart w:id="1" w:name="title"/>
      <w:r>
        <w:t>Mobilizácia Európskeho fondu na prispôsobenie sa globalizácii: žiadosť EGF/2023/004 DK/</w:t>
      </w:r>
      <w:proofErr w:type="spellStart"/>
      <w:r>
        <w:t>Danish</w:t>
      </w:r>
      <w:proofErr w:type="spellEnd"/>
      <w:r>
        <w:t xml:space="preserve"> </w:t>
      </w:r>
      <w:proofErr w:type="spellStart"/>
      <w:r>
        <w:t>Crown</w:t>
      </w:r>
      <w:proofErr w:type="spellEnd"/>
      <w:r>
        <w:t xml:space="preserve"> – Dánsko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A9-0171/2024</w:instrText>
      </w:r>
      <w:bookmarkEnd w:id="2"/>
      <w:r>
        <w:rPr>
          <w:i/>
        </w:rPr>
        <w:instrText xml:space="preserve"> - Spravodajca: </w:instrText>
      </w:r>
      <w:proofErr w:type="spellStart"/>
      <w:r>
        <w:rPr>
          <w:i/>
        </w:rPr>
        <w:instrText>Janusz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Lewandowski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rozpočet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PE759.752</w:t>
      </w:r>
      <w:bookmarkEnd w:id="4"/>
    </w:p>
    <w:p>
      <w:pPr>
        <w:pStyle w:val="ATHeading3"/>
      </w:pPr>
      <w:bookmarkStart w:id="5" w:name="Sujet"/>
      <w:r>
        <w:t>Uznesenie Európskeho parlamentu z 24. apríla 2024 o návrhu rozhodnutia Európskeho parlamentu a Rady o mobilizácii Európskeho fondu na prispôsobenie sa globalizácii na pomoc pracovníkom, ktorí prišli o zamestnanie, na základe žiadosti Dánska – EGF/2023/004 DK/</w:t>
      </w:r>
      <w:proofErr w:type="spellStart"/>
      <w:r>
        <w:t>Danish</w:t>
      </w:r>
      <w:proofErr w:type="spellEnd"/>
      <w:r>
        <w:t xml:space="preserve"> </w:t>
      </w:r>
      <w:proofErr w:type="spellStart"/>
      <w:r>
        <w:t>Crown</w:t>
      </w:r>
      <w:bookmarkEnd w:id="5"/>
      <w:proofErr w:type="spellEnd"/>
      <w:r>
        <w:t xml:space="preserve"> </w:t>
      </w:r>
      <w:bookmarkStart w:id="6" w:name="References"/>
      <w:r>
        <w:t>(COM(2024)0035 – C9-0040/2024 – 2024/0044(BUD))</w:t>
      </w:r>
      <w:bookmarkEnd w:id="6"/>
    </w:p>
    <w:p>
      <w:pPr>
        <w:pStyle w:val="EPComma"/>
        <w:rPr>
          <w:noProof/>
        </w:rPr>
      </w:pPr>
      <w:bookmarkStart w:id="7" w:name="TextBodyBegin"/>
      <w:bookmarkEnd w:id="7"/>
      <w:r>
        <w:rPr>
          <w:i/>
        </w:rPr>
        <w:t>Európsky parlament</w:t>
      </w:r>
      <w:r>
        <w:t>,</w:t>
      </w:r>
    </w:p>
    <w:p>
      <w:pPr>
        <w:pStyle w:val="NormalHanging12a"/>
        <w:rPr>
          <w:noProof/>
        </w:rPr>
      </w:pPr>
      <w:r>
        <w:t>–</w:t>
      </w:r>
      <w:r>
        <w:tab/>
        <w:t>so zreteľom na návrh Komisie pre Európsky parlament a Radu (COM(2024)0035 – C9</w:t>
      </w:r>
      <w:r>
        <w:noBreakHyphen/>
        <w:t>0040/2024),</w:t>
      </w:r>
    </w:p>
    <w:p>
      <w:pPr>
        <w:pStyle w:val="NormalHanging12a"/>
        <w:rPr>
          <w:noProof/>
        </w:rPr>
      </w:pPr>
      <w:r>
        <w:t>–</w:t>
      </w:r>
      <w:r>
        <w:tab/>
        <w:t>so zreteľom na nariadenie Európskeho parlamentu a Rady (EÚ) 2021/691 z 28. apríla 2021 o Európskom fonde na prispôsobenie sa globalizácii na pomoc pracovníkom, ktorí prišli o zamestnanie (EGF), ktorým sa zrušuje nariadenie (EÚ) č. 1309/2013</w:t>
      </w:r>
      <w:r>
        <w:rPr>
          <w:rStyle w:val="FootnoteReference"/>
        </w:rPr>
        <w:footnoteReference w:id="1"/>
      </w:r>
      <w:r>
        <w:t xml:space="preserve"> (ďalej len „nariadenie o EGF“),</w:t>
      </w:r>
    </w:p>
    <w:p>
      <w:pPr>
        <w:pStyle w:val="NormalHanging12a"/>
        <w:rPr>
          <w:noProof/>
        </w:rPr>
      </w:pPr>
      <w:r>
        <w:t>–</w:t>
      </w:r>
      <w:r>
        <w:tab/>
        <w:t xml:space="preserve">so zreteľom na nariadenie Rady (EÚ, </w:t>
      </w:r>
      <w:proofErr w:type="spellStart"/>
      <w:r>
        <w:t>Euratom</w:t>
      </w:r>
      <w:proofErr w:type="spellEnd"/>
      <w:r>
        <w:t>) 2020/2093 zo 17. decembra 2020, ktorým sa stanovuje viacročný finančný rámec na roky 2021 až 2027</w:t>
      </w:r>
      <w:r>
        <w:rPr>
          <w:rStyle w:val="FootnoteReference"/>
          <w:noProof/>
        </w:rPr>
        <w:footnoteReference w:id="2"/>
      </w:r>
      <w:r>
        <w:t xml:space="preserve">, zmenené nariadením Rady (EÚ, </w:t>
      </w:r>
      <w:proofErr w:type="spellStart"/>
      <w:r>
        <w:t>Euratom</w:t>
      </w:r>
      <w:proofErr w:type="spellEnd"/>
      <w:r>
        <w:t xml:space="preserve">) 2024/765 z 29. februára 2024, ktorým sa mení nariadenie (EÚ, </w:t>
      </w:r>
      <w:proofErr w:type="spellStart"/>
      <w:r>
        <w:t>Euratom</w:t>
      </w:r>
      <w:proofErr w:type="spellEnd"/>
      <w:r>
        <w:t>) 2020/2093, ktorým sa stanovuje viacročný finančný rámec na roky 2021 až 2027</w:t>
      </w:r>
      <w:r>
        <w:rPr>
          <w:rStyle w:val="FootnoteReference"/>
          <w:bdr w:val="none" w:sz="0" w:space="0" w:color="auto" w:frame="1"/>
        </w:rPr>
        <w:footnoteReference w:id="3"/>
      </w:r>
      <w:r>
        <w:t>, a najmä na jeho článok 8,</w:t>
      </w:r>
    </w:p>
    <w:p>
      <w:pPr>
        <w:pStyle w:val="NormalHanging12a"/>
        <w:rPr>
          <w:noProof/>
        </w:rPr>
      </w:pPr>
      <w:r>
        <w:t>–</w:t>
      </w:r>
      <w:r>
        <w:tab/>
        <w:t>so zreteľom na </w:t>
      </w:r>
      <w:proofErr w:type="spellStart"/>
      <w:r>
        <w:t>Medziinštitucionálnu</w:t>
      </w:r>
      <w:proofErr w:type="spellEnd"/>
      <w:r>
        <w:t xml:space="preserve"> dohodu zo 16. decembra 2020 medzi Európskym parlamentom, Radou Európskej únie a Európskou komisiou o rozpočtovej disciplíne, spolupráci v rozpočtových záležitostiach a správnom finančnom riadení, ako aj o nových vlastných zdrojoch vrátane plánu na zavedenie nových vlastných zdrojov</w:t>
      </w:r>
      <w:r>
        <w:rPr>
          <w:rStyle w:val="FootnoteReference"/>
          <w:noProof/>
        </w:rPr>
        <w:footnoteReference w:id="4"/>
      </w:r>
      <w:r>
        <w:t>, a najmä na jej bod 12,</w:t>
      </w:r>
    </w:p>
    <w:p>
      <w:pPr>
        <w:pStyle w:val="NormalHanging12a"/>
        <w:rPr>
          <w:noProof/>
        </w:rPr>
      </w:pPr>
      <w:r>
        <w:t>–</w:t>
      </w:r>
      <w:r>
        <w:tab/>
        <w:t>so zreteľom na list Výboru pre zamestnanosť a sociálne veci,</w:t>
      </w:r>
    </w:p>
    <w:p>
      <w:pPr>
        <w:pStyle w:val="NormalHanging12a"/>
      </w:pPr>
      <w:r>
        <w:lastRenderedPageBreak/>
        <w:t>–</w:t>
      </w:r>
      <w:r>
        <w:tab/>
        <w:t>so zreteľom na správu Výboru pre rozpočet (A9-0171/2024),</w:t>
      </w:r>
    </w:p>
    <w:p>
      <w:pPr>
        <w:pStyle w:val="NormalHanging12a"/>
        <w:rPr>
          <w:noProof/>
        </w:rPr>
      </w:pPr>
      <w:r>
        <w:t>A.</w:t>
      </w:r>
      <w:r>
        <w:tab/>
        <w:t>keďže Únia vytvorila legislatívne a rozpočtové nástroje s cieľom poskytovať dodatočnú podporu pracovníkom, ktorých zasiahli dôsledky veľkých štrukturálnych zmien v usporiadaní svetového obchodu či dôsledky globálnej finančnej a hospodárskej krízy, a pomôcť im pri opätovnom začleňovaní do trhu práce; keďže táto pomoc sa poskytuje prostredníctvom finančnej podpory poskytovanej pracovníkom a spoločnostiam, pre ktoré pracovali;</w:t>
      </w:r>
    </w:p>
    <w:p>
      <w:pPr>
        <w:widowControl/>
        <w:spacing w:after="240"/>
        <w:ind w:left="567" w:hanging="567"/>
      </w:pPr>
      <w:r>
        <w:t>B.</w:t>
      </w:r>
      <w:r>
        <w:tab/>
        <w:t>keďže Dánsko predložilo žiadosť EGF/2023/004 DK/</w:t>
      </w:r>
      <w:proofErr w:type="spellStart"/>
      <w:r>
        <w:t>Danish</w:t>
      </w:r>
      <w:proofErr w:type="spellEnd"/>
      <w:r>
        <w:t xml:space="preserve"> </w:t>
      </w:r>
      <w:proofErr w:type="spellStart"/>
      <w:r>
        <w:t>Crown</w:t>
      </w:r>
      <w:proofErr w:type="spellEnd"/>
      <w:r>
        <w:t xml:space="preserve"> o finančný príspevok z Európskeho fondu na prispôsobenie sa globalizácii (EGF) v dôsledku prepustenia celkovo 751 pracovníkov</w:t>
      </w:r>
      <w:r>
        <w:rPr>
          <w:rStyle w:val="FootnoteReference"/>
        </w:rPr>
        <w:footnoteReference w:id="5"/>
      </w:r>
      <w:r>
        <w:t xml:space="preserve"> v odvetví ekonomickej činnosti v rámci divízie 10 NACE </w:t>
      </w:r>
      <w:proofErr w:type="spellStart"/>
      <w:r>
        <w:t>Revision</w:t>
      </w:r>
      <w:proofErr w:type="spellEnd"/>
      <w:r>
        <w:t xml:space="preserve"> 2 (výroba potravinových výrobkov) v provincii </w:t>
      </w:r>
      <w:proofErr w:type="spellStart"/>
      <w:r>
        <w:t>Nordylland</w:t>
      </w:r>
      <w:proofErr w:type="spellEnd"/>
      <w:r>
        <w:t>, pričom 692 pracovníkov bolo prepustených v referenčnom období na podanie žiadosti od 19. mája 2023 do 19. septembra 2023 a 59 pracovníkov bolo prepustených pred referenčným obdobím alebo po ňom;</w:t>
      </w:r>
    </w:p>
    <w:p>
      <w:pPr>
        <w:pStyle w:val="NormalHanging12a"/>
      </w:pPr>
      <w:r>
        <w:t xml:space="preserve">C. </w:t>
      </w:r>
      <w:r>
        <w:tab/>
        <w:t xml:space="preserve">keďže žiadosť sa týka 692 pracovníkov prepustených v referenčnom období na podanie žiadosti, a to 651 prepustených pracovníkov, ktorých činnosť v spoločnosti </w:t>
      </w:r>
      <w:proofErr w:type="spellStart"/>
      <w:r>
        <w:t>Danish</w:t>
      </w:r>
      <w:proofErr w:type="spellEnd"/>
      <w:r>
        <w:t xml:space="preserve"> </w:t>
      </w:r>
      <w:proofErr w:type="spellStart"/>
      <w:r>
        <w:t>Crown</w:t>
      </w:r>
      <w:proofErr w:type="spellEnd"/>
      <w:r>
        <w:t xml:space="preserve"> (</w:t>
      </w:r>
      <w:proofErr w:type="spellStart"/>
      <w:r>
        <w:t>Danish</w:t>
      </w:r>
      <w:proofErr w:type="spellEnd"/>
      <w:r>
        <w:t xml:space="preserve"> </w:t>
      </w:r>
      <w:proofErr w:type="spellStart"/>
      <w:r>
        <w:t>Crown</w:t>
      </w:r>
      <w:proofErr w:type="spellEnd"/>
      <w:r>
        <w:t xml:space="preserve"> A/S) bola ukončená a 41 pracovníkov prepustených u dvoch dodávateľov a nadväzujúcich výrobcov spoločnosti </w:t>
      </w:r>
      <w:proofErr w:type="spellStart"/>
      <w:r>
        <w:t>Danish</w:t>
      </w:r>
      <w:proofErr w:type="spellEnd"/>
      <w:r>
        <w:t xml:space="preserve"> </w:t>
      </w:r>
      <w:proofErr w:type="spellStart"/>
      <w:r>
        <w:t>Crown</w:t>
      </w:r>
      <w:proofErr w:type="spellEnd"/>
      <w:r>
        <w:rPr>
          <w:rStyle w:val="FootnoteReference"/>
        </w:rPr>
        <w:footnoteReference w:id="6"/>
      </w:r>
      <w:r>
        <w:t>;</w:t>
      </w:r>
    </w:p>
    <w:p>
      <w:pPr>
        <w:pStyle w:val="NormalHanging12a"/>
      </w:pPr>
      <w:r>
        <w:t xml:space="preserve">D. </w:t>
      </w:r>
      <w:r>
        <w:tab/>
        <w:t>keďže žiadosť sa týka 59 prepustených pracovníkov, ktorých činnosť bola ukončená pred referenčných obdobím štyroch mesiacov alebo po ňom, kde možno preukázať jasnú príčinnú súvislosť s udalosťou, ktorá viedla k ukončeniu činnosti prepustených pracovníkov počas referenčného obdobia, ako sa vyžaduje v článku 6 ods. 2 nariadenia o EGF;</w:t>
      </w:r>
      <w:r>
        <w:rPr>
          <w:sz w:val="23"/>
        </w:rPr>
        <w:t xml:space="preserve"> </w:t>
      </w:r>
    </w:p>
    <w:p>
      <w:pPr>
        <w:pStyle w:val="NormalHanging12a"/>
      </w:pPr>
      <w:r>
        <w:t>E.</w:t>
      </w:r>
      <w:r>
        <w:tab/>
        <w:t>keďže žiadosť bola predložená na základe kritérií zásahu uvedených v článku 4 ods. 2 písm. a) nariadenia o EGF, v ktorom sa vyžaduje, aby počas referenčného obdobia štyroch mesiacov dosiahol počet prepustených pracovníkov najmenej 200 osôb v jednom podniku v jednom členskom štáte vrátane pracovníkov, ktorí boli prepustení u jeho dodávateľov a u nadväzujúcich výrobcov, a/alebo samostatne zárobkovo činných osôb, ktorých činnosť sa skončila;</w:t>
      </w:r>
    </w:p>
    <w:p>
      <w:pPr>
        <w:pStyle w:val="NormalHanging12a"/>
      </w:pPr>
      <w:r>
        <w:t>F.</w:t>
      </w:r>
      <w:r>
        <w:tab/>
        <w:t>keďže dánske odvetvie bitúnkov prechádza v Dánsku štrukturálnou krízou;</w:t>
      </w:r>
      <w:r>
        <w:rPr>
          <w:sz w:val="23"/>
        </w:rPr>
        <w:t xml:space="preserve"> keďže počet zabitých ošípaných sa v Dánsku od roku 2005 znížil o 4,4 milióna (20 %); keďže tento pokles je vo veľkej miere spôsobený prechodom od chovu jatočných ošípaných k chovu prasiatok na vývoz; </w:t>
      </w:r>
      <w:r>
        <w:t>keďže vývoz prasiatok je pre dánskych poľnohospodárov ziskovejší ako výkrm ošípaných na zabitie z dôvodu nízkych cien bravčového mäsa;</w:t>
      </w:r>
    </w:p>
    <w:p>
      <w:pPr>
        <w:pStyle w:val="NormalHanging12a"/>
        <w:rPr>
          <w:rFonts w:eastAsia="Calibri"/>
          <w:szCs w:val="22"/>
        </w:rPr>
      </w:pPr>
      <w:r>
        <w:t>G.</w:t>
      </w:r>
      <w:r>
        <w:tab/>
      </w:r>
      <w:r>
        <w:rPr>
          <w:sz w:val="23"/>
        </w:rPr>
        <w:t xml:space="preserve">keďže </w:t>
      </w:r>
      <w:proofErr w:type="spellStart"/>
      <w:r>
        <w:rPr>
          <w:sz w:val="23"/>
        </w:rPr>
        <w:t>Danish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Crown</w:t>
      </w:r>
      <w:proofErr w:type="spellEnd"/>
      <w:r>
        <w:rPr>
          <w:sz w:val="23"/>
        </w:rPr>
        <w:t xml:space="preserve"> je skupina dánskych potravinárskych spoločností, ktoré sa zaoberajú mäsiarstvom, spracovaním a predajom hlavne bravčového a hovädzieho mäsa; </w:t>
      </w:r>
      <w:r>
        <w:t xml:space="preserve">keďže udalosťou, ktorá viedla k tomuto prepúšťaniu, bolo zatvorenie bitúnku spoločnosti </w:t>
      </w:r>
      <w:proofErr w:type="spellStart"/>
      <w:r>
        <w:t>Danish</w:t>
      </w:r>
      <w:proofErr w:type="spellEnd"/>
      <w:r>
        <w:t xml:space="preserve"> </w:t>
      </w:r>
      <w:proofErr w:type="spellStart"/>
      <w:r>
        <w:t>Crown</w:t>
      </w:r>
      <w:proofErr w:type="spellEnd"/>
      <w:r>
        <w:t xml:space="preserve"> v </w:t>
      </w:r>
      <w:proofErr w:type="spellStart"/>
      <w:r>
        <w:t>Sæby</w:t>
      </w:r>
      <w:proofErr w:type="spellEnd"/>
      <w:r>
        <w:t xml:space="preserve"> v obci </w:t>
      </w:r>
      <w:proofErr w:type="spellStart"/>
      <w:r>
        <w:t>Frederikshavn</w:t>
      </w:r>
      <w:proofErr w:type="spellEnd"/>
      <w:r>
        <w:t xml:space="preserve"> v dôsledku poklesu počtu jatočných ošípaných;</w:t>
      </w:r>
    </w:p>
    <w:p>
      <w:pPr>
        <w:pStyle w:val="NormalHanging12a"/>
      </w:pPr>
      <w:r>
        <w:t>H.</w:t>
      </w:r>
      <w:r>
        <w:tab/>
        <w:t xml:space="preserve">keďže boli splnené požiadavky stanovené vo vnútroštátnych právnych predpisoch </w:t>
      </w:r>
      <w:r>
        <w:lastRenderedPageBreak/>
        <w:t>a v právnych predpisoch Únie, ktoré sa týkajú hromadného prepúšťania;</w:t>
      </w:r>
    </w:p>
    <w:p>
      <w:pPr>
        <w:pStyle w:val="NormalHanging12a"/>
      </w:pPr>
      <w:r>
        <w:t>I.</w:t>
      </w:r>
      <w:r>
        <w:tab/>
        <w:t xml:space="preserve">keďže finančné príspevky z EGF by mali byť zacielené predovšetkým na aktívne opatrenia politiky trhu práce a </w:t>
      </w:r>
      <w:proofErr w:type="spellStart"/>
      <w:r>
        <w:t>personalizované</w:t>
      </w:r>
      <w:proofErr w:type="spellEnd"/>
      <w:r>
        <w:t xml:space="preserve"> služby zamerané na rýchle opätovné začlenenie príjemcov do dôstojného a udržateľného zamestnania v rámci ich pôvodného odvetvia činnosti alebo mimo neho a zároveň na ich prípravu na ekologickejšie a digitálnejšie európske hospodárstvo;</w:t>
      </w:r>
    </w:p>
    <w:p>
      <w:pPr>
        <w:pStyle w:val="NormalHanging12a"/>
      </w:pPr>
      <w:r>
        <w:t>J.</w:t>
      </w:r>
      <w:r>
        <w:tab/>
        <w:t xml:space="preserve">keďže revíziou VFR sa znižuje maximálna ročná suma EGF zo 186 miliónov EUR na 30 miliónov EUR (v cenách roku 2018), ako sa stanovuje v článku 8 nariadenia Rady (EÚ, </w:t>
      </w:r>
      <w:proofErr w:type="spellStart"/>
      <w:r>
        <w:t>Euratom</w:t>
      </w:r>
      <w:proofErr w:type="spellEnd"/>
      <w:r>
        <w:t xml:space="preserve">) 2020/2093 zmeneného nariadením (EÚ, </w:t>
      </w:r>
      <w:proofErr w:type="spellStart"/>
      <w:r>
        <w:t>Euratom</w:t>
      </w:r>
      <w:proofErr w:type="spellEnd"/>
      <w:r>
        <w:t>) 2024/765; keďže Komisia by mala monitorovať vykonávanie EGF a všetky inštitúcie by mali prijať nevyhnutné opatrenia, ktorými sa zabezpečí, že bude možné vyhovieť všetkým odôvodneným žiadostiam o podporu z EGF ako prejav solidarity Únie;</w:t>
      </w:r>
    </w:p>
    <w:p>
      <w:pPr>
        <w:pStyle w:val="NormalHanging12a"/>
      </w:pPr>
      <w:r>
        <w:t>1.</w:t>
      </w:r>
      <w:r>
        <w:tab/>
        <w:t xml:space="preserve">súhlasí s Komisiou, že podmienky stanovené v článku 4 ods. 2 písm. a) nariadenia o EGF sú splnené a že Dánsko má podľa uvedeného nariadenia nárok na finančný príspevok 1 882 212 EUR, čo predstavuje 60 % celkových nákladov vo výške 3 137 021 EUR vrátane výdavkov na </w:t>
      </w:r>
      <w:proofErr w:type="spellStart"/>
      <w:r>
        <w:t>personalizované</w:t>
      </w:r>
      <w:proofErr w:type="spellEnd"/>
      <w:r>
        <w:t xml:space="preserve"> služby vo výške 2 878 001 EUR a výdavkov na činnosti súvisiace s prípravou, riadením, informovaním a propagáciou, kontrolou a podávaním správ vo výške 259 020 EUR;</w:t>
      </w:r>
    </w:p>
    <w:p>
      <w:pPr>
        <w:pStyle w:val="NormalHanging12a"/>
      </w:pPr>
      <w:r>
        <w:t>2.</w:t>
      </w:r>
      <w:r>
        <w:tab/>
        <w:t xml:space="preserve">konštatuje, že dánske orgány podali žiadosť 6. decembra 2023 a že na základe dodatočných informácií, ktoré poskytlo Dánsko, Komisia 29. februára 2024 dokončila svoje hodnotenie a v ten istý deň o tom informovala Európsky parlament; </w:t>
      </w:r>
    </w:p>
    <w:p>
      <w:pPr>
        <w:pStyle w:val="NormalHanging12a"/>
      </w:pPr>
      <w:r>
        <w:t>3.</w:t>
      </w:r>
      <w:r>
        <w:tab/>
        <w:t xml:space="preserve">konštatuje, že žiadosť sa týka 751 prepustených pracovníkov, ktorých nepriaznivo zasiahlo zatvorenie bitúnku spoločnosti </w:t>
      </w:r>
      <w:proofErr w:type="spellStart"/>
      <w:r>
        <w:t>Danish</w:t>
      </w:r>
      <w:proofErr w:type="spellEnd"/>
      <w:r>
        <w:t xml:space="preserve"> </w:t>
      </w:r>
      <w:proofErr w:type="spellStart"/>
      <w:r>
        <w:t>Crown</w:t>
      </w:r>
      <w:proofErr w:type="spellEnd"/>
      <w:r>
        <w:t xml:space="preserve"> v </w:t>
      </w:r>
      <w:proofErr w:type="spellStart"/>
      <w:r>
        <w:t>Sæby</w:t>
      </w:r>
      <w:proofErr w:type="spellEnd"/>
      <w:r>
        <w:t>; ďalej konštatuje, že dotknutými prijímateľmi bude celkovo 390 prepustených pracovníkov, ktorí sa majú zúčastniť na opatreniach;</w:t>
      </w:r>
    </w:p>
    <w:p>
      <w:pPr>
        <w:pStyle w:val="Default"/>
        <w:spacing w:after="240"/>
        <w:ind w:left="567" w:hanging="567"/>
        <w:rPr>
          <w:color w:val="auto"/>
        </w:rPr>
      </w:pPr>
      <w:r>
        <w:rPr>
          <w:color w:val="auto"/>
        </w:rPr>
        <w:t>4.</w:t>
      </w:r>
      <w:r>
        <w:rPr>
          <w:color w:val="auto"/>
        </w:rPr>
        <w:tab/>
        <w:t>berie na vedomie, že väčšina prepustených pracovníkov má nízku úroveň formálnej kvalifikácie (46 %) alebo pomerne zastaranú kvalifikáciu a zručnosti (40 %);</w:t>
      </w:r>
      <w:r>
        <w:rPr>
          <w:color w:val="auto"/>
          <w:sz w:val="23"/>
        </w:rPr>
        <w:t xml:space="preserve"> </w:t>
      </w:r>
      <w:r>
        <w:rPr>
          <w:color w:val="auto"/>
        </w:rPr>
        <w:t xml:space="preserve">berie na vedomie, že 305 (41 %) prepustených pracovníkov má </w:t>
      </w:r>
      <w:proofErr w:type="spellStart"/>
      <w:r>
        <w:rPr>
          <w:color w:val="auto"/>
        </w:rPr>
        <w:t>migrantský</w:t>
      </w:r>
      <w:proofErr w:type="spellEnd"/>
      <w:r>
        <w:rPr>
          <w:color w:val="auto"/>
        </w:rPr>
        <w:t xml:space="preserve"> pôvod a dánčinu neovláda plynulo; v balíku EGF sa navrhujú aj opatrenia na zlepšenie všeobecných kompetencií vrátane zlepšenia jazykových zručností v dánčine; </w:t>
      </w:r>
    </w:p>
    <w:p>
      <w:pPr>
        <w:pStyle w:val="NormalHanging12a"/>
      </w:pPr>
      <w:r>
        <w:t>5.</w:t>
      </w:r>
      <w:r>
        <w:tab/>
        <w:t xml:space="preserve">víta, že Dánsko vypracovalo koordinovaný balík </w:t>
      </w:r>
      <w:proofErr w:type="spellStart"/>
      <w:r>
        <w:t>personalizovaných</w:t>
      </w:r>
      <w:proofErr w:type="spellEnd"/>
      <w:r>
        <w:t xml:space="preserve"> služieb po porade s dotknutými prijímateľmi, ich zástupcami a so sociálnymi partnermi; </w:t>
      </w:r>
    </w:p>
    <w:p>
      <w:pPr>
        <w:pStyle w:val="NormalHanging12a"/>
      </w:pPr>
      <w:r>
        <w:t>6.</w:t>
      </w:r>
      <w:r>
        <w:tab/>
        <w:t xml:space="preserve">pripomína, že </w:t>
      </w:r>
      <w:proofErr w:type="spellStart"/>
      <w:r>
        <w:t>personalizované</w:t>
      </w:r>
      <w:proofErr w:type="spellEnd"/>
      <w:r>
        <w:t xml:space="preserve"> služby, ktoré sa majú poskytnúť pracovníkom a samostatne zárobkovo činným osobám, pozostávajú z týchto opatrení: motivácia, udržanie motivácie, vzdelávanie a odborná príprava zamerané na všeobecné kompetencie, odborná príprava zameraná na zvyšovanie úrovne zručností/rekvalifikáciu a príspevok na odbornú prípravu/hľadanie zamestnania;</w:t>
      </w:r>
    </w:p>
    <w:p>
      <w:pPr>
        <w:pStyle w:val="NormalHanging12a"/>
      </w:pPr>
      <w:r>
        <w:t>7.</w:t>
      </w:r>
      <w:r>
        <w:tab/>
        <w:t xml:space="preserve">dôrazne víta skutočnosť, že ponuka odbornej prípravy bola vypracovaná na základe viacerých štúdií, ako sú </w:t>
      </w:r>
      <w:proofErr w:type="spellStart"/>
      <w:r>
        <w:t>Jobbarometer</w:t>
      </w:r>
      <w:proofErr w:type="spellEnd"/>
      <w:r>
        <w:t xml:space="preserve"> 2023 (analýza miestnych potrieb pracovnej sily v obciach </w:t>
      </w:r>
      <w:proofErr w:type="spellStart"/>
      <w:r>
        <w:t>Frederikshavn</w:t>
      </w:r>
      <w:proofErr w:type="spellEnd"/>
      <w:r>
        <w:t xml:space="preserve">, </w:t>
      </w:r>
      <w:proofErr w:type="spellStart"/>
      <w:r>
        <w:t>Hjørring</w:t>
      </w:r>
      <w:proofErr w:type="spellEnd"/>
      <w:r>
        <w:t xml:space="preserve">, </w:t>
      </w:r>
      <w:proofErr w:type="spellStart"/>
      <w:r>
        <w:t>Jammerbugt</w:t>
      </w:r>
      <w:proofErr w:type="spellEnd"/>
      <w:r>
        <w:t xml:space="preserve"> a </w:t>
      </w:r>
      <w:proofErr w:type="spellStart"/>
      <w:r>
        <w:t>Brønderslev</w:t>
      </w:r>
      <w:proofErr w:type="spellEnd"/>
      <w:r>
        <w:t xml:space="preserve">), dvojročná správa o rovnováhe na trhu práce, ktorá poskytuje prehľad možných voľných pracovných miest, a analýza FremKom4 o zručnostiach, a že jej cieľom je zvýšiť všeobecné kompetencie (vrátane jazykových zručností a matematickej gramotnosti), digitálne kompetencie a </w:t>
      </w:r>
      <w:r>
        <w:lastRenderedPageBreak/>
        <w:t>zlepšiť zručnosti potrebné pre pracovné miesta, v súvislosti s ktorými bol zaznamenaný nedostatok;</w:t>
      </w:r>
    </w:p>
    <w:p>
      <w:pPr>
        <w:pStyle w:val="NormalHanging12a"/>
      </w:pPr>
      <w:r>
        <w:t>8.</w:t>
      </w:r>
      <w:r>
        <w:tab/>
        <w:t xml:space="preserve">zdôrazňuje najmä význam článku 7 ods. 2 nariadenia o EGF, v ktorom sa vyžaduje, aby koordinovaný balík zohľadňoval budúce očakávané vyhliadky na trhu práce a požadované zručnosti, ktoré sú kompatibilné s prechodom na hospodárstvo, ktoré je udržateľné a efektívne z hľadiska využívania zdrojov, a to s osobitným zameraním na šírenie zručností potrebných v digitálnom priemyselnom veku; </w:t>
      </w:r>
    </w:p>
    <w:p>
      <w:pPr>
        <w:pStyle w:val="NormalHanging12a"/>
      </w:pPr>
      <w:r>
        <w:t>9.</w:t>
      </w:r>
      <w:r>
        <w:tab/>
        <w:t xml:space="preserve">poznamenáva, že Dánsko začalo poskytovať </w:t>
      </w:r>
      <w:proofErr w:type="spellStart"/>
      <w:r>
        <w:t>personalizované</w:t>
      </w:r>
      <w:proofErr w:type="spellEnd"/>
      <w:r>
        <w:t xml:space="preserve"> služby dotknutým prijímateľom 16. októbra 2023 a že obdobie oprávnenosti na finančný príspevok z EGF preto trvá od 16. októbra 2023 do dátumu 24 mesiacov odo dňa nadobudnutia účinnosti rozhodnutia o financovaní;</w:t>
      </w:r>
    </w:p>
    <w:p>
      <w:pPr>
        <w:pStyle w:val="NormalHanging12a"/>
        <w:rPr>
          <w:sz w:val="23"/>
          <w:szCs w:val="23"/>
        </w:rPr>
      </w:pPr>
      <w:r>
        <w:t>10.</w:t>
      </w:r>
      <w:r>
        <w:tab/>
        <w:t>poznamenáva, že Dánsku začali vznikať administratívne výdavky na využívanie EGF 1. júna 2023 a že výdavky na činnosti súvisiace s prípravou, riadením, informovanosťou a propagáciou, kontrolou a podávaním správ sú preto oprávnené na finančný príspevok z EGF od 1. júna 2023 do 31 mesiacov odo dňa nadobudnutia účinnosti rozhodnutia o financovaní;</w:t>
      </w:r>
    </w:p>
    <w:p>
      <w:pPr>
        <w:pStyle w:val="NormalHanging12a"/>
      </w:pPr>
      <w:r>
        <w:t>11.</w:t>
      </w:r>
      <w:r>
        <w:tab/>
        <w:t>zdôrazňuje, že dánske orgány potvrdili, že na oprávnené opatrenia sa neposkytuje pomoc z iných fondov ani finančných nástrojov Únie a že pri prístupe k navrhovaným opatreniam a pri ich vykonávaní sa bude dodržiavať zásada rovnakého zaobchádzania a nediskriminácie;</w:t>
      </w:r>
    </w:p>
    <w:p>
      <w:pPr>
        <w:pStyle w:val="NormalHanging12a"/>
      </w:pPr>
      <w:r>
        <w:t>12.</w:t>
      </w:r>
      <w:r>
        <w:tab/>
        <w:t xml:space="preserve">opakuje, že pomoc z EGF nesmie nahrádzať opatrenia, za ktoré sú zodpovedné podniky na základe vnútroštátnych právnych predpisov alebo kolektívnych zmlúv, ani žiadne príspevky alebo nároky pracovníkov, ktorí prišli o zamestnanie, aby sa v plnej miere zaistil doplnkový charakter pridelenej pomoci; </w:t>
      </w:r>
    </w:p>
    <w:p>
      <w:pPr>
        <w:pStyle w:val="NormalHanging12a"/>
        <w:rPr>
          <w:noProof/>
        </w:rPr>
      </w:pPr>
      <w:r>
        <w:t>13.</w:t>
      </w:r>
      <w:r>
        <w:tab/>
        <w:t>schvaľuje rozhodnutie, ktoré je uvedené v prílohe k tomuto uzneseniu;</w:t>
      </w:r>
    </w:p>
    <w:p>
      <w:pPr>
        <w:pStyle w:val="NormalHanging12a"/>
        <w:rPr>
          <w:noProof/>
        </w:rPr>
      </w:pPr>
      <w:r>
        <w:t>14.</w:t>
      </w:r>
      <w:r>
        <w:tab/>
        <w:t xml:space="preserve">poveruje svoju predsedníčku, aby podpísala toto rozhodnutie spoločne s predsedom Rady a aby zabezpečila jeho uverejnenie v </w:t>
      </w:r>
      <w:r>
        <w:rPr>
          <w:i/>
          <w:iCs/>
        </w:rPr>
        <w:t>Úradnom vestníku Európskej únie</w:t>
      </w:r>
      <w:r>
        <w:t>;</w:t>
      </w:r>
    </w:p>
    <w:p>
      <w:pPr>
        <w:pStyle w:val="NormalHanging12a"/>
      </w:pPr>
      <w:r>
        <w:t>15.</w:t>
      </w:r>
      <w:r>
        <w:tab/>
        <w:t>poveruje svoju predsedníčku, aby postúpila toto uznesenie spolu s prílohou Rade a Komisii.</w:t>
      </w:r>
    </w:p>
    <w:p>
      <w:pPr>
        <w:rPr>
          <w:noProof/>
        </w:rPr>
      </w:pPr>
    </w:p>
    <w:p>
      <w:pPr>
        <w:pStyle w:val="PageHeading"/>
        <w:rPr>
          <w:noProof/>
        </w:rPr>
        <w:sectPr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PageHeading"/>
        <w:jc w:val="right"/>
        <w:rPr>
          <w:rFonts w:ascii="Times New Roman" w:hAnsi="Times New Roman" w:cs="Times New Roman"/>
        </w:rPr>
      </w:pPr>
      <w:bookmarkStart w:id="8" w:name="_Toc164416709"/>
      <w:r>
        <w:rPr>
          <w:rFonts w:ascii="Times New Roman" w:hAnsi="Times New Roman" w:cs="Times New Roman"/>
        </w:rPr>
        <w:lastRenderedPageBreak/>
        <w:t>PRÍLOHA</w:t>
      </w:r>
    </w:p>
    <w:p>
      <w:pPr>
        <w:pStyle w:val="PageHeading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>ROZHODNUTIE EURÓPSKEHO PARLAMENTU A RADY</w:t>
      </w:r>
      <w:bookmarkEnd w:id="8"/>
    </w:p>
    <w:p>
      <w:pPr>
        <w:pStyle w:val="NormalBold24a"/>
        <w:jc w:val="center"/>
      </w:pPr>
      <w:r>
        <w:t>o mobilizácii Európskeho fondu na prispôsobenie sa globalizácii na pomoc pracovníkom, ktorí prišli o zamestnanie, na základe žiadosti Dánska – EGF/2023/004 DK/</w:t>
      </w:r>
      <w:proofErr w:type="spellStart"/>
      <w:r>
        <w:t>Danish</w:t>
      </w:r>
      <w:proofErr w:type="spellEnd"/>
      <w:r>
        <w:t xml:space="preserve"> </w:t>
      </w:r>
      <w:proofErr w:type="spellStart"/>
      <w:r>
        <w:t>Crown</w:t>
      </w:r>
      <w:bookmarkStart w:id="9" w:name="_GoBack"/>
      <w:bookmarkEnd w:id="9"/>
      <w:proofErr w:type="spellEnd"/>
    </w:p>
    <w:p>
      <w:pPr>
        <w:rPr>
          <w:i/>
          <w:iCs/>
        </w:rPr>
      </w:pPr>
      <w:r>
        <w:rPr>
          <w:bCs/>
          <w:i/>
          <w:iCs/>
        </w:rPr>
        <w:t>(Znenie tejto prílohy sa neuvádza, pretože zodpovedá konečnému aktu, rozhodnutiu (EÚ) 2024/1299.)</w:t>
      </w:r>
    </w:p>
    <w:p>
      <w:pPr>
        <w:pStyle w:val="NormalBold24a"/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PFooter"/>
    </w:pPr>
    <w:r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759.752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v02-00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 \* MERGEFORMAT ">
      <w:r>
        <w:rPr>
          <w:noProof/>
        </w:rPr>
        <w:t>7</w:t>
      </w:r>
    </w:fldSimple>
    <w:r>
      <w:tab/>
    </w:r>
    <w:r>
      <w:rPr>
        <w:rStyle w:val="HideTWBExt"/>
      </w:rPr>
      <w:t>&lt;PathFdR&gt;</w:t>
    </w:r>
    <w:r>
      <w:t>RR\1300714SK.docx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</w:p>
  <w:p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PFooter"/>
    </w:pPr>
    <w:r>
      <w:rPr>
        <w:rStyle w:val="HideTWBExt"/>
      </w:rPr>
      <w:t>&lt;PathFdR&gt;</w:t>
    </w:r>
    <w:r>
      <w:t>RR\1300714SK.docx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  <w:r>
      <w:tab/>
    </w:r>
    <w:r>
      <w:tab/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759.752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v02-00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</w:p>
  <w:p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L 153, 3.5.2021, s. 48.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L 433 I, 22.12.2020, s. 11.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</w:r>
      <w:r>
        <w:rPr>
          <w:sz w:val="24"/>
          <w:lang w:val="sk-SK"/>
        </w:rPr>
        <w:t xml:space="preserve">Ú. v. EÚ L, 2024/765, 29.2.2024, </w:t>
      </w:r>
      <w:r>
        <w:rPr>
          <w:rStyle w:val="Emphasis"/>
          <w:i w:val="0"/>
          <w:color w:val="333333"/>
          <w:sz w:val="24"/>
          <w:shd w:val="clear" w:color="auto" w:fill="FFFFFF"/>
          <w:lang w:val="fi-FI"/>
        </w:rPr>
        <w:t>ELI: http://data.europa.eu/eli/reg/2024/765/oj</w:t>
      </w:r>
      <w:r>
        <w:rPr>
          <w:rStyle w:val="Emphasis"/>
          <w:sz w:val="24"/>
          <w:shd w:val="clear" w:color="auto" w:fill="FFFFFF"/>
          <w:lang w:val="sk-SK"/>
        </w:rPr>
        <w:t>.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433 I, 22.12.2020, s. 28.</w:t>
      </w:r>
    </w:p>
  </w:footnote>
  <w:footnote w:id="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V zmysle článku 3 nariadenia o EGF.</w:t>
      </w:r>
    </w:p>
  </w:footnote>
  <w:footnote w:id="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37 prepustených pracovníkov spoločnosti </w:t>
      </w:r>
      <w:proofErr w:type="spellStart"/>
      <w:r>
        <w:rPr>
          <w:sz w:val="24"/>
          <w:lang w:val="sk-SK"/>
        </w:rPr>
        <w:t>TekniClean</w:t>
      </w:r>
      <w:proofErr w:type="spellEnd"/>
      <w:r>
        <w:rPr>
          <w:sz w:val="24"/>
          <w:lang w:val="sk-SK"/>
        </w:rPr>
        <w:t xml:space="preserve"> A/S a štyria prepustení pracovníci Dánskej veterinárnej a potravinovej správy.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1/2024"/>
    <w:docVar w:name="dvlangue" w:val="SK"/>
    <w:docVar w:name="dvnumam" w:val="0"/>
    <w:docVar w:name="dvpe" w:val="759.752"/>
    <w:docVar w:name="dvrapporteur" w:val="Spravodajca: "/>
    <w:docVar w:name="dvtitre" w:val="Uznesenie Európskeho parlamentu z xx. apríla 2024 o návrhu rozhodnutia Európskeho parlamentu a Rady o mobilizácii Európskeho fondu na prispôsobenie sa globalizácii na pomoc pracovníkom, ktorí prišli o zamestnanie, na základe žiadosti Dánska – EGF/2023/004 DK/Danish Crown(COM(2024)0035 – C9-0040/2024 – 2024/0044(BU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5CBEB-6A6A-4B89-A56B-BEB61ED7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NormalBold24a">
    <w:name w:val="NormalBold24a"/>
    <w:basedOn w:val="Normal"/>
    <w:pPr>
      <w:spacing w:after="480"/>
    </w:pPr>
    <w:rPr>
      <w:b/>
      <w:bCs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sk-SK"/>
    </w:rPr>
  </w:style>
  <w:style w:type="paragraph" w:customStyle="1" w:styleId="Institutionquisigne">
    <w:name w:val="Institution qui signe"/>
    <w:basedOn w:val="Normal"/>
    <w:next w:val="Normal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PageHeadingChar">
    <w:name w:val="PageHeading Char"/>
    <w:basedOn w:val="DefaultParagraphFont"/>
    <w:link w:val="PageHeading"/>
    <w:rPr>
      <w:rFonts w:ascii="Arial" w:hAnsi="Arial" w:cs="Arial"/>
      <w:b/>
      <w:sz w:val="24"/>
      <w:lang w:val="sk-SK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1326C-0524-4B52-BE14-DB6152BA8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1534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5</cp:revision>
  <cp:lastPrinted>2004-11-19T15:42:00Z</cp:lastPrinted>
  <dcterms:created xsi:type="dcterms:W3CDTF">2024-04-24T11:03:00Z</dcterms:created>
  <dcterms:modified xsi:type="dcterms:W3CDTF">2024-09-09T12:20:00Z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A9-0171/2024</vt:lpwstr>
  </property>
  <property fmtid="{D5CDD505-2E9C-101B-9397-08002B2CF9AE}" pid="4" name="&lt;Type&gt;">
    <vt:lpwstr>RR</vt:lpwstr>
  </property>
</Properties>
</file>