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06A1" w14:paraId="38B04022" w14:textId="77777777" w:rsidTr="0010095E">
        <w:trPr>
          <w:trHeight w:hRule="exact" w:val="1418"/>
        </w:trPr>
        <w:tc>
          <w:tcPr>
            <w:tcW w:w="6804" w:type="dxa"/>
            <w:shd w:val="clear" w:color="auto" w:fill="auto"/>
            <w:vAlign w:val="center"/>
          </w:tcPr>
          <w:p w14:paraId="1566E6C6" w14:textId="77777777" w:rsidR="00751A4A" w:rsidRPr="00E206A1" w:rsidRDefault="005D7A36" w:rsidP="0010095E">
            <w:pPr>
              <w:pStyle w:val="EPName"/>
            </w:pPr>
            <w:r w:rsidRPr="00E206A1">
              <w:t>Europaparlamentet</w:t>
            </w:r>
          </w:p>
          <w:p w14:paraId="27AFFD71" w14:textId="77777777" w:rsidR="00751A4A" w:rsidRPr="00E206A1" w:rsidRDefault="00817416" w:rsidP="00756632">
            <w:pPr>
              <w:pStyle w:val="EPTerm"/>
              <w:rPr>
                <w:rStyle w:val="HideTWBExt"/>
                <w:noProof w:val="0"/>
                <w:vanish w:val="0"/>
                <w:color w:val="auto"/>
              </w:rPr>
            </w:pPr>
            <w:r w:rsidRPr="00E206A1">
              <w:t>2019-2024</w:t>
            </w:r>
          </w:p>
        </w:tc>
        <w:tc>
          <w:tcPr>
            <w:tcW w:w="2268" w:type="dxa"/>
            <w:shd w:val="clear" w:color="auto" w:fill="auto"/>
          </w:tcPr>
          <w:p w14:paraId="259AA4C7" w14:textId="77777777" w:rsidR="00751A4A" w:rsidRPr="00E206A1" w:rsidRDefault="00187494" w:rsidP="0010095E">
            <w:pPr>
              <w:pStyle w:val="EPLogo"/>
            </w:pPr>
            <w:r w:rsidRPr="00E206A1">
              <w:rPr>
                <w:noProof/>
                <w:lang w:val="pl-PL" w:eastAsia="pl-PL"/>
              </w:rPr>
              <w:drawing>
                <wp:inline distT="0" distB="0" distL="0" distR="0" wp14:anchorId="205245D6" wp14:editId="0F4DEC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992A06" w14:textId="77777777" w:rsidR="00D058B8" w:rsidRPr="00E206A1" w:rsidRDefault="00D058B8" w:rsidP="004C5D52">
      <w:pPr>
        <w:pStyle w:val="LineTop"/>
      </w:pPr>
    </w:p>
    <w:p w14:paraId="7AEE0191" w14:textId="77777777" w:rsidR="00680577" w:rsidRPr="00E206A1" w:rsidRDefault="005D7A36" w:rsidP="00680577">
      <w:pPr>
        <w:pStyle w:val="EPBodyTA1"/>
      </w:pPr>
      <w:r w:rsidRPr="00E206A1">
        <w:t>ANTAGNA TEXTER</w:t>
      </w:r>
    </w:p>
    <w:p w14:paraId="17BF0C44" w14:textId="77777777" w:rsidR="00D058B8" w:rsidRPr="00E206A1" w:rsidRDefault="00D058B8" w:rsidP="00D058B8">
      <w:pPr>
        <w:pStyle w:val="LineBottom"/>
      </w:pPr>
    </w:p>
    <w:p w14:paraId="17465875" w14:textId="095A1ADE" w:rsidR="005D7A36" w:rsidRPr="00E206A1" w:rsidRDefault="005D7A36" w:rsidP="005D7A36">
      <w:pPr>
        <w:pStyle w:val="ATHeading1"/>
      </w:pPr>
      <w:bookmarkStart w:id="0" w:name="TANumber"/>
      <w:r w:rsidRPr="00E206A1">
        <w:t>P9_TA(2024)</w:t>
      </w:r>
      <w:r w:rsidRPr="00FF015A">
        <w:t>0</w:t>
      </w:r>
      <w:r w:rsidR="00FF015A" w:rsidRPr="00FF015A">
        <w:t>332</w:t>
      </w:r>
      <w:bookmarkEnd w:id="0"/>
    </w:p>
    <w:p w14:paraId="00BC4C7C" w14:textId="77777777" w:rsidR="005D7A36" w:rsidRPr="00E206A1" w:rsidRDefault="005D7A36" w:rsidP="005D7A36">
      <w:pPr>
        <w:pStyle w:val="ATHeading2"/>
      </w:pPr>
      <w:bookmarkStart w:id="1" w:name="title"/>
      <w:r w:rsidRPr="00E206A1">
        <w:t xml:space="preserve">Utnyttjande av Europeiska fonden för justering för globaliseringseffekter: ansökan EGF/2023/004 DK </w:t>
      </w:r>
      <w:proofErr w:type="spellStart"/>
      <w:r w:rsidRPr="00E206A1">
        <w:t>Danish</w:t>
      </w:r>
      <w:proofErr w:type="spellEnd"/>
      <w:r w:rsidRPr="00E206A1">
        <w:t xml:space="preserve"> Crown – Danmark</w:t>
      </w:r>
      <w:bookmarkEnd w:id="1"/>
    </w:p>
    <w:p w14:paraId="52CEEB91" w14:textId="77777777" w:rsidR="005D7A36" w:rsidRPr="00E206A1" w:rsidRDefault="005D7A36" w:rsidP="005D7A36">
      <w:pPr>
        <w:rPr>
          <w:i/>
          <w:vanish/>
        </w:rPr>
      </w:pPr>
      <w:r w:rsidRPr="00E206A1">
        <w:rPr>
          <w:i/>
        </w:rPr>
        <w:fldChar w:fldCharType="begin"/>
      </w:r>
      <w:r w:rsidRPr="00E206A1">
        <w:rPr>
          <w:i/>
        </w:rPr>
        <w:instrText xml:space="preserve"> TC"(</w:instrText>
      </w:r>
      <w:bookmarkStart w:id="2" w:name="DocNumber"/>
      <w:r w:rsidRPr="00E206A1">
        <w:rPr>
          <w:i/>
        </w:rPr>
        <w:instrText>A9-0171/2024</w:instrText>
      </w:r>
      <w:bookmarkEnd w:id="2"/>
      <w:r w:rsidRPr="00E206A1">
        <w:rPr>
          <w:i/>
        </w:rPr>
        <w:instrText xml:space="preserve"> - Föredragande: Janusz Lewandowski)"\l3 \n&gt; \* MERGEFORMAT </w:instrText>
      </w:r>
      <w:r w:rsidRPr="00E206A1">
        <w:rPr>
          <w:i/>
        </w:rPr>
        <w:fldChar w:fldCharType="end"/>
      </w:r>
    </w:p>
    <w:p w14:paraId="672FEE32" w14:textId="77777777" w:rsidR="005D7A36" w:rsidRPr="00E206A1" w:rsidRDefault="005D7A36" w:rsidP="005D7A36">
      <w:pPr>
        <w:rPr>
          <w:vanish/>
        </w:rPr>
      </w:pPr>
      <w:bookmarkStart w:id="3" w:name="Commission"/>
      <w:r w:rsidRPr="00E206A1">
        <w:rPr>
          <w:vanish/>
        </w:rPr>
        <w:t>Budgetutskottet</w:t>
      </w:r>
      <w:bookmarkEnd w:id="3"/>
    </w:p>
    <w:p w14:paraId="34D1D546" w14:textId="77777777" w:rsidR="005D7A36" w:rsidRPr="00E206A1" w:rsidRDefault="005D7A36" w:rsidP="005D7A36">
      <w:pPr>
        <w:rPr>
          <w:vanish/>
        </w:rPr>
      </w:pPr>
      <w:bookmarkStart w:id="4" w:name="PE"/>
      <w:r w:rsidRPr="00E206A1">
        <w:rPr>
          <w:vanish/>
        </w:rPr>
        <w:t>PE759.752</w:t>
      </w:r>
      <w:bookmarkEnd w:id="4"/>
    </w:p>
    <w:p w14:paraId="70EFA17D" w14:textId="5B5C1B3A" w:rsidR="005D7A36" w:rsidRPr="00E206A1" w:rsidRDefault="005D7A36" w:rsidP="005D7A36">
      <w:pPr>
        <w:pStyle w:val="ATHeading3"/>
      </w:pPr>
      <w:bookmarkStart w:id="5" w:name="Sujet"/>
      <w:r w:rsidRPr="00E206A1">
        <w:t xml:space="preserve">Europaparlamentets resolution av den </w:t>
      </w:r>
      <w:r w:rsidR="00E206A1" w:rsidRPr="00E206A1">
        <w:t>24</w:t>
      </w:r>
      <w:r w:rsidRPr="00E206A1">
        <w:t xml:space="preserve"> </w:t>
      </w:r>
      <w:r w:rsidR="00477E11" w:rsidRPr="00E206A1">
        <w:t>april</w:t>
      </w:r>
      <w:r w:rsidRPr="00E206A1">
        <w:t xml:space="preserve"> 2024 om förslaget till Europaparlamentets och rådets beslut om utnyttjande av Europeiska fonden för justering för globaliseringseffekter för uppsagda arbetstagare efter en ansökan från Danmark – EGF/2023/004 DK Danish Crown</w:t>
      </w:r>
      <w:bookmarkEnd w:id="5"/>
      <w:r w:rsidRPr="00E206A1">
        <w:t xml:space="preserve"> </w:t>
      </w:r>
      <w:bookmarkStart w:id="6" w:name="References"/>
      <w:r w:rsidRPr="00E206A1">
        <w:t>(COM(2024)0035 – C9-0040/2024 – 2024/0044(BUD))</w:t>
      </w:r>
      <w:bookmarkEnd w:id="6"/>
    </w:p>
    <w:p w14:paraId="3413280E" w14:textId="77777777" w:rsidR="00B11D54" w:rsidRPr="00E206A1" w:rsidRDefault="00B11D54" w:rsidP="00B11D54">
      <w:pPr>
        <w:pStyle w:val="EPComma"/>
        <w:widowControl/>
        <w:rPr>
          <w:noProof/>
        </w:rPr>
      </w:pPr>
      <w:bookmarkStart w:id="7" w:name="TextBodyBegin"/>
      <w:bookmarkEnd w:id="7"/>
      <w:r w:rsidRPr="00E206A1">
        <w:rPr>
          <w:i/>
        </w:rPr>
        <w:t>Europaparlamentet utfärdar denna resolution</w:t>
      </w:r>
    </w:p>
    <w:p w14:paraId="5DF46D70" w14:textId="77777777" w:rsidR="00B11D54" w:rsidRPr="00E206A1" w:rsidRDefault="00B11D54" w:rsidP="00B11D54">
      <w:pPr>
        <w:pStyle w:val="NormalHanging12a"/>
        <w:widowControl/>
        <w:rPr>
          <w:noProof/>
        </w:rPr>
      </w:pPr>
      <w:r w:rsidRPr="00E206A1">
        <w:t>–</w:t>
      </w:r>
      <w:r w:rsidRPr="00E206A1">
        <w:tab/>
        <w:t>med beaktande av kommissionens förslag till Europaparlamentet och rådet (COM(2024)0035 – C9</w:t>
      </w:r>
      <w:r w:rsidRPr="00E206A1">
        <w:noBreakHyphen/>
        <w:t>0040/2024),</w:t>
      </w:r>
    </w:p>
    <w:p w14:paraId="05173F0D" w14:textId="77777777" w:rsidR="00B11D54" w:rsidRPr="00E206A1" w:rsidRDefault="00B11D54" w:rsidP="00B11D54">
      <w:pPr>
        <w:pStyle w:val="NormalHanging12a"/>
        <w:widowControl/>
        <w:rPr>
          <w:noProof/>
        </w:rPr>
      </w:pPr>
      <w:r w:rsidRPr="00E206A1">
        <w:t>–</w:t>
      </w:r>
      <w:r w:rsidRPr="00E206A1">
        <w:tab/>
        <w:t>med beaktande av Europaparlamentets och rådets förordning (EU) 2021/691 av den 28 april 2021 om Europeiska fonden för justering för globaliseringseffekter för uppsagda arbetstagare (EGF) och om upphävande av förordning (EU) nr 1309/2013</w:t>
      </w:r>
      <w:r w:rsidRPr="00E206A1">
        <w:rPr>
          <w:rStyle w:val="FootnoteReference"/>
        </w:rPr>
        <w:footnoteReference w:id="1"/>
      </w:r>
      <w:r w:rsidRPr="00E206A1">
        <w:t xml:space="preserve"> (EGF-förordningen),</w:t>
      </w:r>
    </w:p>
    <w:p w14:paraId="67DA95A2" w14:textId="562171E8" w:rsidR="00B11D54" w:rsidRPr="00E206A1" w:rsidRDefault="00B11D54" w:rsidP="00B11D54">
      <w:pPr>
        <w:pStyle w:val="NormalHanging12a"/>
        <w:widowControl/>
        <w:rPr>
          <w:noProof/>
        </w:rPr>
      </w:pPr>
      <w:r w:rsidRPr="00E206A1">
        <w:t>–</w:t>
      </w:r>
      <w:r w:rsidRPr="00E206A1">
        <w:tab/>
        <w:t xml:space="preserve">med beaktande av rådets förordning (EU, Euratom) </w:t>
      </w:r>
      <w:bookmarkStart w:id="8" w:name="_GoBack"/>
      <w:bookmarkEnd w:id="8"/>
      <w:r w:rsidRPr="00E206A1">
        <w:t>2020/2093 av den 17 december 2020 om den fleråriga budgetramen 2021–2027</w:t>
      </w:r>
      <w:r w:rsidRPr="00E206A1">
        <w:rPr>
          <w:rStyle w:val="FootnoteReference"/>
          <w:noProof/>
        </w:rPr>
        <w:footnoteReference w:id="2"/>
      </w:r>
      <w:r w:rsidRPr="00E206A1">
        <w:t xml:space="preserve">, ändrad genom </w:t>
      </w:r>
      <w:r w:rsidR="000E3651" w:rsidRPr="00E206A1">
        <w:t xml:space="preserve">rådets </w:t>
      </w:r>
      <w:r w:rsidRPr="00E206A1">
        <w:t>förordning (EU, Euratom) 2024/765</w:t>
      </w:r>
      <w:r w:rsidR="000E3651" w:rsidRPr="00E206A1">
        <w:t xml:space="preserve"> av den 29 februari 2024 om ändring av förordning (EU, Euratom) 2020/2093 om den fleråriga budgetramen 2021–2027</w:t>
      </w:r>
      <w:r w:rsidRPr="00E206A1">
        <w:rPr>
          <w:rStyle w:val="FootnoteReference"/>
          <w:bdr w:val="none" w:sz="0" w:space="0" w:color="auto" w:frame="1"/>
        </w:rPr>
        <w:footnoteReference w:id="3"/>
      </w:r>
      <w:r w:rsidRPr="00E206A1">
        <w:t>, särskilt artikel 8,</w:t>
      </w:r>
    </w:p>
    <w:p w14:paraId="47AB65BB" w14:textId="77777777" w:rsidR="00B11D54" w:rsidRPr="00E206A1" w:rsidRDefault="00B11D54" w:rsidP="00B11D54">
      <w:pPr>
        <w:pStyle w:val="NormalHanging12a"/>
        <w:widowControl/>
        <w:rPr>
          <w:noProof/>
        </w:rPr>
      </w:pPr>
      <w:r w:rsidRPr="00E206A1">
        <w:t>–</w:t>
      </w:r>
      <w:r w:rsidRPr="00E206A1">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E206A1">
        <w:rPr>
          <w:rStyle w:val="FootnoteReference"/>
          <w:noProof/>
        </w:rPr>
        <w:footnoteReference w:id="4"/>
      </w:r>
      <w:r w:rsidRPr="00E206A1">
        <w:t>, särskilt punkt 12,</w:t>
      </w:r>
    </w:p>
    <w:p w14:paraId="156A96C5" w14:textId="77777777" w:rsidR="00B11D54" w:rsidRPr="00E206A1" w:rsidRDefault="00B11D54" w:rsidP="00B11D54">
      <w:pPr>
        <w:pStyle w:val="NormalHanging12a"/>
        <w:widowControl/>
        <w:rPr>
          <w:noProof/>
        </w:rPr>
      </w:pPr>
      <w:r w:rsidRPr="00E206A1">
        <w:t>–</w:t>
      </w:r>
      <w:r w:rsidRPr="00E206A1">
        <w:tab/>
        <w:t>med beaktande av skrivelsen från utskottet för sysselsättning och sociala frågor,</w:t>
      </w:r>
    </w:p>
    <w:p w14:paraId="3526C342" w14:textId="77777777" w:rsidR="00B11D54" w:rsidRPr="00E206A1" w:rsidRDefault="00B11D54" w:rsidP="00B11D54">
      <w:pPr>
        <w:pStyle w:val="NormalHanging12a"/>
        <w:widowControl/>
      </w:pPr>
      <w:r w:rsidRPr="00E206A1">
        <w:lastRenderedPageBreak/>
        <w:t>–</w:t>
      </w:r>
      <w:r w:rsidRPr="00E206A1">
        <w:tab/>
        <w:t>med beaktande av betänkandet från budgetutskottet (A9-0171/2024), och av följande skäl:</w:t>
      </w:r>
    </w:p>
    <w:p w14:paraId="2B1D7D97" w14:textId="77777777" w:rsidR="00B11D54" w:rsidRPr="00E206A1" w:rsidRDefault="00B11D54" w:rsidP="00B11D54">
      <w:pPr>
        <w:pStyle w:val="NormalHanging12a"/>
        <w:widowControl/>
        <w:rPr>
          <w:noProof/>
        </w:rPr>
      </w:pPr>
      <w:r w:rsidRPr="00E206A1">
        <w:t>A.</w:t>
      </w:r>
      <w:r w:rsidRPr="00E206A1">
        <w:tab/>
        <w:t>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stöd ges genom ekonomiskt stöd till arbetstagare och till de företag som de har arbetat för.</w:t>
      </w:r>
    </w:p>
    <w:p w14:paraId="2567CFB1" w14:textId="77777777" w:rsidR="00B11D54" w:rsidRPr="00E206A1" w:rsidRDefault="00B11D54" w:rsidP="00B11D54">
      <w:pPr>
        <w:widowControl/>
        <w:spacing w:after="240"/>
        <w:ind w:left="567" w:hanging="567"/>
      </w:pPr>
      <w:r w:rsidRPr="00E206A1">
        <w:t>B.</w:t>
      </w:r>
      <w:r w:rsidRPr="00E206A1">
        <w:tab/>
        <w:t>Danmark lämnade in ansökan EGF/2023/004 DK/Danish Crown om ekonomiskt bidrag från Europeiska fonden för justering för globaliseringseffekter (EGF) till följd av totalt 751 uppsägningar</w:t>
      </w:r>
      <w:r w:rsidRPr="00E206A1">
        <w:rPr>
          <w:rStyle w:val="FootnoteReference"/>
        </w:rPr>
        <w:footnoteReference w:id="5"/>
      </w:r>
      <w:r w:rsidRPr="00E206A1">
        <w:t xml:space="preserve"> inom den näringsgren som i Nace rev. 2 klassificeras som huvudgrupp 10 (Livsmedelstillverkning) i regionen Nordjylland, med 692 uppsägningar under en referensperiod för ansökan från den 19 maj 2023 till den 19 september 2023, och 59 uppsägningar före eller efter referensperioden.</w:t>
      </w:r>
    </w:p>
    <w:p w14:paraId="1A9777DE" w14:textId="7575167E" w:rsidR="00B11D54" w:rsidRPr="00E206A1" w:rsidRDefault="00B11D54" w:rsidP="00B11D54">
      <w:pPr>
        <w:pStyle w:val="NormalHanging12a"/>
        <w:widowControl/>
      </w:pPr>
      <w:r w:rsidRPr="00E206A1">
        <w:t>C.</w:t>
      </w:r>
      <w:r w:rsidRPr="00E206A1">
        <w:tab/>
        <w:t>Ansökan gäller 692 uppsagda arbetstagare under referensperioden, 651 uppsagda arbetstagare vars verksamhet vid Danish Crown (Danish Crown A/S) har upphört samt 41 uppsagda arbetstagare vid två av Danish Crowns underleverantörer och producenter i efterföljande produktionsled</w:t>
      </w:r>
      <w:r w:rsidRPr="00E206A1">
        <w:rPr>
          <w:rStyle w:val="FootnoteReference"/>
        </w:rPr>
        <w:footnoteReference w:id="6"/>
      </w:r>
      <w:r w:rsidRPr="00E206A1">
        <w:t>.</w:t>
      </w:r>
    </w:p>
    <w:p w14:paraId="3FDE4CD3" w14:textId="27ECE7D8" w:rsidR="00B11D54" w:rsidRPr="00E206A1" w:rsidRDefault="00B11D54" w:rsidP="00B11D54">
      <w:pPr>
        <w:pStyle w:val="NormalHanging12a"/>
        <w:widowControl/>
      </w:pPr>
      <w:r w:rsidRPr="00E206A1">
        <w:t>D.</w:t>
      </w:r>
      <w:r w:rsidRPr="00E206A1">
        <w:tab/>
        <w:t>Ansökan gäller uppsägningar av 59 arbetstagare vars verksamhet upphörde före eller efter referensperioden på fyra månader, där ett tydligt orsakssamband kan fastställas med den händelse som ledde till att verksamheten upphörde för de uppsagda arbetstagarna under referensperioden på det sätt som krävs enligt artikel 6.2 i EGF</w:t>
      </w:r>
      <w:r w:rsidRPr="00E206A1">
        <w:noBreakHyphen/>
        <w:t>förordningen.</w:t>
      </w:r>
      <w:r w:rsidRPr="00E206A1">
        <w:rPr>
          <w:sz w:val="23"/>
        </w:rPr>
        <w:t xml:space="preserve"> </w:t>
      </w:r>
    </w:p>
    <w:p w14:paraId="4E3617F0" w14:textId="77777777" w:rsidR="00B11D54" w:rsidRPr="00E206A1" w:rsidRDefault="00B11D54" w:rsidP="00B11D54">
      <w:pPr>
        <w:pStyle w:val="NormalHanging12a"/>
        <w:widowControl/>
      </w:pPr>
      <w:r w:rsidRPr="00E206A1">
        <w:t>E.</w:t>
      </w:r>
      <w:r w:rsidRPr="00E206A1">
        <w:tab/>
        <w:t>Ansökan grundas på insatskriteriet i artikel 4.2 a i EGF-förordningen, enligt vilket minst 200 arbetstagare ska ha blivit uppsagda under en referensperiod på fyra månader i ett företag i en medlemsstat. Detta omfattar även arbetstagare som har blivit uppsagda av underleverantörer eller producenter i efterföljande produktionsled och/eller egenföretagare vars verksamhet har upphört.</w:t>
      </w:r>
    </w:p>
    <w:p w14:paraId="0C413180" w14:textId="77777777" w:rsidR="00B11D54" w:rsidRPr="00E206A1" w:rsidRDefault="00B11D54" w:rsidP="00B11D54">
      <w:pPr>
        <w:pStyle w:val="NormalHanging12a"/>
        <w:widowControl/>
      </w:pPr>
      <w:r w:rsidRPr="00E206A1">
        <w:t>F.</w:t>
      </w:r>
      <w:r w:rsidRPr="00E206A1">
        <w:tab/>
        <w:t>Den danska slakterisektorn befinner sig i en strukturell kris.</w:t>
      </w:r>
      <w:r w:rsidRPr="00E206A1">
        <w:rPr>
          <w:sz w:val="23"/>
        </w:rPr>
        <w:t xml:space="preserve"> Sedan 2005 har antalet slaktade grisar i Danmark minskat med 4,4 miljoner (20 %). Minskningen beror till stor del på övergången från uppfödning av slaktsvin till uppfödning av smågrisar för export. </w:t>
      </w:r>
      <w:r w:rsidRPr="00E206A1">
        <w:t>Export av smågrisar är mer lönsamt för danska jordbrukare än slaktsvin på grund av låga priser på griskött.</w:t>
      </w:r>
    </w:p>
    <w:p w14:paraId="3C14B0C6" w14:textId="77777777" w:rsidR="00B11D54" w:rsidRPr="00E206A1" w:rsidRDefault="00B11D54" w:rsidP="00B11D54">
      <w:pPr>
        <w:pStyle w:val="NormalHanging12a"/>
        <w:widowControl/>
        <w:rPr>
          <w:rFonts w:eastAsia="Calibri"/>
          <w:szCs w:val="22"/>
        </w:rPr>
      </w:pPr>
      <w:r w:rsidRPr="00E206A1">
        <w:t>G.</w:t>
      </w:r>
      <w:r w:rsidRPr="00E206A1">
        <w:tab/>
      </w:r>
      <w:r w:rsidRPr="00E206A1">
        <w:rPr>
          <w:sz w:val="23"/>
        </w:rPr>
        <w:t xml:space="preserve">Danish Crown är en grupp danska livsmedelsföretag som ägnar sig åt slakt, bearbetning och försäljning av främst griskött och nötkött. </w:t>
      </w:r>
      <w:r w:rsidRPr="00E206A1">
        <w:t>Den händelse som ledde till dessa uppsägningar är nedläggningen av Danish Crowns slakteri i Sæby i Fredrikshamns kommun efter att antalet grisar som kan slaktas hade minskat.</w:t>
      </w:r>
    </w:p>
    <w:p w14:paraId="00CE7B64" w14:textId="77777777" w:rsidR="00B11D54" w:rsidRPr="00E206A1" w:rsidRDefault="00B11D54" w:rsidP="00B11D54">
      <w:pPr>
        <w:pStyle w:val="NormalHanging12a"/>
        <w:widowControl/>
      </w:pPr>
      <w:r w:rsidRPr="00E206A1">
        <w:t>H.</w:t>
      </w:r>
      <w:r w:rsidRPr="00E206A1">
        <w:tab/>
        <w:t>De krav som rör kollektiva uppsägningar i den nationella lagstiftningen och i unionens lagstiftning är uppfyllda.</w:t>
      </w:r>
    </w:p>
    <w:p w14:paraId="0C606E8B" w14:textId="77777777" w:rsidR="00B11D54" w:rsidRPr="00E206A1" w:rsidRDefault="00B11D54" w:rsidP="00B11D54">
      <w:pPr>
        <w:pStyle w:val="NormalHanging12a"/>
        <w:widowControl/>
      </w:pPr>
      <w:r w:rsidRPr="00E206A1">
        <w:lastRenderedPageBreak/>
        <w:t>I.</w:t>
      </w:r>
      <w:r w:rsidRPr="00E206A1">
        <w:tab/>
        <w:t>Ekonomiskt stöd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grönare och mer digital europeisk ekonomi.</w:t>
      </w:r>
    </w:p>
    <w:p w14:paraId="6A7D7B59" w14:textId="77777777" w:rsidR="00B11D54" w:rsidRPr="00E206A1" w:rsidRDefault="00B11D54" w:rsidP="00B11D54">
      <w:pPr>
        <w:pStyle w:val="NormalHanging12a"/>
        <w:widowControl/>
      </w:pPr>
      <w:r w:rsidRPr="00E206A1">
        <w:t>J.</w:t>
      </w:r>
      <w:r w:rsidRPr="00E206A1">
        <w:tab/>
        <w:t>Revideringen av den fleråriga budgetramen minskar det högsta årliga beloppet för EGF från 186 miljoner EUR till 30 miljoner EUR (i 2018 års priser), i enlighet med artikel 8 i rådets förordning (EU, Euratom) 2020/2093, ändrad genom förordning (EU, Euratom) 2024/765. Kommissionen bör övervaka genomförandet av EGF och alla institutioner bör vidta de åtgärder som krävs för att se till att man som ett uttryck för unionens solidaritet kan tillgodose alla motiverade ansökningar om stöd från EGF.</w:t>
      </w:r>
    </w:p>
    <w:p w14:paraId="6AF1FB28" w14:textId="77777777" w:rsidR="00B11D54" w:rsidRPr="00E206A1" w:rsidRDefault="00B11D54" w:rsidP="00B11D54">
      <w:pPr>
        <w:pStyle w:val="NormalHanging12a"/>
        <w:widowControl/>
      </w:pPr>
      <w:r w:rsidRPr="00E206A1">
        <w:t>1.</w:t>
      </w:r>
      <w:r w:rsidRPr="00E206A1">
        <w:tab/>
        <w:t>Europaparlamentet delar kommissionens åsikt att villkoren i artikel 4.2 a i EGF</w:t>
      </w:r>
      <w:r w:rsidRPr="00E206A1">
        <w:noBreakHyphen/>
        <w:t>förordningen är uppfyllda och att Danmark är berättigat till ett ekonomiskt stöd på 1 882 212 EUR enligt den förordningen, vilket utgör 60 % av de totala kostnaderna på 3 137 021 EUR, inbegripet utgifter för individanpassade tjänster på 2 878 001 EUR och utgifter för förberedande åtgärder samt för förvaltning, information och marknadsföring, kontroll och rapportering på 259 020 EUR.</w:t>
      </w:r>
    </w:p>
    <w:p w14:paraId="603D0C64" w14:textId="77777777" w:rsidR="00B11D54" w:rsidRPr="00E206A1" w:rsidRDefault="00B11D54" w:rsidP="00B11D54">
      <w:pPr>
        <w:pStyle w:val="NormalHanging12a"/>
        <w:widowControl/>
      </w:pPr>
      <w:r w:rsidRPr="00E206A1">
        <w:t>2.</w:t>
      </w:r>
      <w:r w:rsidRPr="00E206A1">
        <w:tab/>
        <w:t xml:space="preserve">Europaparlamentet noterar att de danska myndigheterna lämnade in ansökan den 6 december 2023 och att kommissionen, utifrån den ytterligare information som Danmark lämnade, slutförde sin bedömning den 29 februari 2024 och underrättade parlamentet samma dag. </w:t>
      </w:r>
    </w:p>
    <w:p w14:paraId="211130AC" w14:textId="77777777" w:rsidR="00B11D54" w:rsidRPr="00E206A1" w:rsidRDefault="00B11D54" w:rsidP="00B11D54">
      <w:pPr>
        <w:pStyle w:val="NormalHanging12a"/>
        <w:widowControl/>
      </w:pPr>
      <w:r w:rsidRPr="00E206A1">
        <w:t>3.</w:t>
      </w:r>
      <w:r w:rsidRPr="00E206A1">
        <w:tab/>
        <w:t>Europaparlamentet noterar att ansökan gäller 751 uppsagda arbetstagare som drabbats av nedläggningen av Danish Crowns slakteri i Sæby. Parlamentet noterar vidare att totalt 390 uppsagda arbetstagare kommer att vara berörda stödmottagare och förväntas delta i åtgärderna.</w:t>
      </w:r>
    </w:p>
    <w:p w14:paraId="2B84EFE2" w14:textId="77777777" w:rsidR="00B11D54" w:rsidRPr="00E206A1" w:rsidRDefault="00B11D54" w:rsidP="00B11D54">
      <w:pPr>
        <w:pStyle w:val="Default"/>
        <w:spacing w:after="240"/>
        <w:ind w:left="567" w:hanging="567"/>
        <w:rPr>
          <w:color w:val="auto"/>
        </w:rPr>
      </w:pPr>
      <w:r w:rsidRPr="00E206A1">
        <w:rPr>
          <w:color w:val="auto"/>
        </w:rPr>
        <w:t>4.</w:t>
      </w:r>
      <w:r w:rsidRPr="00E206A1">
        <w:rPr>
          <w:color w:val="auto"/>
        </w:rPr>
        <w:tab/>
        <w:t>Europaparlamentet noterar att de flesta av de uppsagda arbetstagarna har låga formella kvalifikationer (46 %) eller snarare föråldrade kvalifikationer och färdigheter (40 %).</w:t>
      </w:r>
      <w:r w:rsidRPr="00E206A1">
        <w:rPr>
          <w:color w:val="auto"/>
          <w:sz w:val="23"/>
        </w:rPr>
        <w:t xml:space="preserve"> </w:t>
      </w:r>
      <w:r w:rsidRPr="00E206A1">
        <w:rPr>
          <w:color w:val="auto"/>
        </w:rPr>
        <w:t xml:space="preserve">Parlamentet konstaterar att 305 (41 %) av de uppsagda arbetstagarna har invandrarbakgrund och talar inte flytande danska. I EGF-paketet föreslås också åtgärder för att förbättra den allmänna kompetensen, bland annat genom att förbättra kunskaperna i danska. </w:t>
      </w:r>
    </w:p>
    <w:p w14:paraId="25F369D3" w14:textId="77777777" w:rsidR="00B11D54" w:rsidRPr="00E206A1" w:rsidRDefault="00B11D54" w:rsidP="00B11D54">
      <w:pPr>
        <w:pStyle w:val="NormalHanging12a"/>
        <w:widowControl/>
      </w:pPr>
      <w:r w:rsidRPr="00E206A1">
        <w:t>5.</w:t>
      </w:r>
      <w:r w:rsidRPr="00E206A1">
        <w:tab/>
        <w:t xml:space="preserve">Europaparlamentet välkomnar att det samordnade paketet av individanpassade tjänster togs fram av Danmark i samråd med företrädare för de berörda stödmottagarna, deras företrädare och arbetsmarknadens parter. </w:t>
      </w:r>
    </w:p>
    <w:p w14:paraId="062F8A63" w14:textId="77777777" w:rsidR="00B11D54" w:rsidRPr="00E206A1" w:rsidRDefault="00B11D54" w:rsidP="00B11D54">
      <w:pPr>
        <w:pStyle w:val="NormalHanging12a"/>
        <w:widowControl/>
      </w:pPr>
      <w:r w:rsidRPr="00E206A1">
        <w:t>6.</w:t>
      </w:r>
      <w:r w:rsidRPr="00E206A1">
        <w:tab/>
        <w:t>Europaparlamentet påminner om att de individanpassade tjänster som kommer att erbjudas arbetstagare och egenföretagare består av följande åtgärder: motivation, bibehållande, utbildning i allmän kompetens, kompetenshöjning/omskolning och utbildnings-/jobbsökarbidrag.</w:t>
      </w:r>
    </w:p>
    <w:p w14:paraId="68DCBD6C" w14:textId="77777777" w:rsidR="00B11D54" w:rsidRPr="00E206A1" w:rsidRDefault="00B11D54" w:rsidP="00E206A1">
      <w:pPr>
        <w:pStyle w:val="NormalHanging12a"/>
        <w:widowControl/>
      </w:pPr>
      <w:r w:rsidRPr="00E206A1">
        <w:t>7.</w:t>
      </w:r>
      <w:r w:rsidRPr="00E206A1">
        <w:tab/>
        <w:t xml:space="preserve">Europaparlamentet välkomnar varmt att utbildningsutbudet togs fram med beaktande av flera studier, såsom Jobbarometer 2023 (en analys av lokala arbetskraftsbehov i Fredrikshamn, Hjørring, Jammerbugt och Brønderslev), den tvååriga arbetsmarknadsbalansen som ger en översikt över möjliga sysselsättningsmöjligheter och FremKom4-analysen av kompetenser, och att syftet är att öka de allmänna </w:t>
      </w:r>
      <w:r w:rsidRPr="00E206A1">
        <w:lastRenderedPageBreak/>
        <w:t>färdigheterna (inbegripet språk och räkning), de digitala färdigheterna och kompetensförbättringen för arbetstillfällen med kompetensbrist.</w:t>
      </w:r>
    </w:p>
    <w:p w14:paraId="15FBDB5C" w14:textId="77777777" w:rsidR="00B11D54" w:rsidRPr="00E206A1" w:rsidRDefault="00B11D54" w:rsidP="00555CA6">
      <w:pPr>
        <w:pStyle w:val="NormalHanging12a"/>
        <w:widowControl/>
      </w:pPr>
      <w:r w:rsidRPr="00E206A1">
        <w:t>8.</w:t>
      </w:r>
      <w:r w:rsidRPr="00E206A1">
        <w:tab/>
        <w:t xml:space="preserve">Europaparlamentet framhåller särskilt artikel 7.2 i EGF-förordningen, enligt vilken det samordnade paketet ska utformas med beaktande av de framtida arbetsmarknadsutsikterna och kompetensbehoven, vara förenligt med övergången till en resurseffektiv och hållbar ekonomi, och inriktas på förmedling av de färdigheter som krävs i den digitala industriella tidsåldern. </w:t>
      </w:r>
    </w:p>
    <w:p w14:paraId="7A1B0D8B" w14:textId="77777777" w:rsidR="00B11D54" w:rsidRPr="00E206A1" w:rsidRDefault="00B11D54" w:rsidP="00B11D54">
      <w:pPr>
        <w:pStyle w:val="NormalHanging12a"/>
        <w:widowControl/>
      </w:pPr>
      <w:r w:rsidRPr="00E206A1">
        <w:t>9.</w:t>
      </w:r>
      <w:r w:rsidRPr="00E206A1">
        <w:tab/>
        <w:t>Europarlamentet noterar att Danmark började tillhandahålla individanpassade tjänster till de berörda stödmottagarna den 16 oktober 2023 och att perioden för berättigande till ekonomiskt bidrag från EGF därför kommer att löpa från och med den 16 oktober 2023 till och med 24 månader efter den dag då beslutet om det ekonomiska bidraget träder i kraft.</w:t>
      </w:r>
    </w:p>
    <w:p w14:paraId="7AE38561" w14:textId="77777777" w:rsidR="00B11D54" w:rsidRPr="00E206A1" w:rsidRDefault="00B11D54" w:rsidP="00B11D54">
      <w:pPr>
        <w:pStyle w:val="NormalHanging12a"/>
        <w:widowControl/>
        <w:rPr>
          <w:sz w:val="23"/>
          <w:szCs w:val="23"/>
        </w:rPr>
      </w:pPr>
      <w:r w:rsidRPr="00E206A1">
        <w:t>10.</w:t>
      </w:r>
      <w:r w:rsidRPr="00E206A1">
        <w:tab/>
        <w:t>Europaparlamentet noterar att Danmark började ådra sig de administrativa kostnaderna för att genomföra EGF den 1 juni 2023, och att utgifterna för förberedande åtgärder, förvaltning, information och marknadsföring samt kontroll och rapportering därför ska berättiga till ekonomiskt bidrag från EGF från och med den 1 juni 2023 till och med 31 månader efter den dag då beslutet om det ekonomiska bidraget träder i kraft.</w:t>
      </w:r>
    </w:p>
    <w:p w14:paraId="0580CC0F" w14:textId="77777777" w:rsidR="00B11D54" w:rsidRPr="00E206A1" w:rsidRDefault="00B11D54" w:rsidP="00B11D54">
      <w:pPr>
        <w:pStyle w:val="NormalHanging12a"/>
        <w:widowControl/>
      </w:pPr>
      <w:r w:rsidRPr="00E206A1">
        <w:t>11.</w:t>
      </w:r>
      <w:r w:rsidRPr="00E206A1">
        <w:tab/>
        <w:t>Europaparlamentet betonar att de danska myndigheterna har bekräftat att de stödberättigande åtgärderna inte får stöd från andra av unionens fonder eller finansieringsinstrument, och att principerna om likabehandling och icke-diskriminering kommer att respekteras när det gäller tillgången till de föreslagna åtgärderna och deras genomförande.</w:t>
      </w:r>
    </w:p>
    <w:p w14:paraId="39210BA1" w14:textId="77777777" w:rsidR="00B11D54" w:rsidRPr="00E206A1" w:rsidRDefault="00B11D54" w:rsidP="00B11D54">
      <w:pPr>
        <w:pStyle w:val="NormalHanging12a"/>
        <w:widowControl/>
      </w:pPr>
      <w:r w:rsidRPr="00E206A1">
        <w:t>12.</w:t>
      </w:r>
      <w:r w:rsidRPr="00E206A1">
        <w:tab/>
        <w:t xml:space="preserve">Europaparlamentet påminner om att bidrag från EGF inte får ersätta åtgärder som åligger företagen enligt nationell rätt eller kollektivavtal, och inte heller de uppsagda arbetstagarnas ersättningar eller rättigheter för att till fullo säkerställa bidragets additionalitet. </w:t>
      </w:r>
    </w:p>
    <w:p w14:paraId="43C7F176" w14:textId="77777777" w:rsidR="00B11D54" w:rsidRPr="00E206A1" w:rsidRDefault="00B11D54" w:rsidP="00B11D54">
      <w:pPr>
        <w:pStyle w:val="NormalHanging12a"/>
        <w:widowControl/>
        <w:rPr>
          <w:noProof/>
        </w:rPr>
      </w:pPr>
      <w:r w:rsidRPr="00E206A1">
        <w:t>13.</w:t>
      </w:r>
      <w:r w:rsidRPr="00E206A1">
        <w:tab/>
        <w:t>Europaparlamentet godkänner det bifogade beslutet.</w:t>
      </w:r>
    </w:p>
    <w:p w14:paraId="68870AC4" w14:textId="77777777" w:rsidR="00B11D54" w:rsidRPr="00E206A1" w:rsidRDefault="00B11D54" w:rsidP="00B11D54">
      <w:pPr>
        <w:pStyle w:val="NormalHanging12a"/>
        <w:widowControl/>
        <w:rPr>
          <w:noProof/>
        </w:rPr>
      </w:pPr>
      <w:r w:rsidRPr="00E206A1">
        <w:t>14.</w:t>
      </w:r>
      <w:r w:rsidRPr="00E206A1">
        <w:tab/>
        <w:t xml:space="preserve">Europaparlamentet uppdrar åt talmannen att tillsammans med rådets ordförande underteckna beslutet och se till att det offentliggörs i </w:t>
      </w:r>
      <w:r w:rsidRPr="00E206A1">
        <w:rPr>
          <w:i/>
        </w:rPr>
        <w:t>Europeiska unionens officiella tidning</w:t>
      </w:r>
      <w:r w:rsidRPr="00E206A1">
        <w:t>.</w:t>
      </w:r>
    </w:p>
    <w:p w14:paraId="1FB4E54F" w14:textId="77777777" w:rsidR="00B11D54" w:rsidRPr="00E206A1" w:rsidRDefault="00B11D54" w:rsidP="00B11D54">
      <w:pPr>
        <w:pStyle w:val="NormalHanging12a"/>
        <w:widowControl/>
      </w:pPr>
      <w:r w:rsidRPr="00E206A1">
        <w:t>15.</w:t>
      </w:r>
      <w:r w:rsidRPr="00E206A1">
        <w:tab/>
        <w:t>Europaparlamentet uppdrar åt talmannen att översända denna resolution med bilaga till rådet och kommissionen.</w:t>
      </w:r>
    </w:p>
    <w:p w14:paraId="79CDD4F2" w14:textId="77777777" w:rsidR="00B11D54" w:rsidRPr="00E206A1" w:rsidRDefault="00B11D54" w:rsidP="00B11D54">
      <w:pPr>
        <w:widowControl/>
        <w:rPr>
          <w:noProof/>
        </w:rPr>
      </w:pPr>
    </w:p>
    <w:p w14:paraId="686F5287" w14:textId="77777777" w:rsidR="00B11D54" w:rsidRPr="00E206A1" w:rsidRDefault="00B11D54" w:rsidP="00B11D54">
      <w:pPr>
        <w:pStyle w:val="PageHeading"/>
        <w:widowControl/>
        <w:rPr>
          <w:noProof/>
        </w:rPr>
        <w:sectPr w:rsidR="00B11D54" w:rsidRPr="00E206A1" w:rsidSect="0066328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4763982" w14:textId="77777777" w:rsidR="00AC7CA9" w:rsidRPr="00AC7CA9" w:rsidRDefault="00B11D54" w:rsidP="00B11D54">
      <w:pPr>
        <w:pStyle w:val="PageHeading"/>
        <w:widowControl/>
        <w:rPr>
          <w:rFonts w:ascii="Times New Roman" w:hAnsi="Times New Roman" w:cs="Times New Roman"/>
        </w:rPr>
      </w:pPr>
      <w:bookmarkStart w:id="9" w:name="_Toc164345477"/>
      <w:r w:rsidRPr="00AC7CA9">
        <w:rPr>
          <w:rFonts w:ascii="Times New Roman" w:hAnsi="Times New Roman" w:cs="Times New Roman"/>
        </w:rPr>
        <w:lastRenderedPageBreak/>
        <w:t>BILAGA</w:t>
      </w:r>
    </w:p>
    <w:p w14:paraId="11BE06BF" w14:textId="0809A11B" w:rsidR="00B11D54" w:rsidRPr="00AC7CA9" w:rsidRDefault="00B11D54" w:rsidP="00B11D54">
      <w:pPr>
        <w:pStyle w:val="PageHeading"/>
        <w:widowControl/>
        <w:rPr>
          <w:rFonts w:ascii="Times New Roman" w:hAnsi="Times New Roman" w:cs="Times New Roman"/>
          <w:noProof/>
        </w:rPr>
      </w:pPr>
      <w:r w:rsidRPr="00AC7CA9">
        <w:rPr>
          <w:rFonts w:ascii="Times New Roman" w:hAnsi="Times New Roman" w:cs="Times New Roman"/>
        </w:rPr>
        <w:t>EUROPAPARLAMENTETS OCH RÅDETS BESLUT</w:t>
      </w:r>
      <w:bookmarkEnd w:id="9"/>
    </w:p>
    <w:p w14:paraId="421590F9" w14:textId="489368AF" w:rsidR="00B11D54" w:rsidRPr="00E206A1" w:rsidRDefault="00B11D54" w:rsidP="00B11D54">
      <w:pPr>
        <w:pStyle w:val="NormalBold24a"/>
        <w:widowControl/>
      </w:pPr>
      <w:r w:rsidRPr="00E206A1">
        <w:t xml:space="preserve">om utnyttjande av Europeiska fonden för justering för globaliseringseffekter för uppsagda arbetstagare efter en ansökan från Danmark </w:t>
      </w:r>
      <w:r w:rsidR="000E3651" w:rsidRPr="00E206A1">
        <w:t>(</w:t>
      </w:r>
      <w:r w:rsidRPr="00E206A1">
        <w:t>EGF/2023/004 DK</w:t>
      </w:r>
      <w:r w:rsidR="000E3651" w:rsidRPr="00E206A1">
        <w:t>/</w:t>
      </w:r>
      <w:proofErr w:type="spellStart"/>
      <w:r w:rsidRPr="00E206A1">
        <w:t>Danish</w:t>
      </w:r>
      <w:proofErr w:type="spellEnd"/>
      <w:r w:rsidRPr="00E206A1">
        <w:t xml:space="preserve"> Crown</w:t>
      </w:r>
      <w:r w:rsidR="000E3651" w:rsidRPr="00E206A1">
        <w:t>)</w:t>
      </w:r>
    </w:p>
    <w:p w14:paraId="3C18D939" w14:textId="68A4435E" w:rsidR="00477E11" w:rsidRPr="00AC7CA9" w:rsidRDefault="00AC7CA9" w:rsidP="00B11D54">
      <w:pPr>
        <w:widowControl/>
        <w:rPr>
          <w:i/>
          <w:szCs w:val="24"/>
        </w:rPr>
      </w:pPr>
      <w:r w:rsidRPr="00AC7CA9">
        <w:rPr>
          <w:i/>
          <w:szCs w:val="24"/>
        </w:rPr>
        <w:t>(Texten till denna bilaga återges inte här eftersom den motsvaras av den slutliga rättsakten, beslut (EU)</w:t>
      </w:r>
      <w:r>
        <w:rPr>
          <w:i/>
          <w:szCs w:val="24"/>
        </w:rPr>
        <w:t xml:space="preserve"> 2024/1299.)</w:t>
      </w:r>
    </w:p>
    <w:sectPr w:rsidR="00477E11" w:rsidRPr="00AC7CA9" w:rsidSect="006632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E6645" w14:textId="77777777" w:rsidR="005D7A36" w:rsidRPr="00663289" w:rsidRDefault="005D7A36">
      <w:r w:rsidRPr="00663289">
        <w:separator/>
      </w:r>
    </w:p>
  </w:endnote>
  <w:endnote w:type="continuationSeparator" w:id="0">
    <w:p w14:paraId="04CDCD0B" w14:textId="77777777" w:rsidR="005D7A36" w:rsidRPr="00663289" w:rsidRDefault="005D7A36">
      <w:r w:rsidRPr="006632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146FF" w14:textId="77777777" w:rsidR="00B11D54" w:rsidRPr="00663289" w:rsidRDefault="00B11D54" w:rsidP="00907D3F">
    <w:pPr>
      <w:pStyle w:val="EPFooter"/>
    </w:pPr>
    <w:r w:rsidRPr="00663289">
      <w:t>PE</w:t>
    </w:r>
    <w:r w:rsidRPr="00663289">
      <w:rPr>
        <w:rStyle w:val="HideTWBExt"/>
      </w:rPr>
      <w:t>&lt;NoPE&gt;</w:t>
    </w:r>
    <w:r w:rsidRPr="00663289">
      <w:t>759.752</w:t>
    </w:r>
    <w:r w:rsidRPr="00663289">
      <w:rPr>
        <w:rStyle w:val="HideTWBExt"/>
      </w:rPr>
      <w:t>&lt;/NoPE&gt;&lt;Version&gt;</w:t>
    </w:r>
    <w:r w:rsidRPr="00663289">
      <w:t>v02-00</w:t>
    </w:r>
    <w:r w:rsidRPr="00663289">
      <w:rPr>
        <w:rStyle w:val="HideTWBExt"/>
      </w:rPr>
      <w:t>&lt;/Version&gt;</w:t>
    </w:r>
    <w:r w:rsidRPr="00663289">
      <w:tab/>
    </w:r>
    <w:r w:rsidRPr="00663289">
      <w:fldChar w:fldCharType="begin"/>
    </w:r>
    <w:r w:rsidRPr="00663289">
      <w:instrText xml:space="preserve"> PAGE  \* MERGEFORMAT </w:instrText>
    </w:r>
    <w:r w:rsidRPr="00663289">
      <w:fldChar w:fldCharType="separate"/>
    </w:r>
    <w:r w:rsidRPr="00663289">
      <w:rPr>
        <w:noProof/>
      </w:rPr>
      <w:t>4</w:t>
    </w:r>
    <w:r w:rsidRPr="00663289">
      <w:fldChar w:fldCharType="end"/>
    </w:r>
    <w:r w:rsidRPr="00663289">
      <w:t>/</w:t>
    </w:r>
    <w:r w:rsidR="00286304">
      <w:fldChar w:fldCharType="begin"/>
    </w:r>
    <w:r w:rsidR="00286304">
      <w:instrText xml:space="preserve"> NUMPAGES  \* MERGEFORMAT </w:instrText>
    </w:r>
    <w:r w:rsidR="00286304">
      <w:fldChar w:fldCharType="separate"/>
    </w:r>
    <w:r w:rsidRPr="00663289">
      <w:rPr>
        <w:noProof/>
      </w:rPr>
      <w:t>4</w:t>
    </w:r>
    <w:r w:rsidR="00286304">
      <w:rPr>
        <w:noProof/>
      </w:rPr>
      <w:fldChar w:fldCharType="end"/>
    </w:r>
    <w:r w:rsidRPr="00663289">
      <w:tab/>
    </w:r>
    <w:r w:rsidRPr="00663289">
      <w:rPr>
        <w:rStyle w:val="HideTWBExt"/>
      </w:rPr>
      <w:t>&lt;PathFdR&gt;</w:t>
    </w:r>
    <w:r w:rsidRPr="00663289">
      <w:t>RR\1300714SV.docx</w:t>
    </w:r>
    <w:r w:rsidRPr="00663289">
      <w:rPr>
        <w:rStyle w:val="HideTWBExt"/>
      </w:rPr>
      <w:t>&lt;/PathFdR&gt;</w:t>
    </w:r>
  </w:p>
  <w:p w14:paraId="03BD85BF" w14:textId="77777777" w:rsidR="00B11D54" w:rsidRPr="00663289" w:rsidRDefault="00B11D54" w:rsidP="00907D3F">
    <w:pPr>
      <w:pStyle w:val="EPFooter2"/>
    </w:pPr>
    <w:r w:rsidRPr="00663289">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10C0F" w14:textId="77777777" w:rsidR="00B11D54" w:rsidRPr="00663289" w:rsidRDefault="00B11D54" w:rsidP="00907D3F">
    <w:pPr>
      <w:pStyle w:val="EPFooter"/>
    </w:pPr>
    <w:r w:rsidRPr="00663289">
      <w:rPr>
        <w:rStyle w:val="HideTWBExt"/>
      </w:rPr>
      <w:t>&lt;PathFdR&gt;</w:t>
    </w:r>
    <w:r w:rsidRPr="00663289">
      <w:t>RR\1300714SV.docx</w:t>
    </w:r>
    <w:r w:rsidRPr="00663289">
      <w:rPr>
        <w:rStyle w:val="HideTWBExt"/>
      </w:rPr>
      <w:t>&lt;/PathFdR&gt;</w:t>
    </w:r>
    <w:r w:rsidRPr="00663289">
      <w:tab/>
    </w:r>
    <w:r w:rsidRPr="00663289">
      <w:tab/>
      <w:t>PE</w:t>
    </w:r>
    <w:r w:rsidRPr="00663289">
      <w:rPr>
        <w:rStyle w:val="HideTWBExt"/>
      </w:rPr>
      <w:t>&lt;NoPE&gt;</w:t>
    </w:r>
    <w:r w:rsidRPr="00663289">
      <w:t>759.752</w:t>
    </w:r>
    <w:r w:rsidRPr="00663289">
      <w:rPr>
        <w:rStyle w:val="HideTWBExt"/>
      </w:rPr>
      <w:t>&lt;/NoPE&gt;&lt;Version&gt;</w:t>
    </w:r>
    <w:r w:rsidRPr="00663289">
      <w:t>v02-00</w:t>
    </w:r>
    <w:r w:rsidRPr="00663289">
      <w:rPr>
        <w:rStyle w:val="HideTWBExt"/>
      </w:rPr>
      <w:t>&lt;/Version&gt;</w:t>
    </w:r>
  </w:p>
  <w:p w14:paraId="2A2867A7" w14:textId="77777777" w:rsidR="00B11D54" w:rsidRPr="00663289" w:rsidRDefault="00B11D54" w:rsidP="00907D3F">
    <w:pPr>
      <w:pStyle w:val="EPFooter2"/>
    </w:pPr>
    <w:r w:rsidRPr="00663289">
      <w:t>SV</w:t>
    </w:r>
    <w:r w:rsidRPr="00663289">
      <w:tab/>
    </w:r>
    <w:r w:rsidRPr="00663289">
      <w:rPr>
        <w:b w:val="0"/>
        <w:i/>
        <w:color w:val="C0C0C0"/>
        <w:sz w:val="22"/>
      </w:rPr>
      <w:t>Förenade i mångfalden</w:t>
    </w:r>
    <w:r w:rsidRPr="00663289">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5091" w14:textId="77777777" w:rsidR="00064002" w:rsidRPr="0066328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7DBAA" w14:textId="77777777" w:rsidR="00064002" w:rsidRPr="0066328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3C8EB" w14:textId="77777777" w:rsidR="00064002" w:rsidRPr="006632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BB6F8" w14:textId="77777777" w:rsidR="005D7A36" w:rsidRPr="00663289" w:rsidRDefault="005D7A36">
      <w:r w:rsidRPr="00663289">
        <w:separator/>
      </w:r>
    </w:p>
  </w:footnote>
  <w:footnote w:type="continuationSeparator" w:id="0">
    <w:p w14:paraId="6FCC19CE" w14:textId="77777777" w:rsidR="005D7A36" w:rsidRPr="00663289" w:rsidRDefault="005D7A36">
      <w:r w:rsidRPr="00663289">
        <w:continuationSeparator/>
      </w:r>
    </w:p>
  </w:footnote>
  <w:footnote w:id="1">
    <w:p w14:paraId="4D6E8BB9" w14:textId="77777777" w:rsidR="00B11D54" w:rsidRPr="00E206A1" w:rsidRDefault="00B11D54" w:rsidP="00663289">
      <w:pPr>
        <w:pStyle w:val="FootnoteText"/>
        <w:ind w:left="567" w:hanging="567"/>
        <w:rPr>
          <w:sz w:val="24"/>
          <w:szCs w:val="24"/>
          <w:lang w:val="sv-SE"/>
        </w:rPr>
      </w:pPr>
      <w:r w:rsidRPr="00E206A1">
        <w:rPr>
          <w:rStyle w:val="FootnoteReference"/>
          <w:sz w:val="24"/>
          <w:szCs w:val="24"/>
          <w:lang w:val="sv-SE"/>
        </w:rPr>
        <w:footnoteRef/>
      </w:r>
      <w:r w:rsidR="00663289" w:rsidRPr="00E206A1">
        <w:rPr>
          <w:sz w:val="24"/>
          <w:szCs w:val="24"/>
          <w:lang w:val="sv-SE"/>
        </w:rPr>
        <w:t xml:space="preserve"> </w:t>
      </w:r>
      <w:r w:rsidR="00663289" w:rsidRPr="00E206A1">
        <w:rPr>
          <w:sz w:val="24"/>
          <w:szCs w:val="24"/>
          <w:lang w:val="sv-SE"/>
        </w:rPr>
        <w:tab/>
      </w:r>
      <w:r w:rsidRPr="00E206A1">
        <w:rPr>
          <w:sz w:val="24"/>
          <w:szCs w:val="24"/>
          <w:lang w:val="sv-SE"/>
        </w:rPr>
        <w:t>EUT L 153, 3.5.2021, s. 48.</w:t>
      </w:r>
    </w:p>
  </w:footnote>
  <w:footnote w:id="2">
    <w:p w14:paraId="24F309BB" w14:textId="77777777" w:rsidR="00B11D54" w:rsidRPr="00E206A1" w:rsidRDefault="00B11D54" w:rsidP="00663289">
      <w:pPr>
        <w:pStyle w:val="FootnoteText"/>
        <w:ind w:left="567" w:hanging="567"/>
        <w:rPr>
          <w:sz w:val="24"/>
          <w:szCs w:val="24"/>
          <w:lang w:val="sv-SE"/>
        </w:rPr>
      </w:pPr>
      <w:r w:rsidRPr="00E206A1">
        <w:rPr>
          <w:rStyle w:val="FootnoteReference"/>
          <w:sz w:val="24"/>
          <w:szCs w:val="24"/>
          <w:lang w:val="sv-SE"/>
        </w:rPr>
        <w:footnoteRef/>
      </w:r>
      <w:r w:rsidR="00663289" w:rsidRPr="00E206A1">
        <w:rPr>
          <w:sz w:val="24"/>
          <w:szCs w:val="24"/>
          <w:lang w:val="sv-SE"/>
        </w:rPr>
        <w:t xml:space="preserve"> </w:t>
      </w:r>
      <w:r w:rsidR="00663289" w:rsidRPr="00E206A1">
        <w:rPr>
          <w:sz w:val="24"/>
          <w:szCs w:val="24"/>
          <w:lang w:val="sv-SE"/>
        </w:rPr>
        <w:tab/>
      </w:r>
      <w:r w:rsidRPr="00E206A1">
        <w:rPr>
          <w:sz w:val="24"/>
          <w:szCs w:val="24"/>
          <w:lang w:val="sv-SE"/>
        </w:rPr>
        <w:t>EUT L 433 I, 22.12.2020, s. 11.</w:t>
      </w:r>
    </w:p>
  </w:footnote>
  <w:footnote w:id="3">
    <w:p w14:paraId="1AC91664" w14:textId="257A7A96" w:rsidR="00B11D54" w:rsidRPr="00AC7CA9" w:rsidRDefault="00B11D54" w:rsidP="00663289">
      <w:pPr>
        <w:pStyle w:val="FootnoteText"/>
        <w:ind w:left="567" w:hanging="567"/>
        <w:rPr>
          <w:sz w:val="24"/>
          <w:szCs w:val="24"/>
          <w:lang w:val="sv-SE"/>
        </w:rPr>
      </w:pPr>
      <w:r w:rsidRPr="00E206A1">
        <w:rPr>
          <w:rStyle w:val="FootnoteReference"/>
          <w:sz w:val="24"/>
          <w:szCs w:val="24"/>
          <w:lang w:val="sv-SE"/>
        </w:rPr>
        <w:footnoteRef/>
      </w:r>
      <w:r w:rsidR="00663289" w:rsidRPr="00AC7CA9">
        <w:rPr>
          <w:sz w:val="24"/>
          <w:szCs w:val="24"/>
          <w:shd w:val="clear" w:color="auto" w:fill="FFFFFF"/>
          <w:lang w:val="sv-SE"/>
        </w:rPr>
        <w:t xml:space="preserve"> </w:t>
      </w:r>
      <w:r w:rsidR="00663289" w:rsidRPr="00AC7CA9">
        <w:rPr>
          <w:sz w:val="24"/>
          <w:szCs w:val="24"/>
          <w:shd w:val="clear" w:color="auto" w:fill="FFFFFF"/>
          <w:lang w:val="sv-SE"/>
        </w:rPr>
        <w:tab/>
      </w:r>
      <w:r w:rsidRPr="00AC7CA9">
        <w:rPr>
          <w:sz w:val="24"/>
          <w:szCs w:val="24"/>
          <w:lang w:val="sv-SE"/>
        </w:rPr>
        <w:t xml:space="preserve">EUT L, 2024/765, 29.2.2024, </w:t>
      </w:r>
      <w:r w:rsidRPr="00AC7CA9">
        <w:rPr>
          <w:rStyle w:val="Emphasis"/>
          <w:i w:val="0"/>
          <w:sz w:val="24"/>
          <w:szCs w:val="24"/>
          <w:shd w:val="clear" w:color="auto" w:fill="FFFFFF"/>
          <w:lang w:val="sv-SE"/>
        </w:rPr>
        <w:t>ELI:</w:t>
      </w:r>
      <w:r w:rsidRPr="00AC7CA9">
        <w:rPr>
          <w:rStyle w:val="Emphasis"/>
          <w:sz w:val="24"/>
          <w:szCs w:val="24"/>
          <w:shd w:val="clear" w:color="auto" w:fill="FFFFFF"/>
          <w:lang w:val="sv-SE"/>
        </w:rPr>
        <w:t> </w:t>
      </w:r>
      <w:hyperlink r:id="rId1" w:history="1">
        <w:r w:rsidRPr="00AC7CA9">
          <w:rPr>
            <w:rStyle w:val="Hyperlink"/>
            <w:color w:val="auto"/>
            <w:sz w:val="24"/>
            <w:szCs w:val="24"/>
            <w:lang w:val="sv-SE"/>
          </w:rPr>
          <w:t>http://data.europa.eu/eli/reg/2024/765/oj</w:t>
        </w:r>
      </w:hyperlink>
      <w:r w:rsidRPr="00AC7CA9">
        <w:rPr>
          <w:rStyle w:val="Emphasis"/>
          <w:sz w:val="24"/>
          <w:szCs w:val="24"/>
          <w:shd w:val="clear" w:color="auto" w:fill="FFFFFF"/>
          <w:lang w:val="sv-SE"/>
        </w:rPr>
        <w:t>.</w:t>
      </w:r>
    </w:p>
  </w:footnote>
  <w:footnote w:id="4">
    <w:p w14:paraId="2F6CAA6F" w14:textId="77777777" w:rsidR="00B11D54" w:rsidRPr="00E206A1" w:rsidRDefault="00B11D54" w:rsidP="00663289">
      <w:pPr>
        <w:pStyle w:val="FootnoteText"/>
        <w:ind w:left="567" w:hanging="567"/>
        <w:rPr>
          <w:sz w:val="24"/>
          <w:szCs w:val="24"/>
          <w:lang w:val="sv-SE"/>
        </w:rPr>
      </w:pPr>
      <w:r w:rsidRPr="00E206A1">
        <w:rPr>
          <w:rStyle w:val="FootnoteReference"/>
          <w:sz w:val="24"/>
          <w:szCs w:val="24"/>
          <w:lang w:val="sv-SE"/>
        </w:rPr>
        <w:footnoteRef/>
      </w:r>
      <w:r w:rsidR="00663289" w:rsidRPr="00E206A1">
        <w:rPr>
          <w:sz w:val="24"/>
          <w:szCs w:val="24"/>
          <w:lang w:val="sv-SE"/>
        </w:rPr>
        <w:t xml:space="preserve"> </w:t>
      </w:r>
      <w:r w:rsidR="00663289" w:rsidRPr="00E206A1">
        <w:rPr>
          <w:sz w:val="24"/>
          <w:szCs w:val="24"/>
          <w:lang w:val="sv-SE"/>
        </w:rPr>
        <w:tab/>
      </w:r>
      <w:r w:rsidRPr="00E206A1">
        <w:rPr>
          <w:sz w:val="24"/>
          <w:szCs w:val="24"/>
          <w:lang w:val="sv-SE"/>
        </w:rPr>
        <w:t>EUT L 433 I, 22.12.2020, s. 28.</w:t>
      </w:r>
    </w:p>
  </w:footnote>
  <w:footnote w:id="5">
    <w:p w14:paraId="76D32F53" w14:textId="77777777" w:rsidR="00B11D54" w:rsidRPr="00E206A1" w:rsidRDefault="00B11D54" w:rsidP="00663289">
      <w:pPr>
        <w:pStyle w:val="FootnoteText"/>
        <w:ind w:left="567" w:hanging="567"/>
        <w:rPr>
          <w:sz w:val="24"/>
          <w:szCs w:val="24"/>
          <w:lang w:val="sv-SE"/>
        </w:rPr>
      </w:pPr>
      <w:r w:rsidRPr="00E206A1">
        <w:rPr>
          <w:rStyle w:val="FootnoteReference"/>
          <w:sz w:val="24"/>
          <w:szCs w:val="24"/>
          <w:lang w:val="sv-SE"/>
        </w:rPr>
        <w:footnoteRef/>
      </w:r>
      <w:r w:rsidR="00663289" w:rsidRPr="00E206A1">
        <w:rPr>
          <w:sz w:val="24"/>
          <w:szCs w:val="24"/>
          <w:lang w:val="sv-SE"/>
        </w:rPr>
        <w:t xml:space="preserve"> </w:t>
      </w:r>
      <w:r w:rsidR="00663289" w:rsidRPr="00E206A1">
        <w:rPr>
          <w:sz w:val="24"/>
          <w:szCs w:val="24"/>
          <w:lang w:val="sv-SE"/>
        </w:rPr>
        <w:tab/>
      </w:r>
      <w:r w:rsidRPr="00E206A1">
        <w:rPr>
          <w:sz w:val="24"/>
          <w:szCs w:val="24"/>
          <w:lang w:val="sv-SE"/>
        </w:rPr>
        <w:t>I den mening som avses i artikel 3 i EGF-förordningen.</w:t>
      </w:r>
    </w:p>
  </w:footnote>
  <w:footnote w:id="6">
    <w:p w14:paraId="1ECB7C8A" w14:textId="77777777" w:rsidR="00B11D54" w:rsidRPr="00E206A1" w:rsidRDefault="00B11D54" w:rsidP="00663289">
      <w:pPr>
        <w:pStyle w:val="FootnoteText"/>
        <w:ind w:left="567" w:hanging="567"/>
        <w:rPr>
          <w:sz w:val="24"/>
          <w:szCs w:val="24"/>
          <w:lang w:val="sv-SE"/>
        </w:rPr>
      </w:pPr>
      <w:r w:rsidRPr="00E206A1">
        <w:rPr>
          <w:rStyle w:val="FootnoteReference"/>
          <w:sz w:val="24"/>
          <w:szCs w:val="24"/>
          <w:lang w:val="sv-SE"/>
        </w:rPr>
        <w:footnoteRef/>
      </w:r>
      <w:r w:rsidR="00663289" w:rsidRPr="00E206A1">
        <w:rPr>
          <w:sz w:val="24"/>
          <w:szCs w:val="24"/>
          <w:lang w:val="sv-SE"/>
        </w:rPr>
        <w:t xml:space="preserve"> </w:t>
      </w:r>
      <w:r w:rsidR="00663289" w:rsidRPr="00E206A1">
        <w:rPr>
          <w:sz w:val="24"/>
          <w:szCs w:val="24"/>
          <w:lang w:val="sv-SE"/>
        </w:rPr>
        <w:tab/>
      </w:r>
      <w:r w:rsidRPr="00E206A1">
        <w:rPr>
          <w:sz w:val="24"/>
          <w:szCs w:val="24"/>
          <w:lang w:val="sv-SE"/>
        </w:rPr>
        <w:t xml:space="preserve">37 uppsagda arbetstagare i TekniClean A/S och 4 uppsagda arbetstagare vid den danska veterinär- och livsmedelsmyndigheten.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6FDE0" w14:textId="77777777" w:rsidR="00064002" w:rsidRPr="006632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698D3" w14:textId="77777777" w:rsidR="00064002" w:rsidRPr="006632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C9BD" w14:textId="77777777" w:rsidR="00064002" w:rsidRPr="006632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SV"/>
    <w:docVar w:name="dvnumam" w:val="0"/>
    <w:docVar w:name="dvpe" w:val="759.752"/>
    <w:docVar w:name="dvrapporteur" w:val="Föredragande: "/>
    <w:docVar w:name="dvtitre" w:val="Europaparlamentets resolution av den xx xx 2024 om förslaget till Europaparlamentets och rådets beslut om utnyttjande av Europeiska fonden för justering för globaliseringseffekter för uppsagda arbetstagare efter en ansökan från Danmark – EGF/2023/004 DK Danish Crown(COM(2024)0035 – C9-0040/2024 – 2024/0044(BUD))"/>
  </w:docVars>
  <w:rsids>
    <w:rsidRoot w:val="005D7A36"/>
    <w:rsid w:val="00002272"/>
    <w:rsid w:val="00064002"/>
    <w:rsid w:val="000677B9"/>
    <w:rsid w:val="000831BA"/>
    <w:rsid w:val="00087AA0"/>
    <w:rsid w:val="000A42CC"/>
    <w:rsid w:val="000E3651"/>
    <w:rsid w:val="000E7DD9"/>
    <w:rsid w:val="0010095E"/>
    <w:rsid w:val="00125B37"/>
    <w:rsid w:val="00187494"/>
    <w:rsid w:val="001F32AE"/>
    <w:rsid w:val="002767FF"/>
    <w:rsid w:val="00286304"/>
    <w:rsid w:val="002B18FE"/>
    <w:rsid w:val="002B5493"/>
    <w:rsid w:val="002F493E"/>
    <w:rsid w:val="00343214"/>
    <w:rsid w:val="00361C00"/>
    <w:rsid w:val="00395FA1"/>
    <w:rsid w:val="003A7D10"/>
    <w:rsid w:val="003E15D4"/>
    <w:rsid w:val="00411CCE"/>
    <w:rsid w:val="0041666E"/>
    <w:rsid w:val="00421060"/>
    <w:rsid w:val="00471C19"/>
    <w:rsid w:val="00477E11"/>
    <w:rsid w:val="004867E3"/>
    <w:rsid w:val="00494A28"/>
    <w:rsid w:val="004C0004"/>
    <w:rsid w:val="004C39CB"/>
    <w:rsid w:val="004C5D52"/>
    <w:rsid w:val="0050519A"/>
    <w:rsid w:val="005072A1"/>
    <w:rsid w:val="00514517"/>
    <w:rsid w:val="00540C28"/>
    <w:rsid w:val="00545827"/>
    <w:rsid w:val="00555CA6"/>
    <w:rsid w:val="00560270"/>
    <w:rsid w:val="005C2568"/>
    <w:rsid w:val="005D7A36"/>
    <w:rsid w:val="006037C0"/>
    <w:rsid w:val="006631B6"/>
    <w:rsid w:val="00663289"/>
    <w:rsid w:val="00680577"/>
    <w:rsid w:val="006F74FA"/>
    <w:rsid w:val="0070425C"/>
    <w:rsid w:val="00731ADD"/>
    <w:rsid w:val="00734777"/>
    <w:rsid w:val="00747932"/>
    <w:rsid w:val="00751A4A"/>
    <w:rsid w:val="00756632"/>
    <w:rsid w:val="00762C74"/>
    <w:rsid w:val="00786EC0"/>
    <w:rsid w:val="007D1690"/>
    <w:rsid w:val="007E22AD"/>
    <w:rsid w:val="00811741"/>
    <w:rsid w:val="00817416"/>
    <w:rsid w:val="00842779"/>
    <w:rsid w:val="00854AF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CA9"/>
    <w:rsid w:val="00AE0928"/>
    <w:rsid w:val="00AF3B82"/>
    <w:rsid w:val="00B11D54"/>
    <w:rsid w:val="00B12E95"/>
    <w:rsid w:val="00B22876"/>
    <w:rsid w:val="00B558F0"/>
    <w:rsid w:val="00BD48FE"/>
    <w:rsid w:val="00BD7BD8"/>
    <w:rsid w:val="00BE6ADC"/>
    <w:rsid w:val="00C05BFE"/>
    <w:rsid w:val="00C23CD4"/>
    <w:rsid w:val="00C61C0C"/>
    <w:rsid w:val="00C941CB"/>
    <w:rsid w:val="00CB3A70"/>
    <w:rsid w:val="00CC2357"/>
    <w:rsid w:val="00CF071A"/>
    <w:rsid w:val="00D058B8"/>
    <w:rsid w:val="00D56C11"/>
    <w:rsid w:val="00D834A0"/>
    <w:rsid w:val="00D872DF"/>
    <w:rsid w:val="00D91E21"/>
    <w:rsid w:val="00DA7FCD"/>
    <w:rsid w:val="00E206A1"/>
    <w:rsid w:val="00E365E1"/>
    <w:rsid w:val="00E820A4"/>
    <w:rsid w:val="00EB006A"/>
    <w:rsid w:val="00EB4772"/>
    <w:rsid w:val="00ED169E"/>
    <w:rsid w:val="00ED4235"/>
    <w:rsid w:val="00F04346"/>
    <w:rsid w:val="00F075DC"/>
    <w:rsid w:val="00F149E9"/>
    <w:rsid w:val="00F5134D"/>
    <w:rsid w:val="00F74202"/>
    <w:rsid w:val="00F87713"/>
    <w:rsid w:val="00FA54EB"/>
    <w:rsid w:val="00FB4360"/>
    <w:rsid w:val="00FD0C70"/>
    <w:rsid w:val="00FF01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9697B"/>
  <w15:chartTrackingRefBased/>
  <w15:docId w15:val="{ADF7B0BF-FA77-4869-A454-324E3556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1D5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11D54"/>
    <w:pPr>
      <w:keepNext/>
      <w:spacing w:after="480"/>
      <w:jc w:val="center"/>
    </w:pPr>
    <w:rPr>
      <w:rFonts w:ascii="Arial" w:hAnsi="Arial" w:cs="Arial"/>
      <w:b/>
    </w:rPr>
  </w:style>
  <w:style w:type="paragraph" w:customStyle="1" w:styleId="NormalHanging12a">
    <w:name w:val="NormalHanging12a"/>
    <w:basedOn w:val="Normal"/>
    <w:link w:val="NormalHanging12aChar"/>
    <w:rsid w:val="00B11D54"/>
    <w:pPr>
      <w:spacing w:after="240"/>
      <w:ind w:left="567" w:hanging="567"/>
    </w:pPr>
  </w:style>
  <w:style w:type="paragraph" w:styleId="Header">
    <w:name w:val="header"/>
    <w:basedOn w:val="Normal"/>
    <w:link w:val="HeaderChar"/>
    <w:rsid w:val="00B11D54"/>
    <w:pPr>
      <w:tabs>
        <w:tab w:val="center" w:pos="4513"/>
        <w:tab w:val="right" w:pos="9026"/>
      </w:tabs>
    </w:pPr>
  </w:style>
  <w:style w:type="character" w:customStyle="1" w:styleId="HeaderChar">
    <w:name w:val="Header Char"/>
    <w:basedOn w:val="DefaultParagraphFont"/>
    <w:link w:val="Header"/>
    <w:rsid w:val="00B11D54"/>
    <w:rPr>
      <w:sz w:val="24"/>
      <w:lang w:val="sv-SE"/>
    </w:rPr>
  </w:style>
  <w:style w:type="paragraph" w:customStyle="1" w:styleId="NormalBold24a">
    <w:name w:val="NormalBold24a"/>
    <w:basedOn w:val="Normal"/>
    <w:rsid w:val="00B11D54"/>
    <w:pPr>
      <w:spacing w:after="480"/>
    </w:pPr>
    <w:rPr>
      <w:b/>
      <w:bCs/>
    </w:rPr>
  </w:style>
  <w:style w:type="paragraph" w:customStyle="1" w:styleId="EPFooter">
    <w:name w:val="EPFooter"/>
    <w:basedOn w:val="Normal"/>
    <w:rsid w:val="00B11D54"/>
    <w:pPr>
      <w:tabs>
        <w:tab w:val="center" w:pos="4535"/>
        <w:tab w:val="right" w:pos="9071"/>
      </w:tabs>
      <w:spacing w:before="240" w:after="240"/>
    </w:pPr>
    <w:rPr>
      <w:color w:val="010000"/>
      <w:sz w:val="22"/>
    </w:rPr>
  </w:style>
  <w:style w:type="paragraph" w:customStyle="1" w:styleId="EPComma">
    <w:name w:val="EPComma"/>
    <w:basedOn w:val="Normal"/>
    <w:rsid w:val="00B11D54"/>
    <w:pPr>
      <w:spacing w:before="480" w:after="240"/>
    </w:pPr>
  </w:style>
  <w:style w:type="character" w:customStyle="1" w:styleId="NormalHanging12aChar">
    <w:name w:val="NormalHanging12a Char"/>
    <w:basedOn w:val="DefaultParagraphFont"/>
    <w:link w:val="NormalHanging12a"/>
    <w:locked/>
    <w:rsid w:val="00B11D54"/>
    <w:rPr>
      <w:sz w:val="24"/>
      <w:lang w:val="sv-SE"/>
    </w:rPr>
  </w:style>
  <w:style w:type="paragraph" w:customStyle="1" w:styleId="Default">
    <w:name w:val="Default"/>
    <w:rsid w:val="00B11D54"/>
    <w:pPr>
      <w:autoSpaceDE w:val="0"/>
      <w:autoSpaceDN w:val="0"/>
      <w:adjustRightInd w:val="0"/>
    </w:pPr>
    <w:rPr>
      <w:color w:val="000000"/>
      <w:sz w:val="24"/>
      <w:szCs w:val="24"/>
      <w:lang w:val="sv-SE"/>
    </w:rPr>
  </w:style>
  <w:style w:type="paragraph" w:customStyle="1" w:styleId="Institutionquisigne">
    <w:name w:val="Institution qui signe"/>
    <w:basedOn w:val="Normal"/>
    <w:next w:val="Normal"/>
    <w:rsid w:val="00B11D5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11D5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11D5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11D5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11D5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11D54"/>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B11D54"/>
    <w:rPr>
      <w:i/>
      <w:iCs/>
    </w:rPr>
  </w:style>
  <w:style w:type="character" w:customStyle="1" w:styleId="PageHeadingChar">
    <w:name w:val="PageHeading Char"/>
    <w:basedOn w:val="DefaultParagraphFont"/>
    <w:link w:val="PageHeading"/>
    <w:rsid w:val="00B11D54"/>
    <w:rPr>
      <w:rFonts w:ascii="Arial" w:hAnsi="Arial" w:cs="Arial"/>
      <w:b/>
      <w:sz w:val="24"/>
      <w:lang w:val="sv-SE"/>
    </w:rPr>
  </w:style>
  <w:style w:type="paragraph" w:styleId="BalloonText">
    <w:name w:val="Balloon Text"/>
    <w:basedOn w:val="Normal"/>
    <w:link w:val="BalloonTextChar"/>
    <w:rsid w:val="00555CA6"/>
    <w:rPr>
      <w:rFonts w:ascii="Segoe UI" w:hAnsi="Segoe UI" w:cs="Segoe UI"/>
      <w:sz w:val="18"/>
      <w:szCs w:val="18"/>
    </w:rPr>
  </w:style>
  <w:style w:type="character" w:customStyle="1" w:styleId="BalloonTextChar">
    <w:name w:val="Balloon Text Char"/>
    <w:basedOn w:val="DefaultParagraphFont"/>
    <w:link w:val="BalloonText"/>
    <w:rsid w:val="00555CA6"/>
    <w:rPr>
      <w:rFonts w:ascii="Segoe UI" w:hAnsi="Segoe UI" w:cs="Segoe UI"/>
      <w:sz w:val="18"/>
      <w:szCs w:val="18"/>
      <w:lang w:val="sv-SE"/>
    </w:rPr>
  </w:style>
  <w:style w:type="character" w:styleId="CommentReference">
    <w:name w:val="annotation reference"/>
    <w:basedOn w:val="DefaultParagraphFont"/>
    <w:rsid w:val="000E3651"/>
    <w:rPr>
      <w:sz w:val="16"/>
      <w:szCs w:val="16"/>
    </w:rPr>
  </w:style>
  <w:style w:type="paragraph" w:styleId="CommentText">
    <w:name w:val="annotation text"/>
    <w:basedOn w:val="Normal"/>
    <w:link w:val="CommentTextChar"/>
    <w:rsid w:val="000E3651"/>
    <w:rPr>
      <w:sz w:val="20"/>
    </w:rPr>
  </w:style>
  <w:style w:type="character" w:customStyle="1" w:styleId="CommentTextChar">
    <w:name w:val="Comment Text Char"/>
    <w:basedOn w:val="DefaultParagraphFont"/>
    <w:link w:val="CommentText"/>
    <w:rsid w:val="000E3651"/>
    <w:rPr>
      <w:lang w:val="sv-SE"/>
    </w:rPr>
  </w:style>
  <w:style w:type="paragraph" w:styleId="CommentSubject">
    <w:name w:val="annotation subject"/>
    <w:basedOn w:val="CommentText"/>
    <w:next w:val="CommentText"/>
    <w:link w:val="CommentSubjectChar"/>
    <w:rsid w:val="000E3651"/>
    <w:rPr>
      <w:b/>
      <w:bCs/>
    </w:rPr>
  </w:style>
  <w:style w:type="character" w:customStyle="1" w:styleId="CommentSubjectChar">
    <w:name w:val="Comment Subject Char"/>
    <w:basedOn w:val="CommentTextChar"/>
    <w:link w:val="CommentSubject"/>
    <w:rsid w:val="000E3651"/>
    <w:rPr>
      <w:b/>
      <w:bCs/>
      <w:lang w:val="sv-SE"/>
    </w:rPr>
  </w:style>
  <w:style w:type="character" w:styleId="Hyperlink">
    <w:name w:val="Hyperlink"/>
    <w:basedOn w:val="DefaultParagraphFont"/>
    <w:rsid w:val="000E3651"/>
    <w:rPr>
      <w:color w:val="0563C1" w:themeColor="hyperlink"/>
      <w:u w:val="single"/>
    </w:rPr>
  </w:style>
  <w:style w:type="character" w:styleId="FollowedHyperlink">
    <w:name w:val="FollowedHyperlink"/>
    <w:basedOn w:val="DefaultParagraphFont"/>
    <w:rsid w:val="00087AA0"/>
    <w:rPr>
      <w:color w:val="954F72" w:themeColor="followedHyperlink"/>
      <w:u w:val="single"/>
    </w:rPr>
  </w:style>
  <w:style w:type="paragraph" w:styleId="Revision">
    <w:name w:val="Revision"/>
    <w:hidden/>
    <w:uiPriority w:val="99"/>
    <w:semiHidden/>
    <w:rsid w:val="004C39C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7FF3E-F129-4717-BFC5-65DB1F69F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BINKEVICIUTE Aurelija</cp:lastModifiedBy>
  <cp:revision>3</cp:revision>
  <cp:lastPrinted>2004-11-19T15:42:00Z</cp:lastPrinted>
  <dcterms:created xsi:type="dcterms:W3CDTF">2024-09-25T14:05:00Z</dcterms:created>
  <dcterms:modified xsi:type="dcterms:W3CDTF">2024-10-16T11:12:00Z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P9_TA(2024)0332_</vt:lpwstr>
  </property>
  <property fmtid="{D5CDD505-2E9C-101B-9397-08002B2CF9AE}" pid="4" name="&lt;Type&gt;">
    <vt:lpwstr>RR</vt:lpwstr>
  </property>
</Properties>
</file>