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5BFA" w:rsidTr="0010095E">
        <w:trPr>
          <w:trHeight w:hRule="exact" w:val="1418"/>
        </w:trPr>
        <w:tc>
          <w:tcPr>
            <w:tcW w:w="6804" w:type="dxa"/>
            <w:shd w:val="clear" w:color="auto" w:fill="auto"/>
            <w:vAlign w:val="center"/>
          </w:tcPr>
          <w:p w:rsidR="00751A4A" w:rsidRPr="00825BFA" w:rsidRDefault="0002465F" w:rsidP="0010095E">
            <w:pPr>
              <w:pStyle w:val="EPName"/>
            </w:pPr>
            <w:r w:rsidRPr="00825BFA">
              <w:t>Evropský parlament</w:t>
            </w:r>
          </w:p>
          <w:p w:rsidR="00751A4A" w:rsidRPr="00825BFA" w:rsidRDefault="00817416" w:rsidP="00756632">
            <w:pPr>
              <w:pStyle w:val="EPTerm"/>
              <w:rPr>
                <w:rStyle w:val="HideTWBExt"/>
                <w:noProof w:val="0"/>
                <w:vanish w:val="0"/>
                <w:color w:val="auto"/>
              </w:rPr>
            </w:pPr>
            <w:r w:rsidRPr="00825BFA">
              <w:t>2019-2024</w:t>
            </w:r>
          </w:p>
        </w:tc>
        <w:tc>
          <w:tcPr>
            <w:tcW w:w="2268" w:type="dxa"/>
            <w:shd w:val="clear" w:color="auto" w:fill="auto"/>
          </w:tcPr>
          <w:p w:rsidR="00751A4A" w:rsidRPr="00825BFA" w:rsidRDefault="00187494" w:rsidP="0010095E">
            <w:pPr>
              <w:pStyle w:val="EPLogo"/>
            </w:pPr>
            <w:r w:rsidRPr="00825B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5BFA" w:rsidRDefault="00D058B8" w:rsidP="004C5D52">
      <w:pPr>
        <w:pStyle w:val="LineTop"/>
      </w:pPr>
    </w:p>
    <w:p w:rsidR="00680577" w:rsidRPr="00825BFA" w:rsidRDefault="0002465F" w:rsidP="00680577">
      <w:pPr>
        <w:pStyle w:val="EPBodyTA1"/>
      </w:pPr>
      <w:r w:rsidRPr="00825BFA">
        <w:t>PŘIJATÉ TEXTY</w:t>
      </w:r>
    </w:p>
    <w:p w:rsidR="00D058B8" w:rsidRPr="00825BFA" w:rsidRDefault="00D058B8" w:rsidP="00D058B8">
      <w:pPr>
        <w:pStyle w:val="LineBottom"/>
      </w:pPr>
    </w:p>
    <w:p w:rsidR="0002465F" w:rsidRPr="00825BFA" w:rsidRDefault="0002465F" w:rsidP="0002465F">
      <w:pPr>
        <w:pStyle w:val="ATHeading1"/>
      </w:pPr>
      <w:bookmarkStart w:id="0" w:name="TANumber"/>
      <w:r w:rsidRPr="00825BFA">
        <w:t>P9_TA(2024)0</w:t>
      </w:r>
      <w:r w:rsidR="00487F9F">
        <w:t>333</w:t>
      </w:r>
      <w:bookmarkEnd w:id="0"/>
    </w:p>
    <w:p w:rsidR="0002465F" w:rsidRPr="00825BFA" w:rsidRDefault="0002465F" w:rsidP="0002465F">
      <w:pPr>
        <w:pStyle w:val="ATHeading2"/>
      </w:pPr>
      <w:bookmarkStart w:id="1" w:name="title"/>
      <w:r w:rsidRPr="00825BFA">
        <w:t>Uvolnění prostředků z Evropského fondu pro přizpůsobení se globalizaci: žádost EGF/2023/003 DE/Vallourec – Německo</w:t>
      </w:r>
      <w:bookmarkEnd w:id="1"/>
    </w:p>
    <w:p w:rsidR="0002465F" w:rsidRPr="00825BFA" w:rsidRDefault="0002465F" w:rsidP="0002465F">
      <w:pPr>
        <w:rPr>
          <w:i/>
          <w:vanish/>
        </w:rPr>
      </w:pPr>
      <w:r w:rsidRPr="00825BFA">
        <w:rPr>
          <w:i/>
        </w:rPr>
        <w:fldChar w:fldCharType="begin"/>
      </w:r>
      <w:r w:rsidRPr="00825BFA">
        <w:rPr>
          <w:i/>
        </w:rPr>
        <w:instrText xml:space="preserve"> TC"(</w:instrText>
      </w:r>
      <w:bookmarkStart w:id="2" w:name="DocNumber"/>
      <w:r w:rsidRPr="00825BFA">
        <w:rPr>
          <w:i/>
        </w:rPr>
        <w:instrText>A9-0166/2024</w:instrText>
      </w:r>
      <w:bookmarkEnd w:id="2"/>
      <w:r w:rsidRPr="00825BFA">
        <w:rPr>
          <w:i/>
        </w:rPr>
        <w:instrText xml:space="preserve"> - Zpravodaj: Jens Geier)"\l3 \n&gt; \* MERGEFORMAT </w:instrText>
      </w:r>
      <w:r w:rsidRPr="00825BFA">
        <w:rPr>
          <w:i/>
        </w:rPr>
        <w:fldChar w:fldCharType="end"/>
      </w:r>
    </w:p>
    <w:p w:rsidR="0002465F" w:rsidRPr="00825BFA" w:rsidRDefault="0002465F" w:rsidP="0002465F">
      <w:pPr>
        <w:rPr>
          <w:vanish/>
        </w:rPr>
      </w:pPr>
      <w:bookmarkStart w:id="3" w:name="Commission"/>
      <w:r w:rsidRPr="00825BFA">
        <w:rPr>
          <w:vanish/>
        </w:rPr>
        <w:t>Rozpočtový výbor</w:t>
      </w:r>
      <w:bookmarkEnd w:id="3"/>
    </w:p>
    <w:p w:rsidR="0002465F" w:rsidRPr="00825BFA" w:rsidRDefault="0002465F" w:rsidP="0002465F">
      <w:pPr>
        <w:rPr>
          <w:vanish/>
        </w:rPr>
      </w:pPr>
      <w:bookmarkStart w:id="4" w:name="PE"/>
      <w:r w:rsidRPr="00825BFA">
        <w:rPr>
          <w:vanish/>
        </w:rPr>
        <w:t>PE759.759</w:t>
      </w:r>
      <w:bookmarkEnd w:id="4"/>
    </w:p>
    <w:p w:rsidR="0002465F" w:rsidRPr="00825BFA" w:rsidRDefault="0002465F" w:rsidP="0002465F">
      <w:pPr>
        <w:pStyle w:val="ATHeading3"/>
      </w:pPr>
      <w:bookmarkStart w:id="5" w:name="Sujet"/>
      <w:r w:rsidRPr="00825BFA">
        <w:t xml:space="preserve">Usnesení </w:t>
      </w:r>
      <w:r w:rsidR="00C44EAC">
        <w:t>Evropského parlamentu ze dne 2</w:t>
      </w:r>
      <w:r w:rsidR="00487F9F">
        <w:t>4</w:t>
      </w:r>
      <w:r w:rsidR="00C44EAC">
        <w:t>. dubna</w:t>
      </w:r>
      <w:r w:rsidRPr="00825BFA">
        <w:t xml:space="preserve"> 2024 o návrhu rozhodnutí Evropského parlamentu a Rady o uvolnění prostředků z Evropského fondu pro přizpůsobení se globalizaci na pomoc propuštěným pracovníkům na základě žádosti Německa – EGF/2023/003 DE/Vallourec</w:t>
      </w:r>
      <w:bookmarkEnd w:id="5"/>
      <w:r w:rsidRPr="00825BFA">
        <w:t xml:space="preserve"> </w:t>
      </w:r>
      <w:bookmarkStart w:id="6" w:name="References"/>
      <w:r w:rsidRPr="00825BFA">
        <w:t>(COM(2024)0030 – C9-0041/2024 – 2024/0049(BUD))</w:t>
      </w:r>
      <w:bookmarkEnd w:id="6"/>
    </w:p>
    <w:p w:rsidR="00415139" w:rsidRPr="00825BFA" w:rsidRDefault="00415139" w:rsidP="00415139">
      <w:pPr>
        <w:pStyle w:val="EPComma"/>
        <w:rPr>
          <w:noProof/>
        </w:rPr>
      </w:pPr>
      <w:bookmarkStart w:id="7" w:name="TextBodyBegin"/>
      <w:bookmarkEnd w:id="7"/>
      <w:r w:rsidRPr="00825BFA">
        <w:rPr>
          <w:i/>
        </w:rPr>
        <w:t>Evropský parlament</w:t>
      </w:r>
      <w:r w:rsidRPr="00825BFA">
        <w:t>,</w:t>
      </w:r>
    </w:p>
    <w:p w:rsidR="00415139" w:rsidRPr="00825BFA" w:rsidRDefault="00415139" w:rsidP="00C44EAC">
      <w:pPr>
        <w:pStyle w:val="NormalHanging12a"/>
        <w:rPr>
          <w:noProof/>
        </w:rPr>
      </w:pPr>
      <w:r w:rsidRPr="00825BFA">
        <w:t>–</w:t>
      </w:r>
      <w:r w:rsidRPr="00825BFA">
        <w:tab/>
        <w:t>s ohledem na návrh Komise předložený Evropskému parlamentu a Radě (COM(2024)0030 – C9-0041/2024),</w:t>
      </w:r>
    </w:p>
    <w:p w:rsidR="00415139" w:rsidRPr="00825BFA" w:rsidRDefault="00415139" w:rsidP="00A57D90">
      <w:pPr>
        <w:pStyle w:val="NormalHanging12a"/>
      </w:pPr>
      <w:r w:rsidRPr="00825BFA">
        <w:t>–</w:t>
      </w:r>
      <w:r w:rsidRPr="00825BFA">
        <w:tab/>
        <w:t>s ohledem na nařízení Evropského parlamentu a Rady (EU) 2021/691 ze dne 28. dubna 2021 o Evropském fondu pro přizpůsobení se globalizaci na pomoc propuštěným pracovníkům (EFG) a o zrušení nařízení (EU) č. 1309/2013</w:t>
      </w:r>
      <w:r w:rsidRPr="00825BFA">
        <w:rPr>
          <w:rStyle w:val="FootnoteReference"/>
          <w:noProof/>
        </w:rPr>
        <w:footnoteReference w:id="1"/>
      </w:r>
      <w:r w:rsidRPr="00825BFA">
        <w:t xml:space="preserve"> („nařízení o EFG“),</w:t>
      </w:r>
    </w:p>
    <w:p w:rsidR="00415139" w:rsidRPr="00825BFA" w:rsidRDefault="00415139" w:rsidP="00A57D90">
      <w:pPr>
        <w:pStyle w:val="NormalHanging12a"/>
        <w:rPr>
          <w:noProof/>
        </w:rPr>
      </w:pPr>
      <w:r w:rsidRPr="00825BFA">
        <w:t>–</w:t>
      </w:r>
      <w:r w:rsidRPr="00825BFA">
        <w:tab/>
        <w:t>s ohledem na nařízení Rady (EU, Euratom) 2020/2093 ze dne 17. prosince 2020, kterým se stanoví víceletý finanční rámec na období 2021–2027</w:t>
      </w:r>
      <w:r w:rsidRPr="00825BFA">
        <w:rPr>
          <w:rStyle w:val="FootnoteReference"/>
          <w:noProof/>
        </w:rPr>
        <w:footnoteReference w:id="2"/>
      </w:r>
      <w:r w:rsidRPr="00825BFA">
        <w:t xml:space="preserve"> ve znění nařízení</w:t>
      </w:r>
      <w:r w:rsidR="00A222B7">
        <w:t xml:space="preserve"> Rady</w:t>
      </w:r>
      <w:r w:rsidRPr="00825BFA">
        <w:t xml:space="preserve"> (EU, Euratom) </w:t>
      </w:r>
      <w:r w:rsidRPr="00825BFA">
        <w:rPr>
          <w:bdr w:val="none" w:sz="0" w:space="0" w:color="auto" w:frame="1"/>
        </w:rPr>
        <w:t>2024/765</w:t>
      </w:r>
      <w:r w:rsidR="00C44EAC">
        <w:rPr>
          <w:bdr w:val="none" w:sz="0" w:space="0" w:color="auto" w:frame="1"/>
        </w:rPr>
        <w:t xml:space="preserve"> ze dne 29. února 2024, </w:t>
      </w:r>
      <w:r w:rsidR="00C44EAC" w:rsidRPr="00C44EAC">
        <w:rPr>
          <w:bdr w:val="none" w:sz="0" w:space="0" w:color="auto" w:frame="1"/>
        </w:rPr>
        <w:t>kterým se mění nařízení (EU, Euratom) 2020/2093, kterým se stanoví víceletý finanční rámec na období 2021–2027</w:t>
      </w:r>
      <w:r w:rsidRPr="00825BFA">
        <w:rPr>
          <w:rStyle w:val="FootnoteReference"/>
          <w:bdr w:val="none" w:sz="0" w:space="0" w:color="auto" w:frame="1"/>
        </w:rPr>
        <w:footnoteReference w:id="3"/>
      </w:r>
      <w:r w:rsidRPr="00825BFA">
        <w:t>, a zejména na článek 8 tohoto nařízení,</w:t>
      </w:r>
    </w:p>
    <w:p w:rsidR="00415139" w:rsidRPr="00825BFA" w:rsidRDefault="00415139" w:rsidP="00A57D90">
      <w:pPr>
        <w:pStyle w:val="NormalHanging12a"/>
        <w:rPr>
          <w:noProof/>
        </w:rPr>
      </w:pPr>
      <w:r w:rsidRPr="00825BFA">
        <w:t>–</w:t>
      </w:r>
      <w:r w:rsidRPr="00825BFA">
        <w:tab/>
        <w:t>s ohledem na interinstitucionální dohodu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w:t>
      </w:r>
      <w:r w:rsidRPr="00825BFA">
        <w:rPr>
          <w:rStyle w:val="FootnoteReference"/>
          <w:noProof/>
        </w:rPr>
        <w:footnoteReference w:id="4"/>
      </w:r>
      <w:r w:rsidRPr="00825BFA">
        <w:t>, a zejména na bod 9 této dohody,</w:t>
      </w:r>
    </w:p>
    <w:p w:rsidR="00415139" w:rsidRPr="00825BFA" w:rsidRDefault="00415139" w:rsidP="00A57D90">
      <w:pPr>
        <w:pStyle w:val="NormalHanging12a"/>
      </w:pPr>
      <w:r w:rsidRPr="00825BFA">
        <w:t>–</w:t>
      </w:r>
      <w:r w:rsidRPr="00825BFA">
        <w:tab/>
        <w:t>s ohledem na dopis Výboru pro zaměstnanost a sociální věci,</w:t>
      </w:r>
    </w:p>
    <w:p w:rsidR="00415139" w:rsidRPr="00825BFA" w:rsidRDefault="00415139" w:rsidP="00415139">
      <w:pPr>
        <w:pStyle w:val="NormalHanging12a"/>
        <w:jc w:val="both"/>
      </w:pPr>
      <w:r w:rsidRPr="00825BFA">
        <w:lastRenderedPageBreak/>
        <w:t>–</w:t>
      </w:r>
      <w:r w:rsidRPr="00825BFA">
        <w:tab/>
        <w:t>s ohledem na zprávu Rozpočtového výboru (A9</w:t>
      </w:r>
      <w:r w:rsidRPr="00825BFA">
        <w:noBreakHyphen/>
        <w:t>0166/2024),</w:t>
      </w:r>
    </w:p>
    <w:p w:rsidR="00415139" w:rsidRPr="00825BFA" w:rsidRDefault="00415139" w:rsidP="00415139">
      <w:pPr>
        <w:pStyle w:val="NormalHanging12a"/>
      </w:pPr>
      <w:r w:rsidRPr="00825BFA">
        <w:t>A.</w:t>
      </w:r>
      <w:r w:rsidRPr="00825BFA">
        <w:tab/>
        <w:t>vzhledem k tomu, že Unie vytvořila legislativní a rozpočtové nástroje, aby mohla poskytovat dodatečnou podporu pracovníkům, kteří jsou postiženi důsledky významných změn ve struktuře světového obchodu nebo důsledky celosvětové finanční a hospodářské krize, a pomáhat jim při opětovném začlenění na trh práce; vzhledem k tomu, že tato pomoc je poskytována v podobě finanční podpory pracovníkům a podnikům, pro které pracovali;</w:t>
      </w:r>
    </w:p>
    <w:p w:rsidR="00415139" w:rsidRPr="00825BFA" w:rsidRDefault="00415139" w:rsidP="00415139">
      <w:pPr>
        <w:pStyle w:val="NormalHanging12a"/>
      </w:pPr>
      <w:r w:rsidRPr="00825BFA">
        <w:t>B.</w:t>
      </w:r>
      <w:r w:rsidRPr="00825BFA">
        <w:tab/>
        <w:t>vzhledem k tomu, že Německo předložilo žádost EGF/2023/003 DE/Vallourec o finanční příspěvek z Evropského fondu pro přizpůsobení se globalizaci (EFG) v návaznosti na propuštění 1 518 pracovníků</w:t>
      </w:r>
      <w:r w:rsidRPr="00825BFA">
        <w:rPr>
          <w:rStyle w:val="FootnoteReference"/>
        </w:rPr>
        <w:footnoteReference w:id="5"/>
      </w:r>
      <w:r w:rsidRPr="00825BFA">
        <w:t xml:space="preserve"> v hospodářském odvětví, které je v rámci klasifikace NACE Revize 2 řazeno do oddílu 24 (Výroba základních kovů), v sousedících městech Düsseldorf a Mülheim an der Ruhr během referenčního období žádosti, které trvalo od 26. dubna 2023 do 26. srpna 2023;</w:t>
      </w:r>
    </w:p>
    <w:p w:rsidR="00415139" w:rsidRPr="00825BFA" w:rsidRDefault="00415139" w:rsidP="00415139">
      <w:pPr>
        <w:pStyle w:val="NormalHanging12a"/>
      </w:pPr>
      <w:r w:rsidRPr="00825BFA">
        <w:t>C.</w:t>
      </w:r>
      <w:r w:rsidRPr="00825BFA">
        <w:tab/>
        <w:t xml:space="preserve">vzhledem k tomu, že žádost se týká 1 518 propuštěných pracovníků společnosti Vallourec Deutschland GmbH (VAD); </w:t>
      </w:r>
    </w:p>
    <w:p w:rsidR="00415139" w:rsidRPr="00825BFA" w:rsidRDefault="00415139" w:rsidP="00415139">
      <w:pPr>
        <w:pStyle w:val="NormalHanging12a"/>
      </w:pPr>
      <w:r w:rsidRPr="00825BFA">
        <w:t>D.</w:t>
      </w:r>
      <w:r w:rsidRPr="00825BFA">
        <w:tab/>
        <w:t>vzhledem k tomu, že žádost byla podána na základě kritérií pro pomoc podle čl. 4 odst. 2 písm. a) nařízení o EFG, podle nichž musí být během čtyřměsíčního referenčního období propuštěno v jednom podniku v jednom členském státě nejméně 200 zaměstnanců, včetně pracovníků propuštěných dodavateli dotčeného podniku a výrobci, kteří jsou jeho odběrateli, nebo osob samostatně výdělečně činných, které přestaly vykonávat svou činnost;</w:t>
      </w:r>
    </w:p>
    <w:p w:rsidR="00415139" w:rsidRPr="00825BFA" w:rsidRDefault="00415139" w:rsidP="00415139">
      <w:pPr>
        <w:pStyle w:val="NormalHanging12a"/>
      </w:pPr>
      <w:r w:rsidRPr="00825BFA">
        <w:t>E.</w:t>
      </w:r>
      <w:r w:rsidRPr="00825BFA">
        <w:tab/>
        <w:t>vzhledem k tomu, že v důsledku pandemie COVID-19 a ruské útočné války proti Ukrajině se v Německu snížila hospodářská konkurenceschopnost a zpomalil se hospodářský růst;</w:t>
      </w:r>
    </w:p>
    <w:p w:rsidR="00415139" w:rsidRPr="00825BFA" w:rsidRDefault="00415139" w:rsidP="00415139">
      <w:pPr>
        <w:pStyle w:val="NormalHanging12a"/>
        <w:rPr>
          <w:rFonts w:eastAsia="Calibri"/>
          <w:szCs w:val="22"/>
        </w:rPr>
      </w:pPr>
      <w:r w:rsidRPr="00825BFA">
        <w:t>F.</w:t>
      </w:r>
      <w:r w:rsidRPr="00825BFA">
        <w:tab/>
        <w:t>vzhledem k tomu, že společnost VAD, německá dceřiná společnost společnosti Vallourec S.A, Francie, vyráběla bezešvé ocelové trubky válcované za tepla ve dvou ocelárnách v Německu; vzhledem k tomu, že po několika letech finančních ztrát, byla v roce 2018 spuštěna řada restrukturalizačních a zmenšovacích opatření a zahájen specializovaný plán obnovy, jehož součástí byly i ústupky pracovníků týkající se pracovních podmínek; vzhledem k tomu, že navzdory určitému úspěchu se hospodářská situace německých válcovacích stolic a válcovacích tratí na trubky dostala po pandemii COVID-19 do dalších obtíží a že následně v důsledku restrukturalizace došlo od roku 2015 ke ztrátě více než 1 400 pracovních míst; vzhledem k tomu, že v roce 2021 se společnost Vallourec S.A. rozhodla prodat německé válcovací stolice a válcovací tratě na trubky a přesunout výrobu do Brazílie; vzhledem k tomu, že prodej se nepodařilo uskutečnit, což vedlo k definitivnímu uzavření závodů a k tomu, že do 1. ledna 2025 budou propuštěni zbývající pracovníci;</w:t>
      </w:r>
    </w:p>
    <w:p w:rsidR="00415139" w:rsidRPr="00825BFA" w:rsidRDefault="00415139" w:rsidP="00415139">
      <w:pPr>
        <w:pStyle w:val="NormalHanging12a"/>
      </w:pPr>
      <w:r w:rsidRPr="00825BFA">
        <w:t>G.</w:t>
      </w:r>
      <w:r w:rsidRPr="00825BFA">
        <w:tab/>
        <w:t xml:space="preserve">vzhledem k tomu, že společnost VAD odsouhlasila zřízení přechodové společnosti pro každou skupinu propuštěných pracovníků a rovněž nabídla plán předčasného odchodu do důchodu pro zaměstnance narozené v roce 1966 nebo dříve, jakož i plány dobrovolného ukončení pracovního poměru pro osoby, které zřejmě nebudou potřebovat dlouhodobější pomoc při hledání nového zaměstnání; </w:t>
      </w:r>
    </w:p>
    <w:p w:rsidR="00415139" w:rsidRPr="00825BFA" w:rsidRDefault="00415139" w:rsidP="00415139">
      <w:pPr>
        <w:pStyle w:val="NormalHanging12a"/>
      </w:pPr>
      <w:r w:rsidRPr="00825BFA">
        <w:lastRenderedPageBreak/>
        <w:t>H.</w:t>
      </w:r>
      <w:r w:rsidRPr="00825BFA">
        <w:tab/>
        <w:t>vzhledem k tomu, že finanční příspěvky z fondu EFG by měly být primárně směřovány na aktivní opatření politiky trhu práce a individualizované služby, jejichž cílem je rychle začlenit příjemce pomoci do důstojného a udržitelného zaměstnání v původním nebo jiném odvětví jejich činnosti a zároveň je připravit na klimaticky neutrální a digitalizovanější evropské hospodářství;</w:t>
      </w:r>
    </w:p>
    <w:p w:rsidR="00415139" w:rsidRPr="00825BFA" w:rsidRDefault="00415139" w:rsidP="00415139">
      <w:pPr>
        <w:pStyle w:val="NormalHanging12a"/>
      </w:pPr>
      <w:r w:rsidRPr="00825BFA">
        <w:t>I.</w:t>
      </w:r>
      <w:r w:rsidRPr="00825BFA">
        <w:tab/>
        <w:t xml:space="preserve">vzhledem k tomu, že revidovaný VFR snižuje maximální roční částku EFG ze 186 milionů EUR na 30 milionů EUR (v cenách roku 2018), jak je stanoveno v článku 8 nařízení Rady (EU, Euratom) 2020/2093 ve znění nařízení (EU, Euratom) 2024/765; vzhledem k tomu, že Komise by měla monitorovat provádění EFG a všechny orgány a instituce by měly přijmout veškerá nezbytná opatření k zajištění toho, aby bylo možné vyhovět všem odůvodněným žádostem o podporu z tohoto fondu jako projev solidarity Evropské unie; </w:t>
      </w:r>
    </w:p>
    <w:p w:rsidR="00415139" w:rsidRPr="00825BFA" w:rsidRDefault="00415139" w:rsidP="00415139">
      <w:pPr>
        <w:pStyle w:val="NormalHanging12a"/>
      </w:pPr>
      <w:r w:rsidRPr="00825BFA">
        <w:t>1.</w:t>
      </w:r>
      <w:r w:rsidRPr="00825BFA">
        <w:tab/>
        <w:t>souhlasí s Komisí, že podmínky stanovené v čl. 4 odst. 2 písm. a) nařízení o EFG byly splněny, a Německo má proto podle uvedeného nařízení nárok na finanční příspěvek ve výši 2 984 627 EUR, což představuje 60 % celkových nákladů, které činí 4 974 379 EUR a zahrnují výdaje na individualizované služby ve výši 4 783 057 EUR a výdaje na přípravné, řídící, informační a propagační, kontrolní a vykazovací činnosti ve výši 191 322 EUR;</w:t>
      </w:r>
    </w:p>
    <w:p w:rsidR="00415139" w:rsidRPr="00825BFA" w:rsidRDefault="00415139" w:rsidP="00415139">
      <w:pPr>
        <w:pStyle w:val="NormalHanging12a"/>
      </w:pPr>
      <w:r w:rsidRPr="00825BFA">
        <w:t>2.</w:t>
      </w:r>
      <w:r w:rsidRPr="00825BFA">
        <w:tab/>
        <w:t xml:space="preserve">konstatuje, že německé orgány podaly žádost dne 15. listopadu 2023 a že poté, co Německo poskytlo další informace, dokončila Komise své posouzení dne 29. února 2024 a tentýž den o tom informovala Parlament; </w:t>
      </w:r>
    </w:p>
    <w:p w:rsidR="00415139" w:rsidRPr="00825BFA" w:rsidRDefault="00415139" w:rsidP="00415139">
      <w:pPr>
        <w:pStyle w:val="NormalHanging12a"/>
      </w:pPr>
      <w:r w:rsidRPr="00825BFA">
        <w:t>3.</w:t>
      </w:r>
      <w:r w:rsidRPr="00825BFA">
        <w:tab/>
        <w:t>konstatuje, že žádost se týká 1 518 propuštěných pracovníků společnosti Vallourec Deutschland GmbH (VAD); dále poznamenává, že celkem 835 pracovníků bude cílovými příjemci;</w:t>
      </w:r>
    </w:p>
    <w:p w:rsidR="00415139" w:rsidRPr="00825BFA" w:rsidRDefault="00415139" w:rsidP="00415139">
      <w:pPr>
        <w:pStyle w:val="NormalHanging12a"/>
      </w:pPr>
      <w:r w:rsidRPr="00825BFA">
        <w:t>4.</w:t>
      </w:r>
      <w:r w:rsidRPr="00825BFA">
        <w:tab/>
        <w:t xml:space="preserve">zdůrazňuje, že tato propouštění budou mít značný negativní dopad na místní hospodářství, které v uplynulých desetiletích čelilo významným strukturálním změnám, při nichž došlo k výraznému snížení počtu pracovních míst ve výrobě, zejména ve výrobě kovů; poukazuje na to, že propouštění způsobí zvýšení míry nezaměstnanosti v Mülheimu o 11,6 % a v Düsseldorfu o 5,6 %;  </w:t>
      </w:r>
    </w:p>
    <w:p w:rsidR="00415139" w:rsidRPr="00825BFA" w:rsidRDefault="00415139" w:rsidP="00415139">
      <w:pPr>
        <w:pStyle w:val="NormalHanging12a"/>
      </w:pPr>
      <w:r w:rsidRPr="00825BFA">
        <w:t>5.</w:t>
      </w:r>
      <w:r w:rsidRPr="00825BFA">
        <w:tab/>
        <w:t>poukazuje na to, že profily propuštěných pracovníků neodpovídají dovednostem požadovaným na trhu práce; dále zdůrazňuje, že většina dotčených pracovníků je v pokročilé fázi své profesní dráhy, neboť pro VAD pracovali po dlouhou dobu, mají úroveň formální kvalifikace, která je činí nekonkurenceschopnými na současném trhu práce, neboť 20,1 % z nich je ve věku nad 54 let; vyzdvihuje, že prohlubování dovedností a rekvalifikace pracovníků v souladu s požadavky trhu práce na kvalifikovaných pracovních místech budou tedy problematické, zejména s ohledem na vysoký počet osob, které byly propuštěny současně; dále upozorňuje na to, že při prohlubování dovedností a rekvalifikaci propuštěných pracovníků je třeba zohlednit střednědobé až dlouhodobé kvalifikační potřeby spojené s transformací průmyslu na klimaticky neutrální budoucnost;</w:t>
      </w:r>
    </w:p>
    <w:p w:rsidR="00415139" w:rsidRPr="00825BFA" w:rsidRDefault="00415139" w:rsidP="00415139">
      <w:pPr>
        <w:pStyle w:val="NormalHanging12a"/>
      </w:pPr>
      <w:r w:rsidRPr="00825BFA">
        <w:t>6.</w:t>
      </w:r>
      <w:r w:rsidRPr="00825BFA">
        <w:tab/>
        <w:t xml:space="preserve">domnívá se, že Unie nese sociální odpovědnost za zajištění toho, aby byla těmto propuštěným pracovníkům poskytnuta potřebná kvalifikace pro ekologickou a spravedlivou transformaci průmyslu Unie v souladu se Zelenou dohodou pro Evropu, neboť pracovali v odvětví s vysokými emisemi uhlíku; zdůrazňuje význam výzkumu a inovací pro to, aby Evropa byla připravena na budoucnost v průmyslové výrobě, má-li </w:t>
      </w:r>
      <w:r w:rsidRPr="00825BFA">
        <w:lastRenderedPageBreak/>
        <w:t>se zabránit tomu, aby se Unie uchýlila k dekarbonizaci prostřednictvím deindustrializace; vítá proto individualizované služby poskytované pracovníkům prostřednictvím EFG, které zahrnují opatření na zvyšování kvalifikace, workshopy, profesní orientaci, pracovní poradenství a příspěvky na odbornou přípravu a mají zajistit, aby se tento region a celý trh práce staly v budoucnu udržitelnějšími a odolnějšími;</w:t>
      </w:r>
    </w:p>
    <w:p w:rsidR="00415139" w:rsidRPr="00825BFA" w:rsidRDefault="00415139" w:rsidP="00415139">
      <w:pPr>
        <w:pStyle w:val="NormalHanging12a"/>
      </w:pPr>
      <w:r w:rsidRPr="00825BFA">
        <w:t>7.</w:t>
      </w:r>
      <w:r w:rsidRPr="00825BFA">
        <w:tab/>
        <w:t>s potěšením bere na vědomí, že koordinovaný balíček služeb na míru Německo vypracovalo po konzultaci s cílovými příjemci, jejich zástupci a sociálními partnery; oceňuje zejména skutečnost, že vedení podniku bezprostředně po rozhodnutí o uzavření válcovací stolice a válcovací tratě na trubky zahájilo se zástupci zaměstnanců jednání o sociálním plánu, a zejména o založení přechodové společnosti; uznává, že společnost VAD vyvinula značné úsilí, aby minimalizovala sociální dopady uzavření závodů;</w:t>
      </w:r>
    </w:p>
    <w:p w:rsidR="00415139" w:rsidRPr="00825BFA" w:rsidRDefault="00415139" w:rsidP="00415139">
      <w:pPr>
        <w:pStyle w:val="NormalHanging12a"/>
      </w:pPr>
      <w:r w:rsidRPr="00825BFA">
        <w:t>8.</w:t>
      </w:r>
      <w:r w:rsidRPr="00825BFA">
        <w:tab/>
        <w:t>připomíná, že pracovníkům a osobám samostatně výdělečně činným mají být poskytnuty tyto individualizované služby: individuální odborná příprava a rekvalifikace, profesní poradenství, individuální pomoc při hledání zaměstnání a cílené skupinové aktivity, podpora a příspěvek na založení podniku a také pobídky a příspěvky;</w:t>
      </w:r>
    </w:p>
    <w:p w:rsidR="00415139" w:rsidRPr="00825BFA" w:rsidRDefault="00415139" w:rsidP="00415139">
      <w:pPr>
        <w:pStyle w:val="NormalHanging12a"/>
      </w:pPr>
      <w:r w:rsidRPr="00825BFA">
        <w:t>9.</w:t>
      </w:r>
      <w:r w:rsidRPr="00825BFA">
        <w:tab/>
      </w:r>
      <w:r w:rsidRPr="00825BFA">
        <w:rPr>
          <w:sz w:val="23"/>
        </w:rPr>
        <w:t>velmi oceňuje navrhované opatření týkající se základních digitálních dovedností (Digitale Grundqualifizierung), které zajišťuje šíření dovedností požadovaných v digitálním průmyslovém věku, jak je stanoveno v čl. 7 odst. 2 nařízení o EFG; konstatuje, že toto opatření je zaměřeno zejména na účastníky, kteří nemají žádné nebo velmi omezené digitální dovednosti; vítá, že účastníkům budou poskytnuty notebooky, aby mohli kurz a praxi absolvovat doma, a také že zvláštní pozornost bude věnována praktickým dovednostem, které účastníkům pomohou používat internetové nástroje pro hledání zaměstnání;</w:t>
      </w:r>
    </w:p>
    <w:p w:rsidR="00415139" w:rsidRPr="00825BFA" w:rsidRDefault="00415139" w:rsidP="00415139">
      <w:pPr>
        <w:pStyle w:val="NormalHanging12a"/>
      </w:pPr>
      <w:r w:rsidRPr="00825BFA">
        <w:t>10.</w:t>
      </w:r>
      <w:r w:rsidRPr="00825BFA">
        <w:tab/>
        <w:t>konstatuje, že Německo začalo poskytovat individualizované služby cílovým příjemcům dne 1. prosince 2023, a že období způsobilosti pro finanční příspěvek z EFG tudíž bude začínat 1. prosince 2023 a potrvá 24 měsíců ode dne vstupu rozhodnutí o financování v platnost;</w:t>
      </w:r>
    </w:p>
    <w:p w:rsidR="00415139" w:rsidRPr="00825BFA" w:rsidRDefault="00415139" w:rsidP="00415139">
      <w:pPr>
        <w:pStyle w:val="NormalHanging12a"/>
        <w:rPr>
          <w:sz w:val="23"/>
          <w:szCs w:val="23"/>
        </w:rPr>
      </w:pPr>
      <w:r w:rsidRPr="00825BFA">
        <w:t>11.</w:t>
      </w:r>
      <w:r w:rsidRPr="00825BFA">
        <w:tab/>
        <w:t>konstatuje, že Německu začaly vznikat administrativní výdaje spojené s prováděním EFG dne 1. ledna 2023, a že výdaje na činnosti spojené s přípravou, řízením, informováním a propagací, kontrolou a výkaznictvím jsou proto způsobilé pro finanční příspěvek z EFG od 1. ledna 2023 po 31 měsíců ode dne vstupu rozhodnutí o financování v platnost;</w:t>
      </w:r>
    </w:p>
    <w:p w:rsidR="00415139" w:rsidRPr="00825BFA" w:rsidRDefault="00415139" w:rsidP="00415139">
      <w:pPr>
        <w:pStyle w:val="NormalHanging12a"/>
      </w:pPr>
      <w:r w:rsidRPr="00825BFA">
        <w:t>12.</w:t>
      </w:r>
      <w:r w:rsidRPr="00825BFA">
        <w:tab/>
        <w:t>zdůrazňuje, že německé orgány potvrdily, že na způsobilá opatření není poskytována pomoc z jiných fondů nebo finančních nástrojů Unie a že při přístupu k navrhovaným opatřením a jejich provádění budou dodržovány zásady rovného zacházení a nediskriminace;</w:t>
      </w:r>
    </w:p>
    <w:p w:rsidR="00415139" w:rsidRPr="00825BFA" w:rsidRDefault="00415139" w:rsidP="00415139">
      <w:pPr>
        <w:pStyle w:val="NormalHanging12a"/>
      </w:pPr>
      <w:r w:rsidRPr="00825BFA">
        <w:t>13.</w:t>
      </w:r>
      <w:r w:rsidRPr="00825BFA">
        <w:tab/>
        <w:t>opakuje, že pomoc z EFG nesmí nahrazovat opatření, za něž jsou na základě vnitrostátních právních předpisů nebo kolektivních smluv odpovědné podniky, ani příspěvky nebo práva propuštěných pracovníků, aby se plně zajistil doplňkový charakter přidělené pomoci;</w:t>
      </w:r>
    </w:p>
    <w:p w:rsidR="00415139" w:rsidRPr="00825BFA" w:rsidRDefault="00415139" w:rsidP="00415139">
      <w:pPr>
        <w:pStyle w:val="NormalHanging12a"/>
      </w:pPr>
      <w:r w:rsidRPr="00825BFA">
        <w:t>14.</w:t>
      </w:r>
      <w:r w:rsidRPr="00825BFA">
        <w:tab/>
        <w:t>schvaluje rozhodnutí uvedené v příloze k tomuto usnesení;</w:t>
      </w:r>
    </w:p>
    <w:p w:rsidR="00415139" w:rsidRPr="00825BFA" w:rsidRDefault="00415139" w:rsidP="00415139">
      <w:pPr>
        <w:pStyle w:val="NormalHanging12a"/>
        <w:jc w:val="both"/>
      </w:pPr>
      <w:r w:rsidRPr="00825BFA">
        <w:t>15.</w:t>
      </w:r>
      <w:r w:rsidRPr="00825BFA">
        <w:tab/>
        <w:t xml:space="preserve">pověřuje svou předsedkyni, aby podepsala toto rozhodnutí společně s předsedou Rady a aby zajistila jeho zveřejnění v </w:t>
      </w:r>
      <w:r w:rsidRPr="00825BFA">
        <w:rPr>
          <w:i/>
          <w:iCs/>
        </w:rPr>
        <w:t>Úředním věstníku Evropské unie</w:t>
      </w:r>
      <w:r w:rsidRPr="00825BFA">
        <w:t>;</w:t>
      </w:r>
    </w:p>
    <w:p w:rsidR="00415139" w:rsidRPr="00825BFA" w:rsidRDefault="00415139" w:rsidP="00415139">
      <w:pPr>
        <w:pStyle w:val="NormalHanging12a"/>
        <w:jc w:val="both"/>
        <w:sectPr w:rsidR="00415139" w:rsidRPr="00825BFA" w:rsidSect="00825BFA">
          <w:footerReference w:type="even" r:id="rId9"/>
          <w:footerReference w:type="first" r:id="rId10"/>
          <w:footnotePr>
            <w:numRestart w:val="eachPage"/>
          </w:footnotePr>
          <w:endnotePr>
            <w:numFmt w:val="decimal"/>
          </w:endnotePr>
          <w:pgSz w:w="11906" w:h="16838" w:code="9"/>
          <w:pgMar w:top="1134" w:right="1418" w:bottom="1418" w:left="1418" w:header="567" w:footer="567" w:gutter="0"/>
          <w:cols w:space="720"/>
          <w:noEndnote/>
          <w:docGrid w:linePitch="326"/>
        </w:sectPr>
      </w:pPr>
      <w:r w:rsidRPr="00825BFA">
        <w:lastRenderedPageBreak/>
        <w:t>16.</w:t>
      </w:r>
      <w:r w:rsidRPr="00825BFA">
        <w:tab/>
        <w:t>pověřuje svou předsedkyni, aby předala toto usnesení včetně přílohy Radě a Komisi.</w:t>
      </w:r>
    </w:p>
    <w:p w:rsidR="00415139" w:rsidRPr="00825BFA" w:rsidRDefault="00415139" w:rsidP="00415139">
      <w:pPr>
        <w:pStyle w:val="NormalHanging12a"/>
        <w:ind w:left="0" w:firstLine="0"/>
        <w:jc w:val="both"/>
        <w:rPr>
          <w:szCs w:val="24"/>
        </w:rPr>
      </w:pPr>
    </w:p>
    <w:p w:rsidR="00130296" w:rsidRPr="00130296" w:rsidRDefault="00130296" w:rsidP="00415139">
      <w:pPr>
        <w:pStyle w:val="PageHeading"/>
        <w:rPr>
          <w:rFonts w:ascii="Times New Roman" w:hAnsi="Times New Roman" w:cs="Times New Roman"/>
        </w:rPr>
      </w:pPr>
      <w:bookmarkStart w:id="8" w:name="_Toc164239368"/>
      <w:r w:rsidRPr="00130296">
        <w:rPr>
          <w:rFonts w:ascii="Times New Roman" w:hAnsi="Times New Roman" w:cs="Times New Roman"/>
        </w:rPr>
        <w:t>PŘÍLOHA</w:t>
      </w:r>
    </w:p>
    <w:p w:rsidR="00415139" w:rsidRPr="00130296" w:rsidRDefault="00415139" w:rsidP="00415139">
      <w:pPr>
        <w:pStyle w:val="PageHeading"/>
        <w:rPr>
          <w:rFonts w:ascii="Times New Roman" w:hAnsi="Times New Roman" w:cs="Times New Roman"/>
          <w:noProof/>
        </w:rPr>
      </w:pPr>
      <w:r w:rsidRPr="00130296">
        <w:rPr>
          <w:rFonts w:ascii="Times New Roman" w:hAnsi="Times New Roman" w:cs="Times New Roman"/>
        </w:rPr>
        <w:t>ROZHODNUTÍ EVROPSKÉHO PARLAMENTU A RADY</w:t>
      </w:r>
      <w:bookmarkEnd w:id="8"/>
    </w:p>
    <w:p w:rsidR="00415139" w:rsidRDefault="00415139" w:rsidP="00415139">
      <w:pPr>
        <w:pStyle w:val="NormalBold24a"/>
      </w:pPr>
      <w:r w:rsidRPr="00825BFA">
        <w:t>o uvolnění prostředků z Evropského fondu pro přizpůsobení se globalizaci na pomoc propuštěným pracovníkům na základě žádosti Německa – EGF/2023/003 DE/Vallourec</w:t>
      </w:r>
    </w:p>
    <w:p w:rsidR="00130296" w:rsidRPr="00130296" w:rsidRDefault="00130296" w:rsidP="00415139">
      <w:pPr>
        <w:pStyle w:val="NormalBold24a"/>
        <w:rPr>
          <w:b w:val="0"/>
        </w:rPr>
      </w:pPr>
      <w:r w:rsidRPr="00130296">
        <w:rPr>
          <w:b w:val="0"/>
          <w:i/>
          <w:lang w:eastAsia="de-DE"/>
        </w:rPr>
        <w:t>(Znění této přílohy se zde neuvádí, jelikož odpovídá znění konečného aktu, rozhodnutí (EU) 20</w:t>
      </w:r>
      <w:r>
        <w:rPr>
          <w:b w:val="0"/>
          <w:i/>
          <w:lang w:eastAsia="de-DE"/>
        </w:rPr>
        <w:t>24</w:t>
      </w:r>
      <w:r w:rsidRPr="00130296">
        <w:rPr>
          <w:b w:val="0"/>
          <w:i/>
          <w:lang w:eastAsia="de-DE"/>
        </w:rPr>
        <w:t>/</w:t>
      </w:r>
      <w:r>
        <w:rPr>
          <w:b w:val="0"/>
          <w:i/>
          <w:lang w:eastAsia="de-DE"/>
        </w:rPr>
        <w:t>1298</w:t>
      </w:r>
      <w:bookmarkStart w:id="9" w:name="_GoBack"/>
      <w:bookmarkEnd w:id="9"/>
      <w:r w:rsidRPr="00130296">
        <w:rPr>
          <w:b w:val="0"/>
          <w:i/>
          <w:lang w:eastAsia="de-DE"/>
        </w:rPr>
        <w:t>.)</w:t>
      </w:r>
    </w:p>
    <w:sectPr w:rsidR="00130296" w:rsidRPr="00130296" w:rsidSect="00825BF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65F" w:rsidRPr="00825BFA" w:rsidRDefault="0002465F">
      <w:r w:rsidRPr="00825BFA">
        <w:separator/>
      </w:r>
    </w:p>
  </w:endnote>
  <w:endnote w:type="continuationSeparator" w:id="0">
    <w:p w:rsidR="0002465F" w:rsidRPr="00825BFA" w:rsidRDefault="0002465F">
      <w:r w:rsidRPr="00825B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39" w:rsidRPr="00825BFA" w:rsidRDefault="00415139" w:rsidP="00CA3F61">
    <w:pPr>
      <w:pStyle w:val="EPFooter"/>
    </w:pPr>
    <w:r w:rsidRPr="00825BFA">
      <w:t>PE</w:t>
    </w:r>
    <w:r w:rsidRPr="00825BFA">
      <w:rPr>
        <w:rStyle w:val="HideTWBExt"/>
      </w:rPr>
      <w:t>&lt;NoPE&gt;</w:t>
    </w:r>
    <w:r w:rsidRPr="00825BFA">
      <w:t>759.759</w:t>
    </w:r>
    <w:r w:rsidRPr="00825BFA">
      <w:rPr>
        <w:rStyle w:val="HideTWBExt"/>
      </w:rPr>
      <w:t>&lt;/NoPE&gt;&lt;Version&gt;</w:t>
    </w:r>
    <w:r w:rsidRPr="00825BFA">
      <w:t>v02-00</w:t>
    </w:r>
    <w:r w:rsidRPr="00825BFA">
      <w:rPr>
        <w:rStyle w:val="HideTWBExt"/>
      </w:rPr>
      <w:t>&lt;/Version&gt;</w:t>
    </w:r>
    <w:r w:rsidRPr="00825BFA">
      <w:tab/>
    </w:r>
    <w:r w:rsidRPr="00825BFA">
      <w:fldChar w:fldCharType="begin"/>
    </w:r>
    <w:r w:rsidRPr="00825BFA">
      <w:instrText xml:space="preserve"> PAGE  \* MERGEFORMAT </w:instrText>
    </w:r>
    <w:r w:rsidRPr="00825BFA">
      <w:fldChar w:fldCharType="separate"/>
    </w:r>
    <w:r w:rsidR="00825BFA" w:rsidRPr="00825BFA">
      <w:rPr>
        <w:noProof/>
      </w:rPr>
      <w:t>2</w:t>
    </w:r>
    <w:r w:rsidRPr="00825BFA">
      <w:fldChar w:fldCharType="end"/>
    </w:r>
    <w:r w:rsidRPr="00825BFA">
      <w:t>/</w:t>
    </w:r>
    <w:fldSimple w:instr=" NUMPAGES  \* MERGEFORMAT ">
      <w:r w:rsidR="00825BFA" w:rsidRPr="00825BFA">
        <w:rPr>
          <w:noProof/>
        </w:rPr>
        <w:t>9</w:t>
      </w:r>
    </w:fldSimple>
    <w:r w:rsidRPr="00825BFA">
      <w:tab/>
    </w:r>
    <w:r w:rsidRPr="00825BFA">
      <w:rPr>
        <w:rStyle w:val="HideTWBExt"/>
      </w:rPr>
      <w:t>&lt;PathFdR&gt;</w:t>
    </w:r>
    <w:r w:rsidRPr="00825BFA">
      <w:t>RR\1300657CS.docx</w:t>
    </w:r>
    <w:r w:rsidRPr="00825BFA">
      <w:rPr>
        <w:rStyle w:val="HideTWBExt"/>
      </w:rPr>
      <w:t>&lt;/PathFdR&gt;</w:t>
    </w:r>
  </w:p>
  <w:p w:rsidR="00415139" w:rsidRPr="00825BFA" w:rsidRDefault="00415139" w:rsidP="00CA3F61">
    <w:pPr>
      <w:pStyle w:val="EPFooter2"/>
    </w:pPr>
    <w:r w:rsidRPr="00825BFA">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139" w:rsidRPr="00825BFA" w:rsidRDefault="00415139" w:rsidP="00CA3F61">
    <w:pPr>
      <w:pStyle w:val="EPFooter"/>
    </w:pPr>
    <w:r w:rsidRPr="00825BFA">
      <w:rPr>
        <w:rStyle w:val="HideTWBExt"/>
      </w:rPr>
      <w:t>&lt;PathFdR&gt;</w:t>
    </w:r>
    <w:r w:rsidRPr="00825BFA">
      <w:t>RR\1300657CS.docx</w:t>
    </w:r>
    <w:r w:rsidRPr="00825BFA">
      <w:rPr>
        <w:rStyle w:val="HideTWBExt"/>
      </w:rPr>
      <w:t>&lt;/PathFdR&gt;</w:t>
    </w:r>
    <w:r w:rsidRPr="00825BFA">
      <w:tab/>
    </w:r>
    <w:r w:rsidRPr="00825BFA">
      <w:tab/>
      <w:t>PE</w:t>
    </w:r>
    <w:r w:rsidRPr="00825BFA">
      <w:rPr>
        <w:rStyle w:val="HideTWBExt"/>
      </w:rPr>
      <w:t>&lt;NoPE&gt;</w:t>
    </w:r>
    <w:r w:rsidRPr="00825BFA">
      <w:t>759.759</w:t>
    </w:r>
    <w:r w:rsidRPr="00825BFA">
      <w:rPr>
        <w:rStyle w:val="HideTWBExt"/>
      </w:rPr>
      <w:t>&lt;/NoPE&gt;&lt;Version&gt;</w:t>
    </w:r>
    <w:r w:rsidRPr="00825BFA">
      <w:t>v02-00</w:t>
    </w:r>
    <w:r w:rsidRPr="00825BFA">
      <w:rPr>
        <w:rStyle w:val="HideTWBExt"/>
      </w:rPr>
      <w:t>&lt;/Version&gt;</w:t>
    </w:r>
  </w:p>
  <w:p w:rsidR="00415139" w:rsidRPr="00825BFA" w:rsidRDefault="00415139" w:rsidP="00CA3F61">
    <w:pPr>
      <w:pStyle w:val="EPFooter2"/>
    </w:pPr>
    <w:r w:rsidRPr="00825BFA">
      <w:t>CS</w:t>
    </w:r>
    <w:r w:rsidRPr="00825BFA">
      <w:tab/>
    </w:r>
    <w:r w:rsidRPr="00825BFA">
      <w:rPr>
        <w:b w:val="0"/>
        <w:i/>
        <w:color w:val="C0C0C0"/>
        <w:sz w:val="22"/>
      </w:rPr>
      <w:t>Jednotná v rozmanitosti</w:t>
    </w:r>
    <w:r w:rsidRPr="00825BFA">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F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F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65F" w:rsidRPr="00825BFA" w:rsidRDefault="0002465F">
      <w:r w:rsidRPr="00825BFA">
        <w:separator/>
      </w:r>
    </w:p>
  </w:footnote>
  <w:footnote w:type="continuationSeparator" w:id="0">
    <w:p w:rsidR="0002465F" w:rsidRPr="00825BFA" w:rsidRDefault="0002465F">
      <w:r w:rsidRPr="00825BFA">
        <w:continuationSeparator/>
      </w:r>
    </w:p>
  </w:footnote>
  <w:footnote w:id="1">
    <w:p w:rsidR="00415139" w:rsidRPr="00825BFA" w:rsidRDefault="00415139" w:rsidP="00825BFA">
      <w:pPr>
        <w:pStyle w:val="FootnoteText"/>
        <w:ind w:left="567" w:hanging="567"/>
        <w:rPr>
          <w:sz w:val="24"/>
          <w:lang w:val="cs-CZ"/>
        </w:rPr>
      </w:pPr>
      <w:r w:rsidRPr="00825BFA">
        <w:rPr>
          <w:rStyle w:val="FootnoteReference"/>
          <w:sz w:val="24"/>
          <w:lang w:val="cs-CZ"/>
        </w:rPr>
        <w:footnoteRef/>
      </w:r>
      <w:r w:rsidR="00825BFA" w:rsidRPr="00825BFA">
        <w:rPr>
          <w:sz w:val="24"/>
          <w:lang w:val="cs-CZ"/>
        </w:rPr>
        <w:t xml:space="preserve"> </w:t>
      </w:r>
      <w:r w:rsidR="00825BFA" w:rsidRPr="00825BFA">
        <w:rPr>
          <w:sz w:val="24"/>
          <w:lang w:val="cs-CZ"/>
        </w:rPr>
        <w:tab/>
      </w:r>
      <w:r w:rsidRPr="00825BFA">
        <w:rPr>
          <w:sz w:val="24"/>
          <w:lang w:val="cs-CZ"/>
        </w:rPr>
        <w:t>Úř. věst. L 153, 3.5.2021, s. 48.</w:t>
      </w:r>
    </w:p>
  </w:footnote>
  <w:footnote w:id="2">
    <w:p w:rsidR="00415139" w:rsidRPr="00825BFA" w:rsidRDefault="00415139" w:rsidP="00825BFA">
      <w:pPr>
        <w:pStyle w:val="FootnoteText"/>
        <w:ind w:left="567" w:hanging="567"/>
        <w:rPr>
          <w:sz w:val="24"/>
          <w:lang w:val="cs-CZ"/>
        </w:rPr>
      </w:pPr>
      <w:r w:rsidRPr="00825BFA">
        <w:rPr>
          <w:rStyle w:val="FootnoteReference"/>
          <w:sz w:val="24"/>
          <w:lang w:val="cs-CZ"/>
        </w:rPr>
        <w:footnoteRef/>
      </w:r>
      <w:r w:rsidR="00825BFA" w:rsidRPr="00825BFA">
        <w:rPr>
          <w:sz w:val="24"/>
          <w:lang w:val="cs-CZ"/>
        </w:rPr>
        <w:t xml:space="preserve"> </w:t>
      </w:r>
      <w:r w:rsidR="00825BFA" w:rsidRPr="00825BFA">
        <w:rPr>
          <w:sz w:val="24"/>
          <w:lang w:val="cs-CZ"/>
        </w:rPr>
        <w:tab/>
      </w:r>
      <w:r w:rsidRPr="00825BFA">
        <w:rPr>
          <w:sz w:val="24"/>
          <w:lang w:val="cs-CZ"/>
        </w:rPr>
        <w:t>Úř. věst. L 433 I, 22.12.2020, s. 11.</w:t>
      </w:r>
    </w:p>
  </w:footnote>
  <w:footnote w:id="3">
    <w:p w:rsidR="00415139" w:rsidRPr="00130296" w:rsidRDefault="00415139" w:rsidP="00825BFA">
      <w:pPr>
        <w:pStyle w:val="FootnoteText"/>
        <w:ind w:left="567" w:hanging="567"/>
        <w:rPr>
          <w:i/>
          <w:sz w:val="24"/>
          <w:lang w:val="cs-CZ"/>
        </w:rPr>
      </w:pPr>
      <w:r w:rsidRPr="00825BFA">
        <w:rPr>
          <w:rStyle w:val="FootnoteReference"/>
          <w:sz w:val="24"/>
          <w:lang w:val="cs-CZ"/>
        </w:rPr>
        <w:footnoteRef/>
      </w:r>
      <w:r w:rsidR="00825BFA" w:rsidRPr="00825BFA">
        <w:rPr>
          <w:color w:val="333333"/>
          <w:sz w:val="24"/>
          <w:shd w:val="clear" w:color="auto" w:fill="FFFFFF"/>
          <w:lang w:val="cs-CZ"/>
        </w:rPr>
        <w:t xml:space="preserve"> </w:t>
      </w:r>
      <w:r w:rsidR="00825BFA" w:rsidRPr="00825BFA">
        <w:rPr>
          <w:color w:val="333333"/>
          <w:sz w:val="24"/>
          <w:shd w:val="clear" w:color="auto" w:fill="FFFFFF"/>
          <w:lang w:val="cs-CZ"/>
        </w:rPr>
        <w:tab/>
      </w:r>
      <w:r w:rsidRPr="00825BFA">
        <w:rPr>
          <w:sz w:val="24"/>
          <w:lang w:val="cs-CZ"/>
        </w:rPr>
        <w:t xml:space="preserve">Úř. věst. L, 2024/765, 29.2.2024, </w:t>
      </w:r>
      <w:r w:rsidRPr="00130296">
        <w:rPr>
          <w:rStyle w:val="Emphasis"/>
          <w:i w:val="0"/>
          <w:sz w:val="24"/>
          <w:shd w:val="clear" w:color="auto" w:fill="FFFFFF"/>
          <w:lang w:val="cs-CZ"/>
        </w:rPr>
        <w:t xml:space="preserve">ELI: </w:t>
      </w:r>
      <w:hyperlink r:id="rId1" w:history="1">
        <w:r w:rsidRPr="00130296">
          <w:rPr>
            <w:rStyle w:val="Hyperlink"/>
            <w:sz w:val="24"/>
            <w:shd w:val="clear" w:color="auto" w:fill="FFFFFF"/>
            <w:lang w:val="cs-CZ"/>
          </w:rPr>
          <w:t>http://data.europa.eu/eli/reg/2024/765/oj</w:t>
        </w:r>
      </w:hyperlink>
      <w:r w:rsidRPr="00130296">
        <w:rPr>
          <w:rStyle w:val="Emphasis"/>
          <w:i w:val="0"/>
          <w:sz w:val="24"/>
          <w:shd w:val="clear" w:color="auto" w:fill="FFFFFF"/>
          <w:lang w:val="cs-CZ"/>
        </w:rPr>
        <w:t>.</w:t>
      </w:r>
    </w:p>
  </w:footnote>
  <w:footnote w:id="4">
    <w:p w:rsidR="00415139" w:rsidRPr="00825BFA" w:rsidRDefault="00415139" w:rsidP="00825BFA">
      <w:pPr>
        <w:pStyle w:val="FootnoteText"/>
        <w:ind w:left="567" w:hanging="567"/>
        <w:rPr>
          <w:sz w:val="24"/>
          <w:lang w:val="cs-CZ"/>
        </w:rPr>
      </w:pPr>
      <w:r w:rsidRPr="00825BFA">
        <w:rPr>
          <w:rStyle w:val="FootnoteReference"/>
          <w:sz w:val="24"/>
          <w:lang w:val="cs-CZ"/>
        </w:rPr>
        <w:footnoteRef/>
      </w:r>
      <w:r w:rsidR="00825BFA" w:rsidRPr="00825BFA">
        <w:rPr>
          <w:sz w:val="24"/>
          <w:lang w:val="cs-CZ"/>
        </w:rPr>
        <w:t xml:space="preserve"> </w:t>
      </w:r>
      <w:r w:rsidR="00825BFA" w:rsidRPr="00825BFA">
        <w:rPr>
          <w:sz w:val="24"/>
          <w:lang w:val="cs-CZ"/>
        </w:rPr>
        <w:tab/>
      </w:r>
      <w:r w:rsidRPr="00825BFA">
        <w:rPr>
          <w:sz w:val="24"/>
          <w:lang w:val="cs-CZ"/>
        </w:rPr>
        <w:t>Úř. věst. L 433 I, 22.12.2020, s. 28.</w:t>
      </w:r>
    </w:p>
  </w:footnote>
  <w:footnote w:id="5">
    <w:p w:rsidR="00415139" w:rsidRPr="00825BFA" w:rsidRDefault="00415139" w:rsidP="00825BFA">
      <w:pPr>
        <w:pStyle w:val="FootnoteText"/>
        <w:ind w:left="567" w:hanging="567"/>
        <w:rPr>
          <w:sz w:val="24"/>
          <w:lang w:val="cs-CZ"/>
        </w:rPr>
      </w:pPr>
      <w:r w:rsidRPr="00825BFA">
        <w:rPr>
          <w:rStyle w:val="FootnoteReference"/>
          <w:sz w:val="24"/>
          <w:lang w:val="cs-CZ"/>
        </w:rPr>
        <w:footnoteRef/>
      </w:r>
      <w:r w:rsidR="00825BFA" w:rsidRPr="00825BFA">
        <w:rPr>
          <w:sz w:val="24"/>
          <w:lang w:val="cs-CZ"/>
        </w:rPr>
        <w:t xml:space="preserve"> </w:t>
      </w:r>
      <w:r w:rsidR="00825BFA" w:rsidRPr="00825BFA">
        <w:rPr>
          <w:sz w:val="24"/>
          <w:lang w:val="cs-CZ"/>
        </w:rPr>
        <w:tab/>
      </w:r>
      <w:r w:rsidRPr="00825BFA">
        <w:rPr>
          <w:sz w:val="24"/>
          <w:lang w:val="cs-CZ"/>
        </w:rPr>
        <w:t>Ve smyslu článku 3 nařízení o EFG.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5B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6/2024"/>
    <w:docVar w:name="dvlangue" w:val="CS"/>
    <w:docVar w:name="dvnumam" w:val="0"/>
    <w:docVar w:name="dvpe" w:val="759.759"/>
    <w:docVar w:name="dvrapporteur" w:val="Zpravodaj: "/>
    <w:docVar w:name="dvtitre" w:val="Usnesení Evropského parlamentu ze dne.... 2024 o návrhu rozhodnutí Evropského parlamentu a Rady o uvolnění prostředků z Evropského fondu pro přizpůsobení se globalizaci na pomoc propuštěným pracovníkům na základě žádosti Německa – EGF/2023/003 DE/Vallourec(COM(2024)0030 – C9-0041/2024 – 2024/0049(BUD))"/>
  </w:docVars>
  <w:rsids>
    <w:rsidRoot w:val="0002465F"/>
    <w:rsid w:val="00002272"/>
    <w:rsid w:val="0002465F"/>
    <w:rsid w:val="00064002"/>
    <w:rsid w:val="000677B9"/>
    <w:rsid w:val="000831BA"/>
    <w:rsid w:val="000A42CC"/>
    <w:rsid w:val="000E7DD9"/>
    <w:rsid w:val="0010095E"/>
    <w:rsid w:val="00125B37"/>
    <w:rsid w:val="00130296"/>
    <w:rsid w:val="00187494"/>
    <w:rsid w:val="001F32AE"/>
    <w:rsid w:val="002767FF"/>
    <w:rsid w:val="002B18FE"/>
    <w:rsid w:val="002B5493"/>
    <w:rsid w:val="00343214"/>
    <w:rsid w:val="00361C00"/>
    <w:rsid w:val="00395FA1"/>
    <w:rsid w:val="003E15D4"/>
    <w:rsid w:val="00411CCE"/>
    <w:rsid w:val="00415139"/>
    <w:rsid w:val="0041666E"/>
    <w:rsid w:val="00421060"/>
    <w:rsid w:val="00471C19"/>
    <w:rsid w:val="004867E3"/>
    <w:rsid w:val="00487F9F"/>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5BFA"/>
    <w:rsid w:val="00842779"/>
    <w:rsid w:val="00865F67"/>
    <w:rsid w:val="00881A7B"/>
    <w:rsid w:val="008840E5"/>
    <w:rsid w:val="00887B3E"/>
    <w:rsid w:val="008C2AC6"/>
    <w:rsid w:val="00930C23"/>
    <w:rsid w:val="0093193B"/>
    <w:rsid w:val="009509D8"/>
    <w:rsid w:val="00950B64"/>
    <w:rsid w:val="00981893"/>
    <w:rsid w:val="00A1687D"/>
    <w:rsid w:val="00A222B7"/>
    <w:rsid w:val="00A43E52"/>
    <w:rsid w:val="00A4678D"/>
    <w:rsid w:val="00A57D90"/>
    <w:rsid w:val="00A778C7"/>
    <w:rsid w:val="00AB441E"/>
    <w:rsid w:val="00AB6293"/>
    <w:rsid w:val="00AE0928"/>
    <w:rsid w:val="00AF3B82"/>
    <w:rsid w:val="00B12E95"/>
    <w:rsid w:val="00B22876"/>
    <w:rsid w:val="00B558F0"/>
    <w:rsid w:val="00BD48FE"/>
    <w:rsid w:val="00BD7BD8"/>
    <w:rsid w:val="00BE6ADC"/>
    <w:rsid w:val="00C05BFE"/>
    <w:rsid w:val="00C23CD4"/>
    <w:rsid w:val="00C44EAC"/>
    <w:rsid w:val="00C61C0C"/>
    <w:rsid w:val="00C941CB"/>
    <w:rsid w:val="00CC2357"/>
    <w:rsid w:val="00CF071A"/>
    <w:rsid w:val="00D058B8"/>
    <w:rsid w:val="00D56C11"/>
    <w:rsid w:val="00D834A0"/>
    <w:rsid w:val="00D83FC2"/>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A6EF4"/>
  <w15:chartTrackingRefBased/>
  <w15:docId w15:val="{089CEF82-F7FC-4B50-BA86-471D64670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15139"/>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15139"/>
    <w:pPr>
      <w:keepNext/>
      <w:spacing w:after="480"/>
      <w:jc w:val="center"/>
    </w:pPr>
    <w:rPr>
      <w:rFonts w:ascii="Arial" w:hAnsi="Arial" w:cs="Arial"/>
      <w:b/>
    </w:rPr>
  </w:style>
  <w:style w:type="paragraph" w:customStyle="1" w:styleId="NormalHanging12a">
    <w:name w:val="NormalHanging12a"/>
    <w:basedOn w:val="Normal"/>
    <w:link w:val="NormalHanging12aChar"/>
    <w:rsid w:val="00415139"/>
    <w:pPr>
      <w:spacing w:after="240"/>
      <w:ind w:left="567" w:hanging="567"/>
    </w:pPr>
  </w:style>
  <w:style w:type="paragraph" w:styleId="Header">
    <w:name w:val="header"/>
    <w:basedOn w:val="Normal"/>
    <w:link w:val="HeaderChar"/>
    <w:rsid w:val="00415139"/>
    <w:pPr>
      <w:tabs>
        <w:tab w:val="center" w:pos="4513"/>
        <w:tab w:val="right" w:pos="9026"/>
      </w:tabs>
    </w:pPr>
  </w:style>
  <w:style w:type="character" w:customStyle="1" w:styleId="HeaderChar">
    <w:name w:val="Header Char"/>
    <w:basedOn w:val="DefaultParagraphFont"/>
    <w:link w:val="Header"/>
    <w:rsid w:val="00415139"/>
    <w:rPr>
      <w:sz w:val="24"/>
      <w:lang w:val="cs-CZ"/>
    </w:rPr>
  </w:style>
  <w:style w:type="paragraph" w:customStyle="1" w:styleId="NormalBold24a">
    <w:name w:val="NormalBold24a"/>
    <w:basedOn w:val="Normal"/>
    <w:rsid w:val="00415139"/>
    <w:pPr>
      <w:spacing w:after="480"/>
    </w:pPr>
    <w:rPr>
      <w:b/>
      <w:bCs/>
    </w:rPr>
  </w:style>
  <w:style w:type="paragraph" w:customStyle="1" w:styleId="EPFooter">
    <w:name w:val="EPFooter"/>
    <w:basedOn w:val="Normal"/>
    <w:rsid w:val="00415139"/>
    <w:pPr>
      <w:tabs>
        <w:tab w:val="center" w:pos="4535"/>
        <w:tab w:val="right" w:pos="9071"/>
      </w:tabs>
      <w:spacing w:before="240" w:after="240"/>
    </w:pPr>
    <w:rPr>
      <w:color w:val="010000"/>
      <w:sz w:val="22"/>
    </w:rPr>
  </w:style>
  <w:style w:type="paragraph" w:customStyle="1" w:styleId="EPComma">
    <w:name w:val="EPComma"/>
    <w:basedOn w:val="Normal"/>
    <w:rsid w:val="00415139"/>
    <w:pPr>
      <w:spacing w:before="480" w:after="240"/>
    </w:pPr>
  </w:style>
  <w:style w:type="character" w:customStyle="1" w:styleId="NormalHanging12aChar">
    <w:name w:val="NormalHanging12a Char"/>
    <w:basedOn w:val="DefaultParagraphFont"/>
    <w:link w:val="NormalHanging12a"/>
    <w:locked/>
    <w:rsid w:val="00415139"/>
    <w:rPr>
      <w:sz w:val="24"/>
      <w:lang w:val="cs-CZ"/>
    </w:rPr>
  </w:style>
  <w:style w:type="paragraph" w:customStyle="1" w:styleId="Institutionquisigne">
    <w:name w:val="Institution qui signe"/>
    <w:basedOn w:val="Normal"/>
    <w:next w:val="Normal"/>
    <w:rsid w:val="00415139"/>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15139"/>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1513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1513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15139"/>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415139"/>
    <w:pPr>
      <w:widowControl/>
      <w:spacing w:before="120" w:after="120"/>
      <w:ind w:left="709" w:hanging="709"/>
      <w:jc w:val="both"/>
    </w:pPr>
    <w:rPr>
      <w:rFonts w:eastAsiaTheme="minorEastAsia"/>
      <w:szCs w:val="22"/>
      <w:lang w:eastAsia="en-US"/>
    </w:rPr>
  </w:style>
  <w:style w:type="character" w:styleId="Emphasis">
    <w:name w:val="Emphasis"/>
    <w:basedOn w:val="DefaultParagraphFont"/>
    <w:uiPriority w:val="20"/>
    <w:qFormat/>
    <w:rsid w:val="00415139"/>
    <w:rPr>
      <w:i/>
      <w:iCs/>
    </w:rPr>
  </w:style>
  <w:style w:type="character" w:customStyle="1" w:styleId="PageHeadingChar">
    <w:name w:val="PageHeading Char"/>
    <w:basedOn w:val="DefaultParagraphFont"/>
    <w:link w:val="PageHeading"/>
    <w:rsid w:val="00415139"/>
    <w:rPr>
      <w:rFonts w:ascii="Arial" w:hAnsi="Arial" w:cs="Arial"/>
      <w:b/>
      <w:sz w:val="24"/>
      <w:lang w:val="cs-CZ"/>
    </w:rPr>
  </w:style>
  <w:style w:type="paragraph" w:styleId="Footer">
    <w:name w:val="footer"/>
    <w:basedOn w:val="Normal"/>
    <w:link w:val="FooterChar"/>
    <w:rsid w:val="00C44EAC"/>
    <w:pPr>
      <w:tabs>
        <w:tab w:val="center" w:pos="4513"/>
        <w:tab w:val="right" w:pos="9026"/>
      </w:tabs>
    </w:pPr>
  </w:style>
  <w:style w:type="character" w:customStyle="1" w:styleId="FooterChar">
    <w:name w:val="Footer Char"/>
    <w:basedOn w:val="DefaultParagraphFont"/>
    <w:link w:val="Footer"/>
    <w:rsid w:val="00C44EAC"/>
    <w:rPr>
      <w:sz w:val="24"/>
      <w:lang w:val="cs-CZ"/>
    </w:rPr>
  </w:style>
  <w:style w:type="paragraph" w:styleId="BalloonText">
    <w:name w:val="Balloon Text"/>
    <w:basedOn w:val="Normal"/>
    <w:link w:val="BalloonTextChar"/>
    <w:rsid w:val="00C44EAC"/>
    <w:rPr>
      <w:rFonts w:ascii="Segoe UI" w:hAnsi="Segoe UI" w:cs="Segoe UI"/>
      <w:sz w:val="18"/>
      <w:szCs w:val="18"/>
    </w:rPr>
  </w:style>
  <w:style w:type="character" w:customStyle="1" w:styleId="BalloonTextChar">
    <w:name w:val="Balloon Text Char"/>
    <w:basedOn w:val="DefaultParagraphFont"/>
    <w:link w:val="BalloonText"/>
    <w:rsid w:val="00C44EAC"/>
    <w:rPr>
      <w:rFonts w:ascii="Segoe UI" w:hAnsi="Segoe UI" w:cs="Segoe UI"/>
      <w:sz w:val="18"/>
      <w:szCs w:val="18"/>
      <w:lang w:val="cs-CZ"/>
    </w:rPr>
  </w:style>
  <w:style w:type="character" w:styleId="Hyperlink">
    <w:name w:val="Hyperlink"/>
    <w:basedOn w:val="DefaultParagraphFont"/>
    <w:rsid w:val="001302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42A47-ADC5-494D-A17B-8213EA07D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1687</Words>
  <Characters>9994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Jindra Konopková</cp:lastModifiedBy>
  <cp:revision>2</cp:revision>
  <cp:lastPrinted>2004-11-19T15:42:00Z</cp:lastPrinted>
  <dcterms:created xsi:type="dcterms:W3CDTF">2024-09-05T10:59:00Z</dcterms:created>
  <dcterms:modified xsi:type="dcterms:W3CDTF">2024-09-05T10:59:00Z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P9_TA(2024)0333_</vt:lpwstr>
  </property>
  <property fmtid="{D5CDD505-2E9C-101B-9397-08002B2CF9AE}" pid="4" name="&lt;Type&gt;">
    <vt:lpwstr>RR</vt:lpwstr>
  </property>
</Properties>
</file>