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16CA" w:rsidTr="0010095E">
        <w:trPr>
          <w:trHeight w:hRule="exact" w:val="1418"/>
        </w:trPr>
        <w:tc>
          <w:tcPr>
            <w:tcW w:w="6804" w:type="dxa"/>
            <w:shd w:val="clear" w:color="auto" w:fill="auto"/>
            <w:vAlign w:val="center"/>
          </w:tcPr>
          <w:p w:rsidR="00751A4A" w:rsidRPr="00DB16CA" w:rsidRDefault="00652ABC" w:rsidP="0010095E">
            <w:pPr>
              <w:pStyle w:val="EPName"/>
            </w:pPr>
            <w:r w:rsidRPr="00DB16CA">
              <w:t>Ευρωπαϊκό Κοινοβούλιο</w:t>
            </w:r>
          </w:p>
          <w:p w:rsidR="00751A4A" w:rsidRPr="00DB16CA" w:rsidRDefault="00817416" w:rsidP="00756632">
            <w:pPr>
              <w:pStyle w:val="EPTerm"/>
              <w:rPr>
                <w:rStyle w:val="HideTWBExt"/>
                <w:noProof w:val="0"/>
                <w:vanish w:val="0"/>
                <w:color w:val="auto"/>
              </w:rPr>
            </w:pPr>
            <w:r w:rsidRPr="00DB16CA">
              <w:t>2019-2024</w:t>
            </w:r>
          </w:p>
        </w:tc>
        <w:tc>
          <w:tcPr>
            <w:tcW w:w="2268" w:type="dxa"/>
            <w:shd w:val="clear" w:color="auto" w:fill="auto"/>
          </w:tcPr>
          <w:p w:rsidR="00751A4A" w:rsidRPr="00DB16CA" w:rsidRDefault="00187494" w:rsidP="0010095E">
            <w:pPr>
              <w:pStyle w:val="EPLogo"/>
            </w:pPr>
            <w:r w:rsidRPr="00DB16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16CA" w:rsidRDefault="00D058B8" w:rsidP="004C5D52">
      <w:pPr>
        <w:pStyle w:val="LineTop"/>
      </w:pPr>
    </w:p>
    <w:p w:rsidR="00680577" w:rsidRPr="00DB16CA" w:rsidRDefault="00652ABC" w:rsidP="00680577">
      <w:pPr>
        <w:pStyle w:val="EPBodyTA1"/>
      </w:pPr>
      <w:r w:rsidRPr="00DB16CA">
        <w:t>ΚΕΙΜΕΝΑ ΠΟΥ ΕΓΚΡΙΘΗΚΑΝ</w:t>
      </w:r>
    </w:p>
    <w:p w:rsidR="00D058B8" w:rsidRPr="00DB16CA" w:rsidRDefault="00D058B8" w:rsidP="00D058B8">
      <w:pPr>
        <w:pStyle w:val="LineBottom"/>
      </w:pPr>
    </w:p>
    <w:p w:rsidR="00652ABC" w:rsidRPr="00DB16CA" w:rsidRDefault="00652ABC" w:rsidP="00652ABC">
      <w:pPr>
        <w:pStyle w:val="ATHeading1"/>
      </w:pPr>
      <w:bookmarkStart w:id="0" w:name="TANumber"/>
      <w:r w:rsidRPr="00DB16CA">
        <w:t>P9_TA(2024)0</w:t>
      </w:r>
      <w:r w:rsidR="00DB16CA" w:rsidRPr="00DB16CA">
        <w:t>333</w:t>
      </w:r>
      <w:bookmarkEnd w:id="0"/>
    </w:p>
    <w:p w:rsidR="00652ABC" w:rsidRPr="00DB16CA" w:rsidRDefault="00652ABC" w:rsidP="00652ABC">
      <w:pPr>
        <w:pStyle w:val="ATHeading2"/>
      </w:pPr>
      <w:bookmarkStart w:id="1" w:name="title"/>
      <w:r w:rsidRPr="00DB16CA">
        <w:t xml:space="preserve">Κινητοποίηση του Ευρωπαϊκού Ταμείου Προσαρμογής στην Παγκοσμιοποίηση </w:t>
      </w:r>
      <w:r w:rsidR="004931DC" w:rsidRPr="00DB16CA">
        <w:t>–</w:t>
      </w:r>
      <w:r w:rsidRPr="00DB16CA">
        <w:t xml:space="preserve"> Αίτηση EGF/2023/003 DE/Vallourec </w:t>
      </w:r>
      <w:r w:rsidR="001A0C81" w:rsidRPr="00DB16CA">
        <w:t>–</w:t>
      </w:r>
      <w:r w:rsidRPr="00DB16CA">
        <w:t xml:space="preserve"> Γερμανία</w:t>
      </w:r>
      <w:bookmarkEnd w:id="1"/>
    </w:p>
    <w:p w:rsidR="00652ABC" w:rsidRPr="00DB16CA" w:rsidRDefault="00652ABC" w:rsidP="00652ABC">
      <w:pPr>
        <w:rPr>
          <w:i/>
          <w:vanish/>
        </w:rPr>
      </w:pPr>
      <w:r w:rsidRPr="00DB16CA">
        <w:rPr>
          <w:i/>
        </w:rPr>
        <w:fldChar w:fldCharType="begin"/>
      </w:r>
      <w:r w:rsidRPr="00DB16CA">
        <w:rPr>
          <w:i/>
        </w:rPr>
        <w:instrText xml:space="preserve"> TC"(</w:instrText>
      </w:r>
      <w:bookmarkStart w:id="2" w:name="DocNumber"/>
      <w:r w:rsidRPr="00DB16CA">
        <w:rPr>
          <w:i/>
        </w:rPr>
        <w:instrText>A9-0166/2024</w:instrText>
      </w:r>
      <w:bookmarkEnd w:id="2"/>
      <w:r w:rsidRPr="00DB16CA">
        <w:rPr>
          <w:i/>
        </w:rPr>
        <w:instrText xml:space="preserve"> - Εισηγητής: Jens Geier)"\l3 \n&gt; \* MERGEFORMAT </w:instrText>
      </w:r>
      <w:r w:rsidRPr="00DB16CA">
        <w:rPr>
          <w:i/>
        </w:rPr>
        <w:fldChar w:fldCharType="end"/>
      </w:r>
    </w:p>
    <w:p w:rsidR="00652ABC" w:rsidRPr="00DB16CA" w:rsidRDefault="00652ABC" w:rsidP="00652ABC">
      <w:pPr>
        <w:rPr>
          <w:vanish/>
        </w:rPr>
      </w:pPr>
      <w:bookmarkStart w:id="3" w:name="Commission"/>
      <w:r w:rsidRPr="00DB16CA">
        <w:rPr>
          <w:vanish/>
        </w:rPr>
        <w:t>Επιτροπή Προϋπολογισμών</w:t>
      </w:r>
      <w:bookmarkEnd w:id="3"/>
    </w:p>
    <w:p w:rsidR="00652ABC" w:rsidRPr="00DB16CA" w:rsidRDefault="00652ABC" w:rsidP="00652ABC">
      <w:pPr>
        <w:rPr>
          <w:vanish/>
        </w:rPr>
      </w:pPr>
      <w:bookmarkStart w:id="4" w:name="PE"/>
      <w:r w:rsidRPr="00DB16CA">
        <w:rPr>
          <w:vanish/>
        </w:rPr>
        <w:t>PE759.759</w:t>
      </w:r>
      <w:bookmarkEnd w:id="4"/>
    </w:p>
    <w:p w:rsidR="00652ABC" w:rsidRPr="00DB16CA" w:rsidRDefault="00652ABC" w:rsidP="00652ABC">
      <w:pPr>
        <w:pStyle w:val="ATHeading3"/>
      </w:pPr>
      <w:bookmarkStart w:id="5" w:name="Sujet"/>
      <w:r w:rsidRPr="00DB16CA">
        <w:t xml:space="preserve">Ψήφισμα του Ευρωπαϊκού Κοινοβουλίου </w:t>
      </w:r>
      <w:r w:rsidR="001A0C81" w:rsidRPr="00DB16CA">
        <w:t>της 2</w:t>
      </w:r>
      <w:r w:rsidR="001F66D2" w:rsidRPr="00DB16CA">
        <w:t>4</w:t>
      </w:r>
      <w:r w:rsidR="001A0C81" w:rsidRPr="00DB16CA">
        <w:t xml:space="preserve">ης Απριλίου 2024 </w:t>
      </w:r>
      <w:r w:rsidRPr="00DB16CA">
        <w:t xml:space="preserve">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w:t>
      </w:r>
      <w:bookmarkStart w:id="6" w:name="_GoBack"/>
      <w:bookmarkEnd w:id="6"/>
      <w:r w:rsidRPr="00DB16CA">
        <w:t>της Γερμανίας – EGF/2023/003 DE/Vallourec</w:t>
      </w:r>
      <w:bookmarkEnd w:id="5"/>
      <w:r w:rsidRPr="00DB16CA">
        <w:t xml:space="preserve"> </w:t>
      </w:r>
      <w:bookmarkStart w:id="7" w:name="References"/>
      <w:r w:rsidRPr="00DB16CA">
        <w:t>(COM(2024)0030 – C9-0041/2024 – 2024/0049(BUD))</w:t>
      </w:r>
      <w:bookmarkEnd w:id="7"/>
    </w:p>
    <w:p w:rsidR="00E671F0" w:rsidRPr="00DB16CA" w:rsidRDefault="00E671F0" w:rsidP="00E671F0">
      <w:pPr>
        <w:pStyle w:val="EPComma"/>
        <w:rPr>
          <w:noProof/>
        </w:rPr>
      </w:pPr>
      <w:bookmarkStart w:id="8" w:name="TextBodyBegin"/>
      <w:bookmarkEnd w:id="8"/>
      <w:r w:rsidRPr="00DB16CA">
        <w:rPr>
          <w:i/>
        </w:rPr>
        <w:t>Το Ευρωπαϊκό Κοινοβούλιο</w:t>
      </w:r>
      <w:r w:rsidRPr="00DB16CA">
        <w:t>,</w:t>
      </w:r>
    </w:p>
    <w:p w:rsidR="00E671F0" w:rsidRPr="00DB16CA" w:rsidRDefault="00E671F0" w:rsidP="001A0C81">
      <w:pPr>
        <w:pStyle w:val="NormalHanging12a"/>
        <w:widowControl/>
        <w:rPr>
          <w:noProof/>
        </w:rPr>
      </w:pPr>
      <w:r w:rsidRPr="00DB16CA">
        <w:t>–</w:t>
      </w:r>
      <w:r w:rsidRPr="00DB16CA">
        <w:tab/>
        <w:t>έχοντας υπόψη την πρόταση της Επιτροπής προς το Ευρωπαϊκό Κοινοβούλιο και το Συμβούλιο (COM(2024)0030 – C9</w:t>
      </w:r>
      <w:r w:rsidRPr="00DB16CA">
        <w:noBreakHyphen/>
        <w:t>0041/2024),</w:t>
      </w:r>
    </w:p>
    <w:p w:rsidR="00E671F0" w:rsidRPr="00DB16CA" w:rsidRDefault="00E671F0" w:rsidP="001A0C81">
      <w:pPr>
        <w:pStyle w:val="NormalHanging12a"/>
        <w:widowControl/>
      </w:pPr>
      <w:r w:rsidRPr="00DB16CA">
        <w:t>–</w:t>
      </w:r>
      <w:r w:rsidRPr="00DB16CA">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DB16CA">
        <w:rPr>
          <w:rStyle w:val="FootnoteReference"/>
          <w:noProof/>
        </w:rPr>
        <w:footnoteReference w:id="1"/>
      </w:r>
      <w:r w:rsidRPr="00DB16CA">
        <w:t xml:space="preserve"> (</w:t>
      </w:r>
      <w:r w:rsidR="001A0C81" w:rsidRPr="00DB16CA">
        <w:t>«</w:t>
      </w:r>
      <w:r w:rsidRPr="00DB16CA">
        <w:t>κανονισμός ΕΤΠ</w:t>
      </w:r>
      <w:r w:rsidR="001A0C81" w:rsidRPr="00DB16CA">
        <w:t>»</w:t>
      </w:r>
      <w:r w:rsidRPr="00DB16CA">
        <w:t>),</w:t>
      </w:r>
    </w:p>
    <w:p w:rsidR="00E671F0" w:rsidRPr="00DB16CA" w:rsidRDefault="00E671F0" w:rsidP="001A0C81">
      <w:pPr>
        <w:pStyle w:val="NormalHanging12a"/>
        <w:widowControl/>
        <w:rPr>
          <w:noProof/>
        </w:rPr>
      </w:pPr>
      <w:r w:rsidRPr="00DB16CA">
        <w:t>–</w:t>
      </w:r>
      <w:r w:rsidRPr="00DB16CA">
        <w:tab/>
        <w:t>έχοντας υπόψη τον κανονισμό (ΕΕ, Ευρατόμ) 2020/2093 του Συμβουλίου, της 17ης</w:t>
      </w:r>
      <w:r w:rsidR="001A0C81" w:rsidRPr="00DB16CA">
        <w:t> </w:t>
      </w:r>
      <w:r w:rsidRPr="00DB16CA">
        <w:t>Δεκεμβρίου 2020, για τον καθορισμό του πολυετούς δημοσιονομικού πλαισίου για την περίοδο 2021-2027</w:t>
      </w:r>
      <w:r w:rsidRPr="00DB16CA">
        <w:rPr>
          <w:rStyle w:val="FootnoteReference"/>
          <w:noProof/>
        </w:rPr>
        <w:footnoteReference w:id="2"/>
      </w:r>
      <w:r w:rsidRPr="00DB16CA">
        <w:t>, όπως τροποποιήθηκε με τον κανονισμό (ΕΕ, Ευρατόμ) 2024/765</w:t>
      </w:r>
      <w:r w:rsidR="001A0C81" w:rsidRPr="00DB16CA">
        <w:t xml:space="preserve">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w:t>
      </w:r>
      <w:r w:rsidRPr="00DB16CA">
        <w:rPr>
          <w:rStyle w:val="FootnoteReference"/>
          <w:bdr w:val="none" w:sz="0" w:space="0" w:color="auto" w:frame="1"/>
        </w:rPr>
        <w:footnoteReference w:id="3"/>
      </w:r>
      <w:r w:rsidRPr="00DB16CA">
        <w:t>, και ιδίως το άρθρο 8,</w:t>
      </w:r>
    </w:p>
    <w:p w:rsidR="00E671F0" w:rsidRPr="00DB16CA" w:rsidRDefault="00E671F0" w:rsidP="001A0C81">
      <w:pPr>
        <w:pStyle w:val="NormalHanging12a"/>
        <w:widowControl/>
        <w:rPr>
          <w:noProof/>
        </w:rPr>
      </w:pPr>
      <w:r w:rsidRPr="00DB16CA">
        <w:t>–</w:t>
      </w:r>
      <w:r w:rsidRPr="00DB16CA">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w:t>
      </w:r>
      <w:r w:rsidRPr="00DB16CA">
        <w:lastRenderedPageBreak/>
        <w:t>ιδίους πόρους, συμπεριλαμβανομένου ενός οδικού χάρτη για την εισαγωγή νέων ιδίων πόρων</w:t>
      </w:r>
      <w:r w:rsidRPr="00DB16CA">
        <w:rPr>
          <w:rStyle w:val="FootnoteReference"/>
          <w:noProof/>
        </w:rPr>
        <w:footnoteReference w:id="4"/>
      </w:r>
      <w:r w:rsidRPr="00DB16CA">
        <w:t>, και ιδίως το σημείο 9,</w:t>
      </w:r>
    </w:p>
    <w:p w:rsidR="00E671F0" w:rsidRPr="00DB16CA" w:rsidRDefault="00E671F0" w:rsidP="001A0C81">
      <w:pPr>
        <w:pStyle w:val="NormalHanging12a"/>
        <w:widowControl/>
      </w:pPr>
      <w:r w:rsidRPr="00DB16CA">
        <w:t>–</w:t>
      </w:r>
      <w:r w:rsidRPr="00DB16CA">
        <w:tab/>
        <w:t>έχοντας υπόψη την επιστολή της Επιτροπής Απασχόλησης και Κοινωνικών Υποθέσεων,</w:t>
      </w:r>
    </w:p>
    <w:p w:rsidR="00E671F0" w:rsidRPr="00DB16CA" w:rsidRDefault="00E671F0" w:rsidP="001A0C81">
      <w:pPr>
        <w:pStyle w:val="NormalHanging12a"/>
        <w:widowControl/>
      </w:pPr>
      <w:r w:rsidRPr="00DB16CA">
        <w:t>–</w:t>
      </w:r>
      <w:r w:rsidRPr="00DB16CA">
        <w:tab/>
        <w:t>έχοντας υπόψη την επιστολή της Επιτροπής Προϋπολογισμών (A9-0166/2024),</w:t>
      </w:r>
    </w:p>
    <w:p w:rsidR="00E671F0" w:rsidRPr="00DB16CA" w:rsidRDefault="00E671F0" w:rsidP="001A0C81">
      <w:pPr>
        <w:pStyle w:val="NormalHanging12a"/>
        <w:widowControl/>
      </w:pPr>
      <w:r w:rsidRPr="00DB16CA">
        <w:t>Α.</w:t>
      </w:r>
      <w:r w:rsidRPr="00DB16CA">
        <w:tab/>
        <w:t>λαμβάνοντας υπόψη ότι η Ένωση έχει θεσπίσει νομοθετικά και δημοσιονομικά μέσα για να παρέχει πρόσθετη στήριξη στους εργαζομένους που πλήττονται από τις συνέπειες των μεγάλων διαρθρωτικών αλλαγών στη μορφή του παγκόσμιου εμπορίου ή από την παγκόσμια χρηματοπιστωτική και οικονομική κρίση και για να διευκολύνει την επανένταξή τους στην αγορά εργασίας· λαμβάνοντας υπόψη ότι η διευκόλυνση αυτή υλοποιείται με την παροχή χρηματοδοτικής στήριξης στους εργαζομένους και τις εταιρείες για τις οποίες εργάστηκαν·</w:t>
      </w:r>
    </w:p>
    <w:p w:rsidR="00E671F0" w:rsidRPr="00DB16CA" w:rsidRDefault="00E671F0" w:rsidP="001A0C81">
      <w:pPr>
        <w:pStyle w:val="NormalHanging12a"/>
        <w:widowControl/>
      </w:pPr>
      <w:r w:rsidRPr="00DB16CA">
        <w:t>Β.</w:t>
      </w:r>
      <w:r w:rsidRPr="00DB16CA">
        <w:tab/>
        <w:t>λαμβάνοντας υπόψη ότι η Γερμανία υπέβαλε την αίτηση EGF/2023/003 DE/Vallourec για χρηματοδοτική συνεισφορά από το Ευρωπαϊκό Ταμείο Προσαρμογής στην Παγκοσμιοποίηση (ΕΤΠ) έπειτα από 1 518 απολύσεις</w:t>
      </w:r>
      <w:r w:rsidRPr="00DB16CA">
        <w:rPr>
          <w:rStyle w:val="FootnoteReference"/>
        </w:rPr>
        <w:footnoteReference w:id="5"/>
      </w:r>
      <w:r w:rsidRPr="00DB16CA">
        <w:t xml:space="preserve"> στον οικονομικό τομέα που ταξινομείται στον κλάδο 24 [Παραγωγή βασικών μετάλλων] της NACE αναθ. 2 στις γειτονικές πόλεις του Düsseldorf και του Mülheim an der Ruhr, εντός προθεσμίας αναφοράς για την υποβολή αίτησης από τις 26 Απριλίου 2023 έως τις 26 Αυγούστου 2023·</w:t>
      </w:r>
    </w:p>
    <w:p w:rsidR="00E671F0" w:rsidRPr="00DB16CA" w:rsidRDefault="00E671F0" w:rsidP="001A0C81">
      <w:pPr>
        <w:pStyle w:val="NormalHanging12a"/>
        <w:widowControl/>
      </w:pPr>
      <w:r w:rsidRPr="00DB16CA">
        <w:t xml:space="preserve">Γ. </w:t>
      </w:r>
      <w:r w:rsidRPr="00DB16CA">
        <w:tab/>
        <w:t xml:space="preserve">λαμβάνοντας υπόψη ότι η αίτηση αφορά 1 518 εργαζομένους που απολύθηκαν από την εταιρεία Vallourec Deutschland GmbH (VAD)· </w:t>
      </w:r>
    </w:p>
    <w:p w:rsidR="00E671F0" w:rsidRPr="00DB16CA" w:rsidRDefault="00E671F0" w:rsidP="001A0C81">
      <w:pPr>
        <w:pStyle w:val="NormalHanging12a"/>
        <w:widowControl/>
      </w:pPr>
      <w:r w:rsidRPr="00DB16CA">
        <w:t xml:space="preserve">Δ. </w:t>
      </w:r>
      <w:r w:rsidRPr="00DB16CA">
        <w:tab/>
        <w:t xml:space="preserve">λαμβάνοντας υπόψη ότι η αίτηση βασίζεται στα κριτήρια παρέμβασης του άρθρου 4 παράγραφος 2 στοιχείο α) του </w:t>
      </w:r>
      <w:r w:rsidR="001A0C81" w:rsidRPr="00DB16CA">
        <w:t>κ</w:t>
      </w:r>
      <w:r w:rsidRPr="00DB16CA">
        <w:t>ανονισμού ΕΤΠ, σύμφωνα με το οποίο απαιτείται η απόλυση λόγω πλεονασμού τουλάχιστον 200 εργαζομένων, κατά τη διάρκεια περιόδου αναφοράς τεσσάρων μηνών σε επιχείρηση σε κράτος μέλος, συμπεριλαμβανομένων εργαζομένων οι οποίοι απολύθηκαν από προμηθευτές και από παραγωγούς των επομένων σταδίων του προϊόντος και/ή αυτοαπασχολούμενων των οποίων η δραστηριότητα έπαυσε·</w:t>
      </w:r>
    </w:p>
    <w:p w:rsidR="00E671F0" w:rsidRPr="00DB16CA" w:rsidRDefault="00E671F0" w:rsidP="001A0C81">
      <w:pPr>
        <w:pStyle w:val="NormalHanging12a"/>
        <w:widowControl/>
      </w:pPr>
      <w:r w:rsidRPr="00DB16CA">
        <w:t xml:space="preserve">Ε. </w:t>
      </w:r>
      <w:r w:rsidRPr="00DB16CA">
        <w:tab/>
        <w:t>λαμβάνοντας υπόψη ότι η πανδημία της COVID-19 και ο επιθετικός πόλεμος της Ρωσίας κατά της Ουκρανίας έχουν μειώσει την οικονομική ανταγωνιστικότητα και έχουν αρνητικό αντίκτυπο στην οικονομική ανάπτυξη της Γερμανίας·</w:t>
      </w:r>
    </w:p>
    <w:p w:rsidR="00E671F0" w:rsidRPr="00DB16CA" w:rsidRDefault="00E671F0" w:rsidP="001A0C81">
      <w:pPr>
        <w:pStyle w:val="NormalHanging12a"/>
        <w:widowControl/>
      </w:pPr>
      <w:r w:rsidRPr="00DB16CA">
        <w:t>ΣΤ.</w:t>
      </w:r>
      <w:r w:rsidRPr="00DB16CA">
        <w:tab/>
        <w:t>λαμβάνοντας υπόψη ότι η επιχείρηση VAD, γερμανική θυγατρική της Vallourec S.A, Γαλλία, κατασκεύαζε χαλύβδινους σωλήνες θερμής έλασης χωρίς συγκόλληση στα δύο χαλυβουργεία της στη Γερμανία· λαμβάνοντας υπόψη ότι, μετά από χρόνια οικονομικών ζημιών, το 2018 εγκρίθηκαν ορισμένα μέτρα αναδιάρθρωσης και μείωσης του μεγέθους της επιχείρησης και δρομολογήθηκε ειδικό σχέδιο ανάκαμψης, το οποίο περιλάμβανε παραχωρήσεις από τους εργαζομένους όσον αφορά τις συνθήκες απασχόλησης· λαμβάνοντας υπόψη ότι, παρά μια σχετική επιτυχία, η οικονομική κατάσταση μετά την πανδημία</w:t>
      </w:r>
      <w:r w:rsidR="001A0C81" w:rsidRPr="00DB16CA">
        <w:t xml:space="preserve"> της</w:t>
      </w:r>
      <w:r w:rsidRPr="00DB16CA">
        <w:t xml:space="preserve"> COVID-19 είχε ως αποτέλεσμα περαιτέρω δυσκολίες για τη γερμανική σωληνουργία, καθώς και ότι από το 2015 έχουν ήδη απολεσθεί περισσότερες από 1 400 θέσεις εργασίας λόγω αναδιάρθρωσης· </w:t>
      </w:r>
      <w:r w:rsidRPr="00DB16CA">
        <w:lastRenderedPageBreak/>
        <w:t>λαμβάνοντας υπόψη ότι το 2021 η Vallourec S.A. αποφάσισε να πουλήσει τα γερμανικά εργοστάσια σωληνουργίας και να μεταφέρει την παραγωγή στη Βραζιλία· λαμβάνοντας υπόψη ότι η πώληση απέτυχε, με αποτέλεσμα το οριστικό κλείσιμο των εργοστασίων και την απόλυση του εναπομένοντος εργατικού δυναμικού έως την 1η</w:t>
      </w:r>
      <w:r w:rsidR="001A0C81" w:rsidRPr="00DB16CA">
        <w:t> </w:t>
      </w:r>
      <w:r w:rsidRPr="00DB16CA">
        <w:t>Ιανουαρίου 2025·</w:t>
      </w:r>
    </w:p>
    <w:p w:rsidR="00E671F0" w:rsidRPr="00DB16CA" w:rsidRDefault="00E671F0" w:rsidP="001A0C81">
      <w:pPr>
        <w:pStyle w:val="NormalHanging12a"/>
        <w:widowControl/>
      </w:pPr>
      <w:r w:rsidRPr="00DB16CA">
        <w:t>Ζ.</w:t>
      </w:r>
      <w:r w:rsidRPr="00DB16CA">
        <w:tab/>
        <w:t xml:space="preserve">λαμβάνοντας υπόψη ότι η VAD συμφώνησε να συστήσει μια εταιρεία μεταβίβασης για κάθε δέσμη απολύσεων και προσέφερε επίσης πρόγραμμα πρόωρης συνταξιοδότησης για τους εργαζομένους που γεννήθηκαν το 1966 ή νωρίτερα, καθώς και εθελοντικά σχέδια τερματισμού για άτομα που ενδεχομένως δεν χρειάζονταν μεγαλύτερη βοήθεια για να βρουν νέα θέση εργασίας· </w:t>
      </w:r>
    </w:p>
    <w:p w:rsidR="00E671F0" w:rsidRPr="00DB16CA" w:rsidRDefault="00E671F0" w:rsidP="001A0C81">
      <w:pPr>
        <w:pStyle w:val="NormalHanging12a"/>
        <w:widowControl/>
      </w:pPr>
      <w:r w:rsidRPr="00DB16CA">
        <w:t>Η.</w:t>
      </w:r>
      <w:r w:rsidRPr="00DB16CA">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εντός ή εκτός του αρχικού τομέα δραστηριότητάς τους, προετοιμάζοντάς τους παράλληλα για μια κλιματικά ουδέτερη και πιο ψηφιακή ευρωπαϊκή οικονομία·</w:t>
      </w:r>
    </w:p>
    <w:p w:rsidR="00E671F0" w:rsidRPr="00DB16CA" w:rsidRDefault="00E671F0" w:rsidP="001A0C81">
      <w:pPr>
        <w:pStyle w:val="NormalHanging12a"/>
        <w:widowControl/>
      </w:pPr>
      <w:r w:rsidRPr="00DB16CA">
        <w:t>Θ.</w:t>
      </w:r>
      <w:r w:rsidRPr="00DB16CA">
        <w:tab/>
        <w:t xml:space="preserve">λαμβάνοντας υπόψη ότι η αναθεώρηση του ΠΔΠ μειώνει το ανώτατο ετήσιο ποσό του ΕΤΠ από 186 εκατομμύρια EUR σε 30 εκατομμύρια EUR (σε τιμές 2018), όπως ορίζεται στο άρθρο 8 του κανονισμού (ΕΕ, Ευρατόμ) 2020/2093 του Συμβουλίου, όπως τροποποιήθηκε με τον κανονισμό (ΕΕ, Ευρατόμ) 2024/765· λαμβάνοντας υπόψη ότι η Επιτροπή θα πρέπει να παρακολουθεί την εφαρμογή του ΕΤΠ και όλα τα θεσμικά όργανα θα πρέπει να λαμβάνουν όλα τα αναγκαία μέτρα για να διασφαλίσουν ότι θα καταστεί δυνατόν να ικανοποιηθούν όλες οι αιτιολογημένες αιτήσεις για στήριξη από το ΕΤΠ, ως απόδειξη της αλληλεγγύης της Ένωσης· </w:t>
      </w:r>
    </w:p>
    <w:p w:rsidR="00E671F0" w:rsidRPr="00DB16CA" w:rsidRDefault="00DB16CA" w:rsidP="00DB16CA">
      <w:pPr>
        <w:pStyle w:val="NormalHanging12a"/>
        <w:widowControl/>
        <w:ind w:left="570" w:hanging="570"/>
      </w:pPr>
      <w:r w:rsidRPr="00DB16CA">
        <w:t>1.</w:t>
      </w:r>
      <w:r w:rsidRPr="00DB16CA">
        <w:tab/>
      </w:r>
      <w:r w:rsidR="00E671F0" w:rsidRPr="00DB16CA">
        <w:t>συμφωνεί με την Επιτροπή ότι πληρούνται οι προϋποθέσεις που ορίζονται στο άρθρο 4 παράγραφος 2 στοιχείο α) του κανονισμού ΕΤΠ και ότι η Γερμανία δικαιούται, δυνάμει του εν λόγω κανονισμού, να λάβει χρηματοδοτική συνεισφορά ύψους 2 984 627 EUR, η οποία αντιστοιχεί στο 60 % των συνολικών δαπανών ύψους 4 974 379 EUR, στις οποίες περιλαμβάνονται δαπάνες για εξατομικευμένες υπηρεσίες ύψους 4 783 057 EUR και δαπάνες για δραστηριότητες προετοιμασίας, διαχείρισης, ενημέρωσης και δημοσιότητας, ελέγχου και υποβολής εκθέσεων ύψους 191 322 EUR·</w:t>
      </w:r>
    </w:p>
    <w:p w:rsidR="00E671F0" w:rsidRPr="00DB16CA" w:rsidRDefault="00DB16CA" w:rsidP="00DB16CA">
      <w:pPr>
        <w:pStyle w:val="NormalHanging12a"/>
        <w:widowControl/>
        <w:ind w:left="570" w:hanging="570"/>
      </w:pPr>
      <w:r w:rsidRPr="00DB16CA">
        <w:t>2.</w:t>
      </w:r>
      <w:r w:rsidRPr="00DB16CA">
        <w:tab/>
      </w:r>
      <w:r w:rsidR="00E671F0" w:rsidRPr="00DB16CA">
        <w:t xml:space="preserve">σημειώνει ότι οι γερμανικές αρχές υπέβαλαν την αίτηση στις 15 Νοεμβρίου 2023 και ότι, μετά την παροχή πρόσθετων πληροφοριών από τη Γερμανία, η Επιτροπή ολοκλήρωσε την αξιολόγησή της στις 29 Φεβρουαρίου 2024 και την κοινοποίησε στο Κοινοβούλιο την ίδια ημέρα· </w:t>
      </w:r>
    </w:p>
    <w:p w:rsidR="00E671F0" w:rsidRPr="00DB16CA" w:rsidRDefault="00DB16CA" w:rsidP="00DB16CA">
      <w:pPr>
        <w:pStyle w:val="NormalHanging12a"/>
        <w:widowControl/>
        <w:ind w:left="570" w:hanging="570"/>
      </w:pPr>
      <w:r w:rsidRPr="00DB16CA">
        <w:t>3.</w:t>
      </w:r>
      <w:r w:rsidRPr="00DB16CA">
        <w:tab/>
      </w:r>
      <w:r w:rsidR="00E671F0" w:rsidRPr="00DB16CA">
        <w:t>σημειώνει ότι η αίτηση αφορά 1 518 εργαζομένους που απολύθηκαν από την εταιρεία Vallourec Deutschland GmbH (VAD)· επιπλέον, σημειώνει ότι συνολικά 835 εργαζόμενοι θα είναι οι στοχευόμενοι δικαιούχοι·</w:t>
      </w:r>
    </w:p>
    <w:p w:rsidR="00E671F0" w:rsidRPr="00DB16CA" w:rsidRDefault="00DB16CA" w:rsidP="00DB16CA">
      <w:pPr>
        <w:pStyle w:val="NormalHanging12a"/>
        <w:widowControl/>
        <w:ind w:left="570" w:hanging="570"/>
      </w:pPr>
      <w:r w:rsidRPr="00DB16CA">
        <w:t>4.</w:t>
      </w:r>
      <w:r w:rsidRPr="00DB16CA">
        <w:tab/>
      </w:r>
      <w:r w:rsidR="00E671F0" w:rsidRPr="00DB16CA">
        <w:t xml:space="preserve">υπογραμμίζει ότι οι απολύσεις αυτές αναμένεται να έχουν σημαντικές δυσμενείς συνέπειες στην τοπική οικονομία, η οποία έχει υποστεί σημαντικές διαρθρωτικές αλλαγές κατά τις τελευταίες δεκαετίες με αισθητή μείωση των θέσεων εργασίας στην παραγωγή και ιδίως στον κλάδο της μεταλλουργίας· επισημαίνει ότι οι απολύσεις θα προκαλέσουν αύξηση του ποσοστού ανεργίας στο Mülheim κατά 11,6 % και στο Düsseldorf κατά 5,6 %·  </w:t>
      </w:r>
    </w:p>
    <w:p w:rsidR="00E671F0" w:rsidRPr="00DB16CA" w:rsidRDefault="00DB16CA" w:rsidP="00DB16CA">
      <w:pPr>
        <w:pStyle w:val="NormalHanging12a"/>
        <w:widowControl/>
        <w:ind w:left="570" w:hanging="570"/>
      </w:pPr>
      <w:r w:rsidRPr="00DB16CA">
        <w:t>5.</w:t>
      </w:r>
      <w:r w:rsidRPr="00DB16CA">
        <w:tab/>
      </w:r>
      <w:r w:rsidR="00E671F0" w:rsidRPr="00DB16CA">
        <w:t>επισημαίνει ότι τα προφίλ των απολυμένων εργαζομένων δεν αντιστοιχούν στις δεξιότητες που ζητούνται στην αγορά εργασίας· επίσης, υπογραμμίζει ότι οι περισσότεροι από τους εν λόγω εργαζομένους, έχοντας εργαστεί για μεγάλο χρονικό διάστημα στην εταιρεία Vallourec, βρίσκονται σε προχωρημένο στάδιο της επαγγελματικής τους σταδιοδρομίας, με επίπεδα τυπικών προσόντων που τους καθιστούν μη ανταγωνιστικούς στην τρέχουσα αγορά εργασίας, δεδομένου ότι το 20,1 % είναι ηλικίας άνω των 54 ετών· τονίζει ότι θα είναι πρόκληση η αναβάθμιση των δεξιοτήτων των εργαζομένων και η επανειδίκευσή τους σύμφωνα με τις απαιτήσεις της αγοράς εργασίας για εξειδικευμένες θέσεις εργασίας, ιδίως αν ληφθεί υπόψη ο μεγάλος αριθμός ατόμων που απολύονται ταυτόχρονα· επιπλέον, τονίζει ότι η αναβάθμιση των δεξιοτήτων και η επανειδίκευση των εργαζομένων που απολύονται πρέπει να λαμβάνουν υπόψη τις μεσοπρόθεσμες έως και τις μακροπρόθεσμες ανάγκες για προσόντα στο πλαίσιο του βιομηχανικού μετασχηματισμού προς ένα κλιματικά ουδέτερο μέλλον·</w:t>
      </w:r>
    </w:p>
    <w:p w:rsidR="00E671F0" w:rsidRPr="00DB16CA" w:rsidRDefault="00DB16CA" w:rsidP="00DB16CA">
      <w:pPr>
        <w:pStyle w:val="NormalHanging12a"/>
        <w:widowControl/>
        <w:ind w:left="570" w:hanging="570"/>
      </w:pPr>
      <w:r w:rsidRPr="00DB16CA">
        <w:t>6.</w:t>
      </w:r>
      <w:r w:rsidRPr="00DB16CA">
        <w:tab/>
      </w:r>
      <w:r w:rsidR="00E671F0" w:rsidRPr="00DB16CA">
        <w:t>θεωρεί ότι αποτελεί κοινωνική ευθύνη της Ένωσης να παρέχει σε αυτούς τους εργαζομένους που απολύονται τα αναγκαία προσόντα για τον οικολογικό και δίκαιο μετασχηματισμό της βιομηχανίας της Ένωσης σύμφωνα με την Ευρωπαϊκή Πράσινη Συμφωνία, δεδομένου ότι εργάστηκαν σε έναν τομέα υψηλής έντασης άνθρακα· τονίζει ότι η έρευνα και η καινοτομία είναι σημαντικές ώστε να μπορέσει η Ευρώπη να ανταποκριθεί στις μελλοντικές εξελίξεις στον τομέα της βιομηχανικής μεταποίησης, προκειμένου να αποτραπεί το ενδεχόμενο η Ένωση να ακολουθήσει την πορεία προς την απανθρακοποίηση μέσω της αποβιομηχάνισης· εκφράζει, ως εκ τούτου, την ικανοποίησή του για τις εξατομικευμένες υπηρεσίες που παρέχονται από το ΕΤΠ στους εργαζομένους, οι οποίες περιλαμβάνουν μέτρα αναβάθμισης των δεξιοτήτων, εργαστήρια, επαγγελματικό προσανατολισμό, παροχή συμβουλών σε θέματα εργασίας, καθώς και επιδόματα κατάρτισης, ώστε η περιοχή και η συνολική αγορά εργασίας να καταστούν πιο βιώσιμες και ανθεκτικές στο μέλλον·</w:t>
      </w:r>
    </w:p>
    <w:p w:rsidR="00E671F0" w:rsidRPr="00DB16CA" w:rsidRDefault="00DB16CA" w:rsidP="00DB16CA">
      <w:pPr>
        <w:pStyle w:val="NormalHanging12a"/>
        <w:widowControl/>
        <w:ind w:left="570" w:hanging="570"/>
      </w:pPr>
      <w:r w:rsidRPr="00DB16CA">
        <w:t>7.</w:t>
      </w:r>
      <w:r w:rsidRPr="00DB16CA">
        <w:tab/>
      </w:r>
      <w:r w:rsidR="00E671F0" w:rsidRPr="00DB16CA">
        <w:t>επιδοκιμάζει το γεγονός ότι η συντονισμένη δέσμη εξατομικευμένων υπηρεσιών έχει καταρτιστεί από τη Γερμανία σε διαβούλευση με τους στοχευόμενους δικαιούχους, τους εκπροσώπους τους και τους κοινωνικούς εταίρους· επικροτεί ειδικότερα το γεγονός ότι αμέσως μετά την απόφαση να κλείσουν τα εργοστάσια σωληνουργίας, η διοίκηση της επιχείρησης και οι εκπρόσωποι των εργαζομένων άρχισαν διαπραγματεύσεις για ένα κοινωνικό σχέδιο, και ιδίως για τη δημιουργία εταιρείας μεταβίβασης· αναγνωρίζει ότι η VAD κατέβαλε σημαντικές προσπάθειες για να ελαχιστοποιήσει τον κοινωνικό αντίκτυπο που επιφέρει το κλείσιμο των εργοστασίων·</w:t>
      </w:r>
    </w:p>
    <w:p w:rsidR="00E671F0" w:rsidRPr="00DB16CA" w:rsidRDefault="00DB16CA" w:rsidP="00DB16CA">
      <w:pPr>
        <w:pStyle w:val="NormalHanging12a"/>
        <w:widowControl/>
        <w:ind w:left="570" w:hanging="570"/>
      </w:pPr>
      <w:r w:rsidRPr="00DB16CA">
        <w:t>8.</w:t>
      </w:r>
      <w:r w:rsidRPr="00DB16CA">
        <w:tab/>
      </w:r>
      <w:r w:rsidR="00E671F0" w:rsidRPr="00DB16CA">
        <w:t>υπενθυμίζει ότι οι εξατομικευμένες υπηρεσίες που πρόκειται να παρασχεθούν στους εργαζομένους και τους αυτοαπασχολούμενους συνίστανται στις ακόλουθες δράσεις: ειδικά σχεδιασμένη κατάρτιση και επιμόρφωση, επαγγελματικός προσανατολισμός, εξατομικευμένες υπηρεσίες συνδρομής στην αναζήτηση εργασίας και δραστηριότητες για ομάδες στόχους, στήριξη και συμβολή στη σύσταση επιχειρήσεων, καθώς και κίνητρα και επιδόματα·</w:t>
      </w:r>
    </w:p>
    <w:p w:rsidR="00E671F0" w:rsidRPr="00DB16CA" w:rsidRDefault="00DB16CA" w:rsidP="00DB16CA">
      <w:pPr>
        <w:pStyle w:val="NormalHanging12a"/>
        <w:widowControl/>
        <w:ind w:left="570" w:hanging="570"/>
      </w:pPr>
      <w:r w:rsidRPr="00DB16CA">
        <w:t>9.</w:t>
      </w:r>
      <w:r w:rsidRPr="00DB16CA">
        <w:tab/>
      </w:r>
      <w:r w:rsidR="00E671F0" w:rsidRPr="00DB16CA">
        <w:rPr>
          <w:sz w:val="23"/>
        </w:rPr>
        <w:t>επικροτεί θερμά το προτεινόμενο μέτρο για τις ψηφιακές βασικές δεξιότητες (Digitale Grundqualifizierung), το οποίο αποσκοπεί στη διάδοση των δεξιοτήτων που απαιτούνται στην ψηφιακή βιομηχανική εποχή, όπως απαιτείται στο άρθρο 7 παράγραφος 2 του κανονισμού ΕΤΠ· σημειώνει ότι το εν λόγω μέτρο απευθύνεται ιδιαίτερα στους συμμετέχοντες με μηδενικές ή ελάχιστες ψηφιακές δεξιότητες· εκφράζει την ικανοποίησή του για το γεγονός ότι θα δοθούν φορητοί υπολογιστές στους συμμετέχοντες, ώστε να μπορούν να παρακολουθούν το μάθημα και να εξασκούνται από το σπίτι, καθώς και για το γεγονός ότι ιδιαίτερη προσοχή θα δοθεί στις πρακτικές δεξιότητες που θα βοηθήσουν τους συμμετέχοντες να χρησιμοποιούν διαδικτυακά εργαλεία για την αναζήτηση εργασίας·</w:t>
      </w:r>
    </w:p>
    <w:p w:rsidR="00E671F0" w:rsidRPr="00DB16CA" w:rsidRDefault="00DB16CA" w:rsidP="00DB16CA">
      <w:pPr>
        <w:pStyle w:val="NormalHanging12a"/>
        <w:widowControl/>
        <w:ind w:left="570" w:hanging="570"/>
      </w:pPr>
      <w:r w:rsidRPr="00DB16CA">
        <w:t>10.</w:t>
      </w:r>
      <w:r w:rsidRPr="00DB16CA">
        <w:tab/>
      </w:r>
      <w:r w:rsidR="00E671F0" w:rsidRPr="00DB16CA">
        <w:t>σημειώνει ότι η Γερμανία άρχισε να παρέχει εξατομικευμένες υπηρεσίες στους στοχευόμενους δικαιούχους την 1η Δεκεμβρίου 2023 και ότι, επομένως, η περίοδος επιλεξιμότητας για τη λήψη χρηματοδοτικής συνεισφοράς από το ΕΤΠ θα διαρκέσει από την 1η Δεκεμβρίου 2023 έως και 24 μήνες μετά την ημερομηνία έναρξης ισχύος της απόφασης χρηματοδότησης·</w:t>
      </w:r>
    </w:p>
    <w:p w:rsidR="00E671F0" w:rsidRPr="00DB16CA" w:rsidRDefault="00DB16CA" w:rsidP="00DB16CA">
      <w:pPr>
        <w:pStyle w:val="NormalHanging12a"/>
        <w:widowControl/>
        <w:ind w:left="570" w:hanging="570"/>
        <w:rPr>
          <w:sz w:val="23"/>
          <w:szCs w:val="23"/>
        </w:rPr>
      </w:pPr>
      <w:r w:rsidRPr="00DB16CA">
        <w:rPr>
          <w:sz w:val="23"/>
          <w:szCs w:val="23"/>
        </w:rPr>
        <w:t>11.</w:t>
      </w:r>
      <w:r w:rsidRPr="00DB16CA">
        <w:rPr>
          <w:sz w:val="23"/>
          <w:szCs w:val="23"/>
        </w:rPr>
        <w:tab/>
      </w:r>
      <w:r w:rsidR="00E671F0" w:rsidRPr="00DB16CA">
        <w:t>σημειώνει ότι η Γερμανία άρχισε να επιβαρύνεται με τις διοικητικές δαπάνες για την εφαρμογή του ΕΤΠ την 1η Ιανουαρίου 2023 και ότι, επομένως, οι δαπάνες για δραστηριότητες προετοιμασίας, διαχείρισης, ενημέρωσης και δημοσιότητας, ελέγχου και υποβολής εκθέσεων θα είναι επιλέξιμες για χρηματοδοτική συνεισφορά από το ΕΤΠ από τη 1η Ιανουαρίου 2023 έως και 31 μήνες μετά την ημερομηνία έναρξης ισχύος της απόφασης χρηματοδότησης·</w:t>
      </w:r>
    </w:p>
    <w:p w:rsidR="00E671F0" w:rsidRPr="00DB16CA" w:rsidRDefault="00DB16CA" w:rsidP="00DB16CA">
      <w:pPr>
        <w:pStyle w:val="NormalHanging12a"/>
        <w:widowControl/>
        <w:ind w:left="570" w:hanging="570"/>
      </w:pPr>
      <w:r w:rsidRPr="00DB16CA">
        <w:t>12.</w:t>
      </w:r>
      <w:r w:rsidRPr="00DB16CA">
        <w:tab/>
      </w:r>
      <w:r w:rsidR="00E671F0" w:rsidRPr="00DB16CA">
        <w:t>τονίζει ότι οι γερμανικές αρχές επιβεβαίωσαν ότι οι επιλέξιμες δράσεις δεν λαμβάνουν ενίσχυση από άλλα ταμεία ή χρηματοδοτικά μέσα της Ένωσης και ότι οι αρχές της ίσης μεταχείρισης και της μη εισαγωγής διακρίσεων θα τηρηθούν κατά την πρόσβαση στις προτεινόμενες δράσεις και κατά την εφαρμογή τους·</w:t>
      </w:r>
    </w:p>
    <w:p w:rsidR="00E671F0" w:rsidRPr="00DB16CA" w:rsidRDefault="00DB16CA" w:rsidP="00DB16CA">
      <w:pPr>
        <w:pStyle w:val="NormalHanging12a"/>
        <w:widowControl/>
        <w:ind w:left="570" w:hanging="570"/>
      </w:pPr>
      <w:r w:rsidRPr="00DB16CA">
        <w:t>13.</w:t>
      </w:r>
      <w:r w:rsidRPr="00DB16CA">
        <w:tab/>
      </w:r>
      <w:r w:rsidR="00E671F0" w:rsidRPr="00DB16CA">
        <w:t>επαναλαμβάνει ότι η βοήθεια του ΕΤΠ δεν αντικαθιστά ενέργειες που αποτελούν ευθύνη των επιχειρήσεων βάσει της εθνικής νομοθεσίας ή συλλογικών συμβάσεων, καθώς και τυχόν επιδόματα ή δικαιώματα των απολυμένων εργαζομένων, ώστε να διασφαλίζεται η πλήρης προσθετικότητα της χρηματοδότησης·</w:t>
      </w:r>
    </w:p>
    <w:p w:rsidR="00E671F0" w:rsidRPr="00DB16CA" w:rsidRDefault="00DB16CA" w:rsidP="00DB16CA">
      <w:pPr>
        <w:pStyle w:val="NormalHanging12a"/>
        <w:widowControl/>
        <w:ind w:left="570" w:hanging="570"/>
      </w:pPr>
      <w:r w:rsidRPr="00DB16CA">
        <w:t>14.</w:t>
      </w:r>
      <w:r w:rsidRPr="00DB16CA">
        <w:tab/>
      </w:r>
      <w:r w:rsidR="00E671F0" w:rsidRPr="00DB16CA">
        <w:t>εγκρίνει την απόφαση που επισυνάπτεται στο παρόν ψήφισμα·</w:t>
      </w:r>
    </w:p>
    <w:p w:rsidR="00E671F0" w:rsidRPr="00DB16CA" w:rsidRDefault="00DB16CA" w:rsidP="00DB16CA">
      <w:pPr>
        <w:pStyle w:val="NormalHanging12a"/>
        <w:widowControl/>
        <w:ind w:left="570" w:hanging="570"/>
      </w:pPr>
      <w:r w:rsidRPr="00DB16CA">
        <w:t>15.</w:t>
      </w:r>
      <w:r w:rsidRPr="00DB16CA">
        <w:tab/>
      </w:r>
      <w:r w:rsidR="00E671F0" w:rsidRPr="00DB16CA">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E671F0" w:rsidRPr="00DB16CA">
        <w:rPr>
          <w:i/>
        </w:rPr>
        <w:t>Επίσημη Εφημερίδα της Ευρωπαϊκής Ένωσης</w:t>
      </w:r>
      <w:r w:rsidR="00E671F0" w:rsidRPr="00DB16CA">
        <w:t>·</w:t>
      </w:r>
    </w:p>
    <w:p w:rsidR="00E671F0" w:rsidRPr="00DB16CA" w:rsidRDefault="00DB16CA" w:rsidP="00DB16CA">
      <w:pPr>
        <w:pStyle w:val="NormalHanging12a"/>
        <w:widowControl/>
        <w:ind w:left="570" w:hanging="570"/>
        <w:sectPr w:rsidR="00E671F0" w:rsidRPr="00DB16CA" w:rsidSect="004D167B">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DB16CA">
        <w:t>16.</w:t>
      </w:r>
      <w:r w:rsidRPr="00DB16CA">
        <w:tab/>
      </w:r>
      <w:r w:rsidR="00E671F0" w:rsidRPr="00DB16CA">
        <w:t>αναθέτει στην Πρόεδρό του να διαβιβάσει το παρόν ψήφισμα, συμπεριλαμβανομένου του παραρτήματός του, στο Συμβούλιο και στην Επιτροπή.</w:t>
      </w:r>
    </w:p>
    <w:p w:rsidR="001A0C81" w:rsidRPr="00DB16CA" w:rsidRDefault="00E671F0" w:rsidP="00DB16CA">
      <w:pPr>
        <w:pStyle w:val="PageHeading"/>
        <w:spacing w:line="360" w:lineRule="auto"/>
        <w:jc w:val="right"/>
        <w:rPr>
          <w:rFonts w:ascii="Times New Roman" w:hAnsi="Times New Roman" w:cs="Times New Roman"/>
        </w:rPr>
      </w:pPr>
      <w:bookmarkStart w:id="9" w:name="_Toc164170121"/>
      <w:r w:rsidRPr="00DB16CA">
        <w:rPr>
          <w:rFonts w:ascii="Times New Roman" w:hAnsi="Times New Roman" w:cs="Times New Roman"/>
        </w:rPr>
        <w:t>ΠΑΡΑΡΤΗΜΑ</w:t>
      </w:r>
    </w:p>
    <w:p w:rsidR="00E671F0" w:rsidRPr="00DB16CA" w:rsidRDefault="00E671F0" w:rsidP="00DB16CA">
      <w:pPr>
        <w:pStyle w:val="PageHeading"/>
        <w:spacing w:line="360" w:lineRule="auto"/>
        <w:rPr>
          <w:rFonts w:ascii="Times New Roman" w:hAnsi="Times New Roman" w:cs="Times New Roman"/>
          <w:noProof/>
        </w:rPr>
      </w:pPr>
      <w:r w:rsidRPr="00DB16CA">
        <w:rPr>
          <w:rFonts w:ascii="Times New Roman" w:hAnsi="Times New Roman" w:cs="Times New Roman"/>
        </w:rPr>
        <w:t>ΑΠΟΦΑΣΗ ΤΟΥ ΕΥΡΩΠΑΪΚΟΥ ΚΟΙΝΟΒΟΥΛΙΟΥ ΚΑΙ ΤΟΥ ΣΥΜΒΟΥΛΙΟΥ</w:t>
      </w:r>
      <w:bookmarkEnd w:id="9"/>
    </w:p>
    <w:p w:rsidR="00E671F0" w:rsidRDefault="00E671F0" w:rsidP="00DB16CA">
      <w:pPr>
        <w:pStyle w:val="NormalBold24a"/>
        <w:spacing w:line="360" w:lineRule="auto"/>
        <w:jc w:val="center"/>
      </w:pPr>
      <w:r w:rsidRPr="00DB16CA">
        <w:t xml:space="preserve">για κινητοποίηση του Ευρωπαϊκού Ταμείου Προσαρμογής στην Παγκοσμιοποίηση για τους απολυμένους εργαζομένους ύστερα από αίτηση της Γερμανίας </w:t>
      </w:r>
      <w:r w:rsidR="00E14515">
        <w:t>–</w:t>
      </w:r>
      <w:r w:rsidR="00E14515">
        <w:t xml:space="preserve"> </w:t>
      </w:r>
      <w:r w:rsidRPr="00DB16CA">
        <w:t>EGF/2023/003 DE/Vallourec</w:t>
      </w:r>
    </w:p>
    <w:p w:rsidR="00E14515" w:rsidRPr="00E14515" w:rsidRDefault="00E14515" w:rsidP="00E14515">
      <w:pPr>
        <w:pStyle w:val="NormalBold24a"/>
        <w:rPr>
          <w:b w:val="0"/>
          <w:i/>
        </w:rPr>
      </w:pPr>
      <w:r w:rsidRPr="00E14515">
        <w:rPr>
          <w:b w:val="0"/>
          <w:i/>
        </w:rPr>
        <w:t>(Το κείμενο αυτού του παραρτήματος δεν επαναλαμβάνεται εδώ, εφόσον αντιστοιχεί στην τελική πράξη, απόφαση (ΕΕ) 202</w:t>
      </w:r>
      <w:r>
        <w:rPr>
          <w:b w:val="0"/>
          <w:i/>
        </w:rPr>
        <w:t>4</w:t>
      </w:r>
      <w:r w:rsidRPr="00E14515">
        <w:rPr>
          <w:b w:val="0"/>
          <w:i/>
        </w:rPr>
        <w:t>/</w:t>
      </w:r>
      <w:r>
        <w:rPr>
          <w:b w:val="0"/>
          <w:i/>
        </w:rPr>
        <w:t>1298</w:t>
      </w:r>
      <w:r w:rsidRPr="00E14515">
        <w:rPr>
          <w:b w:val="0"/>
          <w:i/>
        </w:rPr>
        <w:t>.)</w:t>
      </w:r>
    </w:p>
    <w:sectPr w:rsidR="00E14515" w:rsidRPr="00E14515" w:rsidSect="004D167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ABC" w:rsidRPr="004D167B" w:rsidRDefault="00652ABC">
      <w:r w:rsidRPr="004D167B">
        <w:separator/>
      </w:r>
    </w:p>
  </w:endnote>
  <w:endnote w:type="continuationSeparator" w:id="0">
    <w:p w:rsidR="00652ABC" w:rsidRPr="004D167B" w:rsidRDefault="00652ABC">
      <w:r w:rsidRPr="004D16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1F0" w:rsidRPr="004D167B" w:rsidRDefault="00E671F0" w:rsidP="0003410B">
    <w:pPr>
      <w:pStyle w:val="EPFooter"/>
    </w:pPr>
    <w:r w:rsidRPr="004D167B">
      <w:t>PE</w:t>
    </w:r>
    <w:r w:rsidRPr="004D167B">
      <w:rPr>
        <w:rStyle w:val="HideTWBExt"/>
      </w:rPr>
      <w:t>&lt;NoPE&gt;</w:t>
    </w:r>
    <w:r w:rsidRPr="004D167B">
      <w:t>759.759</w:t>
    </w:r>
    <w:r w:rsidRPr="004D167B">
      <w:rPr>
        <w:rStyle w:val="HideTWBExt"/>
      </w:rPr>
      <w:t>&lt;/NoPE&gt;&lt;Version&gt;</w:t>
    </w:r>
    <w:r w:rsidRPr="004D167B">
      <w:t>v02-00</w:t>
    </w:r>
    <w:r w:rsidRPr="004D167B">
      <w:rPr>
        <w:rStyle w:val="HideTWBExt"/>
      </w:rPr>
      <w:t>&lt;/Version&gt;</w:t>
    </w:r>
    <w:r w:rsidRPr="004D167B">
      <w:tab/>
    </w:r>
    <w:r w:rsidRPr="004D167B">
      <w:fldChar w:fldCharType="begin"/>
    </w:r>
    <w:r w:rsidRPr="004D167B">
      <w:instrText xml:space="preserve"> PAGE  \* MERGEFORMAT </w:instrText>
    </w:r>
    <w:r w:rsidRPr="004D167B">
      <w:fldChar w:fldCharType="separate"/>
    </w:r>
    <w:r w:rsidR="004D167B" w:rsidRPr="004D167B">
      <w:rPr>
        <w:noProof/>
      </w:rPr>
      <w:t>4</w:t>
    </w:r>
    <w:r w:rsidRPr="004D167B">
      <w:fldChar w:fldCharType="end"/>
    </w:r>
    <w:r w:rsidRPr="004D167B">
      <w:t>/</w:t>
    </w:r>
    <w:fldSimple w:instr=" NUMPAGES  \* MERGEFORMAT ">
      <w:r w:rsidR="004D167B" w:rsidRPr="004D167B">
        <w:rPr>
          <w:noProof/>
        </w:rPr>
        <w:t>9</w:t>
      </w:r>
    </w:fldSimple>
    <w:r w:rsidRPr="004D167B">
      <w:tab/>
    </w:r>
    <w:r w:rsidRPr="004D167B">
      <w:rPr>
        <w:rStyle w:val="HideTWBExt"/>
      </w:rPr>
      <w:t>&lt;PathFdR&gt;</w:t>
    </w:r>
    <w:r w:rsidRPr="004D167B">
      <w:t>RR\1300657EL.docx</w:t>
    </w:r>
    <w:r w:rsidRPr="004D167B">
      <w:rPr>
        <w:rStyle w:val="HideTWBExt"/>
      </w:rPr>
      <w:t>&lt;/PathFdR&gt;</w:t>
    </w:r>
  </w:p>
  <w:p w:rsidR="00E671F0" w:rsidRPr="004D167B" w:rsidRDefault="00E671F0" w:rsidP="0003410B">
    <w:pPr>
      <w:pStyle w:val="EPFooter2"/>
    </w:pPr>
    <w:r w:rsidRPr="004D167B">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1F0" w:rsidRPr="004D167B" w:rsidRDefault="00E671F0" w:rsidP="0003410B">
    <w:pPr>
      <w:pStyle w:val="EPFooter"/>
    </w:pPr>
    <w:r w:rsidRPr="004D167B">
      <w:rPr>
        <w:rStyle w:val="HideTWBExt"/>
      </w:rPr>
      <w:t>&lt;PathFdR&gt;</w:t>
    </w:r>
    <w:r w:rsidRPr="004D167B">
      <w:t>RR\1300657EL.docx</w:t>
    </w:r>
    <w:r w:rsidRPr="004D167B">
      <w:rPr>
        <w:rStyle w:val="HideTWBExt"/>
      </w:rPr>
      <w:t>&lt;/PathFdR&gt;</w:t>
    </w:r>
    <w:r w:rsidRPr="004D167B">
      <w:tab/>
    </w:r>
    <w:r w:rsidRPr="004D167B">
      <w:tab/>
      <w:t>PE</w:t>
    </w:r>
    <w:r w:rsidRPr="004D167B">
      <w:rPr>
        <w:rStyle w:val="HideTWBExt"/>
      </w:rPr>
      <w:t>&lt;NoPE&gt;</w:t>
    </w:r>
    <w:r w:rsidRPr="004D167B">
      <w:t>759.759</w:t>
    </w:r>
    <w:r w:rsidRPr="004D167B">
      <w:rPr>
        <w:rStyle w:val="HideTWBExt"/>
      </w:rPr>
      <w:t>&lt;/NoPE&gt;&lt;Version&gt;</w:t>
    </w:r>
    <w:r w:rsidRPr="004D167B">
      <w:t>v02-00</w:t>
    </w:r>
    <w:r w:rsidRPr="004D167B">
      <w:rPr>
        <w:rStyle w:val="HideTWBExt"/>
      </w:rPr>
      <w:t>&lt;/Version&gt;</w:t>
    </w:r>
  </w:p>
  <w:p w:rsidR="00E671F0" w:rsidRPr="004D167B" w:rsidRDefault="00E671F0" w:rsidP="0003410B">
    <w:pPr>
      <w:pStyle w:val="EPFooter2"/>
    </w:pPr>
    <w:r w:rsidRPr="004D167B">
      <w:t>EL</w:t>
    </w:r>
    <w:r w:rsidRPr="004D167B">
      <w:tab/>
    </w:r>
    <w:r w:rsidRPr="004D167B">
      <w:rPr>
        <w:b w:val="0"/>
        <w:i/>
        <w:color w:val="C0C0C0"/>
        <w:sz w:val="22"/>
      </w:rPr>
      <w:t>Ενωμένη στην πολυμορφία</w:t>
    </w:r>
    <w:r w:rsidRPr="004D167B">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67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67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6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ABC" w:rsidRPr="004D167B" w:rsidRDefault="00652ABC">
      <w:r w:rsidRPr="004D167B">
        <w:separator/>
      </w:r>
    </w:p>
  </w:footnote>
  <w:footnote w:type="continuationSeparator" w:id="0">
    <w:p w:rsidR="00652ABC" w:rsidRPr="004D167B" w:rsidRDefault="00652ABC">
      <w:r w:rsidRPr="004D167B">
        <w:continuationSeparator/>
      </w:r>
    </w:p>
  </w:footnote>
  <w:footnote w:id="1">
    <w:p w:rsidR="00E671F0" w:rsidRPr="004D167B" w:rsidRDefault="00E671F0" w:rsidP="004D167B">
      <w:pPr>
        <w:pStyle w:val="FootnoteText"/>
        <w:ind w:left="567" w:hanging="567"/>
        <w:rPr>
          <w:sz w:val="24"/>
          <w:lang w:val="el-GR"/>
        </w:rPr>
      </w:pPr>
      <w:r w:rsidRPr="004D167B">
        <w:rPr>
          <w:rStyle w:val="FootnoteReference"/>
          <w:sz w:val="24"/>
          <w:lang w:val="el-GR"/>
        </w:rPr>
        <w:footnoteRef/>
      </w:r>
      <w:r w:rsidR="004D167B" w:rsidRPr="004D167B">
        <w:rPr>
          <w:sz w:val="24"/>
          <w:lang w:val="el-GR"/>
        </w:rPr>
        <w:t xml:space="preserve"> </w:t>
      </w:r>
      <w:r w:rsidR="004D167B" w:rsidRPr="004D167B">
        <w:rPr>
          <w:sz w:val="24"/>
          <w:lang w:val="el-GR"/>
        </w:rPr>
        <w:tab/>
      </w:r>
      <w:r w:rsidRPr="004D167B">
        <w:rPr>
          <w:sz w:val="24"/>
          <w:lang w:val="el-GR"/>
        </w:rPr>
        <w:t>ΕΕ L 153</w:t>
      </w:r>
      <w:r w:rsidR="00A007EA">
        <w:rPr>
          <w:sz w:val="24"/>
          <w:lang w:val="el-GR"/>
        </w:rPr>
        <w:t xml:space="preserve"> της</w:t>
      </w:r>
      <w:r w:rsidRPr="004D167B">
        <w:rPr>
          <w:sz w:val="24"/>
          <w:lang w:val="el-GR"/>
        </w:rPr>
        <w:t xml:space="preserve"> 3.5.2021, σ. 48.</w:t>
      </w:r>
    </w:p>
  </w:footnote>
  <w:footnote w:id="2">
    <w:p w:rsidR="00E671F0" w:rsidRPr="004D167B" w:rsidRDefault="00E671F0" w:rsidP="004D167B">
      <w:pPr>
        <w:pStyle w:val="FootnoteText"/>
        <w:ind w:left="567" w:hanging="567"/>
        <w:rPr>
          <w:sz w:val="24"/>
          <w:lang w:val="el-GR"/>
        </w:rPr>
      </w:pPr>
      <w:r w:rsidRPr="004D167B">
        <w:rPr>
          <w:rStyle w:val="FootnoteReference"/>
          <w:sz w:val="24"/>
          <w:lang w:val="el-GR"/>
        </w:rPr>
        <w:footnoteRef/>
      </w:r>
      <w:r w:rsidR="004D167B" w:rsidRPr="004D167B">
        <w:rPr>
          <w:sz w:val="24"/>
          <w:lang w:val="el-GR"/>
        </w:rPr>
        <w:t xml:space="preserve"> </w:t>
      </w:r>
      <w:r w:rsidR="004D167B" w:rsidRPr="004D167B">
        <w:rPr>
          <w:sz w:val="24"/>
          <w:lang w:val="el-GR"/>
        </w:rPr>
        <w:tab/>
      </w:r>
      <w:r w:rsidRPr="004D167B">
        <w:rPr>
          <w:sz w:val="24"/>
          <w:lang w:val="el-GR"/>
        </w:rPr>
        <w:t>ΕΕ L 433 I</w:t>
      </w:r>
      <w:r w:rsidR="00A007EA">
        <w:rPr>
          <w:sz w:val="24"/>
          <w:lang w:val="el-GR"/>
        </w:rPr>
        <w:t xml:space="preserve"> της</w:t>
      </w:r>
      <w:r w:rsidRPr="004D167B">
        <w:rPr>
          <w:sz w:val="24"/>
          <w:lang w:val="el-GR"/>
        </w:rPr>
        <w:t xml:space="preserve"> 22.12.2020, σ. 11.</w:t>
      </w:r>
    </w:p>
  </w:footnote>
  <w:footnote w:id="3">
    <w:p w:rsidR="00E671F0" w:rsidRPr="00DB16CA" w:rsidRDefault="00E671F0" w:rsidP="004D167B">
      <w:pPr>
        <w:pStyle w:val="FootnoteText"/>
        <w:ind w:left="567" w:hanging="567"/>
        <w:rPr>
          <w:sz w:val="24"/>
          <w:lang w:val="fi-FI"/>
        </w:rPr>
      </w:pPr>
      <w:r w:rsidRPr="004D167B">
        <w:rPr>
          <w:rStyle w:val="FootnoteReference"/>
          <w:sz w:val="24"/>
          <w:lang w:val="el-GR"/>
        </w:rPr>
        <w:footnoteRef/>
      </w:r>
      <w:r w:rsidR="004D167B" w:rsidRPr="00DB16CA">
        <w:rPr>
          <w:color w:val="333333"/>
          <w:sz w:val="24"/>
          <w:shd w:val="clear" w:color="auto" w:fill="FFFFFF"/>
          <w:lang w:val="fi-FI"/>
        </w:rPr>
        <w:t xml:space="preserve"> </w:t>
      </w:r>
      <w:r w:rsidR="004D167B" w:rsidRPr="00DB16CA">
        <w:rPr>
          <w:color w:val="333333"/>
          <w:sz w:val="24"/>
          <w:shd w:val="clear" w:color="auto" w:fill="FFFFFF"/>
          <w:lang w:val="fi-FI"/>
        </w:rPr>
        <w:tab/>
      </w:r>
      <w:r w:rsidR="001A0C81">
        <w:rPr>
          <w:color w:val="333333"/>
          <w:sz w:val="24"/>
          <w:shd w:val="clear" w:color="auto" w:fill="FFFFFF"/>
          <w:lang w:val="el-GR"/>
        </w:rPr>
        <w:t>ΕΕ</w:t>
      </w:r>
      <w:r w:rsidR="001A0C81" w:rsidRPr="00DB16CA">
        <w:rPr>
          <w:color w:val="333333"/>
          <w:sz w:val="24"/>
          <w:shd w:val="clear" w:color="auto" w:fill="FFFFFF"/>
          <w:lang w:val="fi-FI"/>
        </w:rPr>
        <w:t xml:space="preserve"> </w:t>
      </w:r>
      <w:r w:rsidRPr="00DB16CA">
        <w:rPr>
          <w:sz w:val="24"/>
          <w:lang w:val="fi-FI"/>
        </w:rPr>
        <w:t>L, 2024/765, 29.2.2024,</w:t>
      </w:r>
      <w:r w:rsidR="001A0C81" w:rsidRPr="00DB16CA">
        <w:rPr>
          <w:sz w:val="24"/>
          <w:lang w:val="fi-FI"/>
        </w:rPr>
        <w:t xml:space="preserve"> ELI:</w:t>
      </w:r>
      <w:r w:rsidRPr="00DB16CA">
        <w:rPr>
          <w:sz w:val="24"/>
          <w:lang w:val="fi-FI"/>
        </w:rPr>
        <w:t xml:space="preserve"> </w:t>
      </w:r>
      <w:hyperlink r:id="rId1" w:history="1">
        <w:r w:rsidR="001A0C81" w:rsidRPr="00DB16CA">
          <w:rPr>
            <w:rStyle w:val="Hyperlink"/>
            <w:sz w:val="24"/>
            <w:lang w:val="fi-FI"/>
          </w:rPr>
          <w:t>http://data.europa.eu/eli/reg/2024/765/oj</w:t>
        </w:r>
      </w:hyperlink>
      <w:r w:rsidRPr="00DB16CA">
        <w:rPr>
          <w:rStyle w:val="Emphasis"/>
          <w:color w:val="333333"/>
          <w:sz w:val="24"/>
          <w:shd w:val="clear" w:color="auto" w:fill="FFFFFF"/>
          <w:lang w:val="fi-FI"/>
        </w:rPr>
        <w:t>.</w:t>
      </w:r>
    </w:p>
  </w:footnote>
  <w:footnote w:id="4">
    <w:p w:rsidR="00E671F0" w:rsidRPr="004D167B" w:rsidRDefault="00E671F0" w:rsidP="004D167B">
      <w:pPr>
        <w:pStyle w:val="FootnoteText"/>
        <w:ind w:left="567" w:hanging="567"/>
        <w:rPr>
          <w:sz w:val="24"/>
          <w:lang w:val="el-GR"/>
        </w:rPr>
      </w:pPr>
      <w:r w:rsidRPr="004D167B">
        <w:rPr>
          <w:rStyle w:val="FootnoteReference"/>
          <w:sz w:val="24"/>
          <w:lang w:val="el-GR"/>
        </w:rPr>
        <w:footnoteRef/>
      </w:r>
      <w:r w:rsidR="004D167B" w:rsidRPr="004D167B">
        <w:rPr>
          <w:sz w:val="24"/>
          <w:lang w:val="el-GR"/>
        </w:rPr>
        <w:t xml:space="preserve"> </w:t>
      </w:r>
      <w:r w:rsidR="004D167B" w:rsidRPr="004D167B">
        <w:rPr>
          <w:sz w:val="24"/>
          <w:lang w:val="el-GR"/>
        </w:rPr>
        <w:tab/>
      </w:r>
      <w:r w:rsidRPr="004D167B">
        <w:rPr>
          <w:sz w:val="24"/>
          <w:lang w:val="el-GR"/>
        </w:rPr>
        <w:t>ΕΕ L 433 I</w:t>
      </w:r>
      <w:r w:rsidR="00A007EA">
        <w:rPr>
          <w:sz w:val="24"/>
          <w:lang w:val="el-GR"/>
        </w:rPr>
        <w:t xml:space="preserve"> της</w:t>
      </w:r>
      <w:r w:rsidRPr="004D167B">
        <w:rPr>
          <w:sz w:val="24"/>
          <w:lang w:val="el-GR"/>
        </w:rPr>
        <w:t xml:space="preserve"> 22.12.2020, σ. 28.</w:t>
      </w:r>
    </w:p>
  </w:footnote>
  <w:footnote w:id="5">
    <w:p w:rsidR="00E671F0" w:rsidRPr="004D167B" w:rsidRDefault="00E671F0" w:rsidP="004D167B">
      <w:pPr>
        <w:pStyle w:val="FootnoteText"/>
        <w:ind w:left="567" w:hanging="567"/>
        <w:rPr>
          <w:sz w:val="24"/>
          <w:lang w:val="el-GR"/>
        </w:rPr>
      </w:pPr>
      <w:r w:rsidRPr="004D167B">
        <w:rPr>
          <w:rStyle w:val="FootnoteReference"/>
          <w:sz w:val="24"/>
          <w:lang w:val="el-GR"/>
        </w:rPr>
        <w:footnoteRef/>
      </w:r>
      <w:r w:rsidR="004D167B" w:rsidRPr="004D167B">
        <w:rPr>
          <w:sz w:val="24"/>
          <w:lang w:val="el-GR"/>
        </w:rPr>
        <w:t xml:space="preserve"> </w:t>
      </w:r>
      <w:r w:rsidR="004D167B" w:rsidRPr="004D167B">
        <w:rPr>
          <w:sz w:val="24"/>
          <w:lang w:val="el-GR"/>
        </w:rPr>
        <w:tab/>
      </w:r>
      <w:r w:rsidRPr="004D167B">
        <w:rPr>
          <w:sz w:val="24"/>
          <w:lang w:val="el-GR"/>
        </w:rPr>
        <w:t>Κατά την έννοια του άρθρου 3 του κανονισμού ΕΤΠ.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6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6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16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386408"/>
    <w:multiLevelType w:val="hybridMultilevel"/>
    <w:tmpl w:val="A04042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CCE6772"/>
    <w:multiLevelType w:val="hybridMultilevel"/>
    <w:tmpl w:val="2E6E7FAC"/>
    <w:lvl w:ilvl="0" w:tplc="657484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EL"/>
    <w:docVar w:name="dvnumam" w:val="0"/>
    <w:docVar w:name="dvpe" w:val="759.759"/>
    <w:docVar w:name="dvrapporteur" w:val="Εισηγητής: "/>
    <w:docVar w:name="dvtitre" w:val="Ψήφισμα του Ευρωπαϊκού Κοινοβουλίου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ης Γερμανίας – EGF/2023/003 DE/Vallourec(COM(2024)0030 – C9-0041/2024 – 2024/0049(BUD))"/>
  </w:docVars>
  <w:rsids>
    <w:rsidRoot w:val="00652ABC"/>
    <w:rsid w:val="00002272"/>
    <w:rsid w:val="00064002"/>
    <w:rsid w:val="000677B9"/>
    <w:rsid w:val="000831BA"/>
    <w:rsid w:val="000A42CC"/>
    <w:rsid w:val="000E7DD9"/>
    <w:rsid w:val="0010095E"/>
    <w:rsid w:val="00125B37"/>
    <w:rsid w:val="00187494"/>
    <w:rsid w:val="001A0C81"/>
    <w:rsid w:val="001F32AE"/>
    <w:rsid w:val="001F66D2"/>
    <w:rsid w:val="002767FF"/>
    <w:rsid w:val="002B18FE"/>
    <w:rsid w:val="002B5493"/>
    <w:rsid w:val="00343214"/>
    <w:rsid w:val="00361C00"/>
    <w:rsid w:val="00395FA1"/>
    <w:rsid w:val="003E15D4"/>
    <w:rsid w:val="00411CCE"/>
    <w:rsid w:val="0041666E"/>
    <w:rsid w:val="00421060"/>
    <w:rsid w:val="00471C19"/>
    <w:rsid w:val="004867E3"/>
    <w:rsid w:val="004931DC"/>
    <w:rsid w:val="00494A28"/>
    <w:rsid w:val="004C0004"/>
    <w:rsid w:val="004C5D52"/>
    <w:rsid w:val="004D167B"/>
    <w:rsid w:val="0050519A"/>
    <w:rsid w:val="005072A1"/>
    <w:rsid w:val="00514517"/>
    <w:rsid w:val="00545827"/>
    <w:rsid w:val="00560270"/>
    <w:rsid w:val="005C2568"/>
    <w:rsid w:val="006037C0"/>
    <w:rsid w:val="00652ABC"/>
    <w:rsid w:val="006631B6"/>
    <w:rsid w:val="00680577"/>
    <w:rsid w:val="006821C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7E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6CA"/>
    <w:rsid w:val="00E14515"/>
    <w:rsid w:val="00E365E1"/>
    <w:rsid w:val="00E671F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096D4"/>
  <w15:chartTrackingRefBased/>
  <w15:docId w15:val="{C9DEEB10-7D0C-40F7-AB90-EA478C8AF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71F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671F0"/>
    <w:pPr>
      <w:keepNext/>
      <w:spacing w:after="480"/>
      <w:jc w:val="center"/>
    </w:pPr>
    <w:rPr>
      <w:rFonts w:ascii="Arial" w:hAnsi="Arial" w:cs="Arial"/>
      <w:b/>
    </w:rPr>
  </w:style>
  <w:style w:type="paragraph" w:customStyle="1" w:styleId="NormalBold">
    <w:name w:val="NormalBold"/>
    <w:basedOn w:val="Normal"/>
    <w:rsid w:val="00E671F0"/>
    <w:rPr>
      <w:b/>
    </w:rPr>
  </w:style>
  <w:style w:type="paragraph" w:customStyle="1" w:styleId="NormalHanging12a">
    <w:name w:val="NormalHanging12a"/>
    <w:basedOn w:val="Normal"/>
    <w:link w:val="NormalHanging12aChar"/>
    <w:rsid w:val="00E671F0"/>
    <w:pPr>
      <w:spacing w:after="240"/>
      <w:ind w:left="567" w:hanging="567"/>
    </w:pPr>
  </w:style>
  <w:style w:type="paragraph" w:styleId="Header">
    <w:name w:val="header"/>
    <w:basedOn w:val="Normal"/>
    <w:link w:val="HeaderChar"/>
    <w:rsid w:val="00E671F0"/>
    <w:pPr>
      <w:tabs>
        <w:tab w:val="center" w:pos="4513"/>
        <w:tab w:val="right" w:pos="9026"/>
      </w:tabs>
    </w:pPr>
  </w:style>
  <w:style w:type="character" w:customStyle="1" w:styleId="HeaderChar">
    <w:name w:val="Header Char"/>
    <w:basedOn w:val="DefaultParagraphFont"/>
    <w:link w:val="Header"/>
    <w:rsid w:val="00E671F0"/>
    <w:rPr>
      <w:sz w:val="24"/>
      <w:lang w:val="el-GR"/>
    </w:rPr>
  </w:style>
  <w:style w:type="paragraph" w:customStyle="1" w:styleId="NormalBold24a">
    <w:name w:val="NormalBold24a"/>
    <w:basedOn w:val="Normal"/>
    <w:rsid w:val="00E671F0"/>
    <w:pPr>
      <w:spacing w:after="480"/>
    </w:pPr>
    <w:rPr>
      <w:b/>
      <w:bCs/>
    </w:rPr>
  </w:style>
  <w:style w:type="paragraph" w:customStyle="1" w:styleId="EPFooter">
    <w:name w:val="EPFooter"/>
    <w:basedOn w:val="Normal"/>
    <w:rsid w:val="00E671F0"/>
    <w:pPr>
      <w:tabs>
        <w:tab w:val="center" w:pos="4535"/>
        <w:tab w:val="right" w:pos="9071"/>
      </w:tabs>
      <w:spacing w:before="240" w:after="240"/>
    </w:pPr>
    <w:rPr>
      <w:color w:val="010000"/>
      <w:sz w:val="22"/>
    </w:rPr>
  </w:style>
  <w:style w:type="paragraph" w:customStyle="1" w:styleId="EPComma">
    <w:name w:val="EPComma"/>
    <w:basedOn w:val="Normal"/>
    <w:rsid w:val="00E671F0"/>
    <w:pPr>
      <w:spacing w:before="480" w:after="240"/>
    </w:pPr>
  </w:style>
  <w:style w:type="character" w:customStyle="1" w:styleId="NormalHanging12aChar">
    <w:name w:val="NormalHanging12a Char"/>
    <w:basedOn w:val="DefaultParagraphFont"/>
    <w:link w:val="NormalHanging12a"/>
    <w:locked/>
    <w:rsid w:val="00E671F0"/>
    <w:rPr>
      <w:sz w:val="24"/>
      <w:lang w:val="el-GR"/>
    </w:rPr>
  </w:style>
  <w:style w:type="paragraph" w:customStyle="1" w:styleId="Institutionquisigne">
    <w:name w:val="Institution qui signe"/>
    <w:basedOn w:val="Normal"/>
    <w:next w:val="Normal"/>
    <w:rsid w:val="00E671F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671F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671F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671F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671F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671F0"/>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E671F0"/>
    <w:rPr>
      <w:i/>
      <w:iCs/>
    </w:rPr>
  </w:style>
  <w:style w:type="character" w:customStyle="1" w:styleId="PageHeadingChar">
    <w:name w:val="PageHeading Char"/>
    <w:basedOn w:val="DefaultParagraphFont"/>
    <w:link w:val="PageHeading"/>
    <w:rsid w:val="00E671F0"/>
    <w:rPr>
      <w:rFonts w:ascii="Arial" w:hAnsi="Arial" w:cs="Arial"/>
      <w:b/>
      <w:sz w:val="24"/>
      <w:lang w:val="el-GR"/>
    </w:rPr>
  </w:style>
  <w:style w:type="paragraph" w:styleId="Footer">
    <w:name w:val="footer"/>
    <w:basedOn w:val="Normal"/>
    <w:link w:val="FooterChar"/>
    <w:rsid w:val="001A0C81"/>
    <w:pPr>
      <w:tabs>
        <w:tab w:val="center" w:pos="4513"/>
        <w:tab w:val="right" w:pos="9026"/>
      </w:tabs>
    </w:pPr>
  </w:style>
  <w:style w:type="character" w:customStyle="1" w:styleId="FooterChar">
    <w:name w:val="Footer Char"/>
    <w:basedOn w:val="DefaultParagraphFont"/>
    <w:link w:val="Footer"/>
    <w:rsid w:val="001A0C81"/>
    <w:rPr>
      <w:sz w:val="24"/>
      <w:lang w:val="el-GR"/>
    </w:rPr>
  </w:style>
  <w:style w:type="character" w:styleId="Hyperlink">
    <w:name w:val="Hyperlink"/>
    <w:basedOn w:val="DefaultParagraphFont"/>
    <w:rsid w:val="001A0C81"/>
    <w:rPr>
      <w:color w:val="0563C1" w:themeColor="hyperlink"/>
      <w:u w:val="single"/>
    </w:rPr>
  </w:style>
  <w:style w:type="character" w:styleId="FollowedHyperlink">
    <w:name w:val="FollowedHyperlink"/>
    <w:basedOn w:val="DefaultParagraphFont"/>
    <w:rsid w:val="001A0C81"/>
    <w:rPr>
      <w:color w:val="954F72" w:themeColor="followedHyperlink"/>
      <w:u w:val="single"/>
    </w:rPr>
  </w:style>
  <w:style w:type="paragraph" w:styleId="BalloonText">
    <w:name w:val="Balloon Text"/>
    <w:basedOn w:val="Normal"/>
    <w:link w:val="BalloonTextChar"/>
    <w:rsid w:val="001A0C81"/>
    <w:rPr>
      <w:rFonts w:ascii="Segoe UI" w:hAnsi="Segoe UI" w:cs="Segoe UI"/>
      <w:sz w:val="18"/>
      <w:szCs w:val="18"/>
    </w:rPr>
  </w:style>
  <w:style w:type="character" w:customStyle="1" w:styleId="BalloonTextChar">
    <w:name w:val="Balloon Text Char"/>
    <w:basedOn w:val="DefaultParagraphFont"/>
    <w:link w:val="BalloonText"/>
    <w:rsid w:val="001A0C8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6525B-0FEC-4AB7-9792-F5F7456D1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1899</Words>
  <Characters>11754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C</cp:lastModifiedBy>
  <cp:revision>2</cp:revision>
  <cp:lastPrinted>2004-11-19T15:42:00Z</cp:lastPrinted>
  <dcterms:created xsi:type="dcterms:W3CDTF">2024-09-10T14:11:00Z</dcterms:created>
  <dcterms:modified xsi:type="dcterms:W3CDTF">2024-09-10T14:11:00Z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P9_TA(2024)0333_</vt:lpwstr>
  </property>
  <property fmtid="{D5CDD505-2E9C-101B-9397-08002B2CF9AE}" pid="4" name="&lt;Type&gt;">
    <vt:lpwstr>RR</vt:lpwstr>
  </property>
</Properties>
</file>