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0ECC" w:rsidTr="0010095E">
        <w:trPr>
          <w:trHeight w:hRule="exact" w:val="1418"/>
        </w:trPr>
        <w:tc>
          <w:tcPr>
            <w:tcW w:w="6804" w:type="dxa"/>
            <w:shd w:val="clear" w:color="auto" w:fill="auto"/>
            <w:vAlign w:val="center"/>
          </w:tcPr>
          <w:p w:rsidR="00751A4A" w:rsidRPr="00A90ECC" w:rsidRDefault="00865C2C" w:rsidP="0010095E">
            <w:pPr>
              <w:pStyle w:val="EPName"/>
            </w:pPr>
            <w:r w:rsidRPr="00A90ECC">
              <w:t>Europos Parlamentas</w:t>
            </w:r>
          </w:p>
          <w:p w:rsidR="00751A4A" w:rsidRPr="00A90ECC" w:rsidRDefault="00817416" w:rsidP="00756632">
            <w:pPr>
              <w:pStyle w:val="EPTerm"/>
              <w:rPr>
                <w:rStyle w:val="HideTWBExt"/>
                <w:noProof w:val="0"/>
                <w:vanish w:val="0"/>
                <w:color w:val="auto"/>
              </w:rPr>
            </w:pPr>
            <w:r w:rsidRPr="00A90ECC">
              <w:t>2019-2024</w:t>
            </w:r>
          </w:p>
        </w:tc>
        <w:tc>
          <w:tcPr>
            <w:tcW w:w="2268" w:type="dxa"/>
            <w:shd w:val="clear" w:color="auto" w:fill="auto"/>
          </w:tcPr>
          <w:p w:rsidR="00751A4A" w:rsidRPr="00A90ECC" w:rsidRDefault="00187494" w:rsidP="0010095E">
            <w:pPr>
              <w:pStyle w:val="EPLogo"/>
            </w:pPr>
            <w:r w:rsidRPr="00A90EC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0ECC" w:rsidRDefault="00D058B8" w:rsidP="004C5D52">
      <w:pPr>
        <w:pStyle w:val="LineTop"/>
      </w:pPr>
    </w:p>
    <w:p w:rsidR="00680577" w:rsidRPr="00A90ECC" w:rsidRDefault="00865C2C" w:rsidP="00680577">
      <w:pPr>
        <w:pStyle w:val="EPBodyTA1"/>
      </w:pPr>
      <w:r w:rsidRPr="00A90ECC">
        <w:t>PRIIMTI TEKSTAI</w:t>
      </w:r>
    </w:p>
    <w:p w:rsidR="00D058B8" w:rsidRPr="00A90ECC" w:rsidRDefault="00D058B8" w:rsidP="00D058B8">
      <w:pPr>
        <w:pStyle w:val="LineBottom"/>
      </w:pPr>
    </w:p>
    <w:p w:rsidR="00865C2C" w:rsidRPr="00A90ECC" w:rsidRDefault="00865C2C" w:rsidP="00865C2C">
      <w:pPr>
        <w:pStyle w:val="ATHeading1"/>
      </w:pPr>
      <w:bookmarkStart w:id="0" w:name="TANumber"/>
      <w:r w:rsidRPr="00A90ECC">
        <w:t>P9_TA(2024)0</w:t>
      </w:r>
      <w:r w:rsidR="00761C29">
        <w:t>333</w:t>
      </w:r>
      <w:bookmarkEnd w:id="0"/>
    </w:p>
    <w:p w:rsidR="00865C2C" w:rsidRPr="00A90ECC" w:rsidRDefault="00865C2C" w:rsidP="00865C2C">
      <w:pPr>
        <w:pStyle w:val="ATHeading2"/>
      </w:pPr>
      <w:bookmarkStart w:id="1" w:name="title"/>
      <w:r w:rsidRPr="00A90ECC">
        <w:t>Europos prisitaikymo prie globalizacijos padarinių fondo lėšų mobilizavimas: Vokietijos paraiška „EGF/2023/003 DE/</w:t>
      </w:r>
      <w:proofErr w:type="spellStart"/>
      <w:r w:rsidRPr="00A90ECC">
        <w:t>Vallourec</w:t>
      </w:r>
      <w:proofErr w:type="spellEnd"/>
      <w:r w:rsidRPr="00A90ECC">
        <w:t>“</w:t>
      </w:r>
      <w:bookmarkEnd w:id="1"/>
    </w:p>
    <w:p w:rsidR="00865C2C" w:rsidRPr="00A90ECC" w:rsidRDefault="00865C2C" w:rsidP="00865C2C">
      <w:pPr>
        <w:rPr>
          <w:i/>
          <w:vanish/>
        </w:rPr>
      </w:pPr>
      <w:r w:rsidRPr="00A90ECC">
        <w:rPr>
          <w:i/>
        </w:rPr>
        <w:fldChar w:fldCharType="begin"/>
      </w:r>
      <w:r w:rsidRPr="00A90ECC">
        <w:rPr>
          <w:i/>
        </w:rPr>
        <w:instrText xml:space="preserve"> TC"(</w:instrText>
      </w:r>
      <w:bookmarkStart w:id="2" w:name="DocNumber"/>
      <w:r w:rsidRPr="00A90ECC">
        <w:rPr>
          <w:i/>
        </w:rPr>
        <w:instrText>A9-0166/2024</w:instrText>
      </w:r>
      <w:bookmarkEnd w:id="2"/>
      <w:r w:rsidRPr="00A90ECC">
        <w:rPr>
          <w:i/>
        </w:rPr>
        <w:instrText xml:space="preserve"> - Pranešėjas: Jens Geier)"\l3 \n&gt; \* MERGEFORMAT </w:instrText>
      </w:r>
      <w:r w:rsidRPr="00A90ECC">
        <w:rPr>
          <w:i/>
        </w:rPr>
        <w:fldChar w:fldCharType="end"/>
      </w:r>
    </w:p>
    <w:p w:rsidR="00865C2C" w:rsidRPr="00A90ECC" w:rsidRDefault="00865C2C" w:rsidP="00865C2C">
      <w:pPr>
        <w:rPr>
          <w:vanish/>
        </w:rPr>
      </w:pPr>
      <w:bookmarkStart w:id="3" w:name="Commission"/>
      <w:r w:rsidRPr="00A90ECC">
        <w:rPr>
          <w:vanish/>
        </w:rPr>
        <w:t>Biudžeto komitetas</w:t>
      </w:r>
      <w:bookmarkEnd w:id="3"/>
    </w:p>
    <w:p w:rsidR="00865C2C" w:rsidRPr="00A90ECC" w:rsidRDefault="00865C2C" w:rsidP="00865C2C">
      <w:pPr>
        <w:rPr>
          <w:vanish/>
        </w:rPr>
      </w:pPr>
      <w:bookmarkStart w:id="4" w:name="PE"/>
      <w:r w:rsidRPr="00A90ECC">
        <w:rPr>
          <w:vanish/>
        </w:rPr>
        <w:t>PE759.759</w:t>
      </w:r>
      <w:bookmarkEnd w:id="4"/>
    </w:p>
    <w:p w:rsidR="00865C2C" w:rsidRPr="00A90ECC" w:rsidRDefault="00C63FDA" w:rsidP="00761C29">
      <w:pPr>
        <w:pStyle w:val="ATHeading3"/>
      </w:pPr>
      <w:bookmarkStart w:id="5" w:name="Sujet"/>
      <w:r>
        <w:t>2024 m. balandžio 2</w:t>
      </w:r>
      <w:r w:rsidR="00761C29">
        <w:t>4</w:t>
      </w:r>
      <w:r>
        <w:t xml:space="preserve"> d. </w:t>
      </w:r>
      <w:r w:rsidR="00865C2C" w:rsidRPr="00A90ECC">
        <w:t>Europos Parlamento rezoliucija dėl pasiūlymo dėl Europos Parlamento ir Tarybos sprendimo dėl Europos prisitaikymo prie globalizacijos padarinių fondo atleistiems darbuotojams lėšų mobilizavimo pagal Vokietijos paraišką „EGF/2023/003 DE/</w:t>
      </w:r>
      <w:proofErr w:type="spellStart"/>
      <w:r w:rsidR="00865C2C" w:rsidRPr="00A90ECC">
        <w:t>Vallourec</w:t>
      </w:r>
      <w:proofErr w:type="spellEnd"/>
      <w:r w:rsidR="00865C2C" w:rsidRPr="00A90ECC">
        <w:t>“</w:t>
      </w:r>
      <w:bookmarkEnd w:id="5"/>
      <w:r w:rsidR="00865C2C" w:rsidRPr="00A90ECC">
        <w:t xml:space="preserve"> </w:t>
      </w:r>
      <w:bookmarkStart w:id="6" w:name="References"/>
      <w:r w:rsidR="00865C2C" w:rsidRPr="00A90ECC">
        <w:t>(COM(2024)0030 – C9-0041/2024 – 2024/0049(BUD))</w:t>
      </w:r>
      <w:bookmarkEnd w:id="6"/>
    </w:p>
    <w:p w:rsidR="00A40B56" w:rsidRPr="00A90ECC" w:rsidRDefault="00A40B56" w:rsidP="00A40B56">
      <w:pPr>
        <w:pStyle w:val="EPComma"/>
        <w:rPr>
          <w:noProof/>
        </w:rPr>
      </w:pPr>
      <w:bookmarkStart w:id="7" w:name="TextBodyBegin"/>
      <w:bookmarkEnd w:id="7"/>
      <w:r w:rsidRPr="00A90ECC">
        <w:rPr>
          <w:i/>
        </w:rPr>
        <w:t>Europos Parlamentas</w:t>
      </w:r>
      <w:r w:rsidRPr="00A90ECC">
        <w:t>,</w:t>
      </w:r>
    </w:p>
    <w:p w:rsidR="00A40B56" w:rsidRPr="00A90ECC" w:rsidRDefault="00A40B56" w:rsidP="00A40B56">
      <w:pPr>
        <w:pStyle w:val="NormalHanging12a"/>
        <w:rPr>
          <w:noProof/>
        </w:rPr>
      </w:pPr>
      <w:r w:rsidRPr="00A90ECC">
        <w:t>–</w:t>
      </w:r>
      <w:r w:rsidRPr="00A90ECC">
        <w:tab/>
        <w:t>atsižvelgdamas į Komisijos pasiūlymą Europos Parlamentui ir Tarybai (COM(2024)0030 – C9</w:t>
      </w:r>
      <w:r w:rsidRPr="00A90ECC">
        <w:noBreakHyphen/>
        <w:t>0041/2024),</w:t>
      </w:r>
    </w:p>
    <w:p w:rsidR="00A40B56" w:rsidRPr="00A90ECC" w:rsidRDefault="00A40B56" w:rsidP="00A40B56">
      <w:pPr>
        <w:pStyle w:val="NormalHanging12a"/>
      </w:pPr>
      <w:r w:rsidRPr="00A90ECC">
        <w:t>–</w:t>
      </w:r>
      <w:r w:rsidRPr="00A90ECC">
        <w:tab/>
        <w:t>atsižvelgdamas į 2021 m. balandžio 28 d. Europos Parlamento ir Tarybos reglamentą (ES) 2021/691 dėl Europos prisitaikymo prie globalizacijos padarinių fondo atleistiems darbuotojams (EGF), kuriuo panaikinamas Reglamentas (ES) Nr. 1309/2013</w:t>
      </w:r>
      <w:r w:rsidRPr="00A90ECC">
        <w:rPr>
          <w:rStyle w:val="FootnoteReference"/>
          <w:noProof/>
        </w:rPr>
        <w:footnoteReference w:id="1"/>
      </w:r>
      <w:r w:rsidRPr="00A90ECC">
        <w:t xml:space="preserve"> (toliau – EGF reglamentas),</w:t>
      </w:r>
    </w:p>
    <w:p w:rsidR="00A40B56" w:rsidRPr="00A90ECC" w:rsidRDefault="00A40B56" w:rsidP="00A40B56">
      <w:pPr>
        <w:pStyle w:val="NormalHanging12a"/>
        <w:rPr>
          <w:noProof/>
        </w:rPr>
      </w:pPr>
      <w:r w:rsidRPr="00A90ECC">
        <w:t>–</w:t>
      </w:r>
      <w:r w:rsidRPr="00A90ECC">
        <w:tab/>
        <w:t>atsižvelgdamas į 2020 m. gruodžio 17 d. Tarybos reglamentą (ES, Euratomas) 2020/2093, kuriuo nustatoma 2021–2027 m. daugiametė finansinė programa</w:t>
      </w:r>
      <w:r w:rsidRPr="00A90ECC">
        <w:rPr>
          <w:rStyle w:val="FootnoteReference"/>
          <w:noProof/>
        </w:rPr>
        <w:footnoteReference w:id="2"/>
      </w:r>
      <w:r w:rsidRPr="00A90ECC">
        <w:t xml:space="preserve">, su pakeitimais, padarytais </w:t>
      </w:r>
      <w:r w:rsidR="004C23C2">
        <w:t xml:space="preserve">2024 m. vasario 29 d. </w:t>
      </w:r>
      <w:bookmarkStart w:id="8" w:name="_GoBack"/>
      <w:bookmarkEnd w:id="8"/>
      <w:r w:rsidR="004F609E">
        <w:t>Tarybos r</w:t>
      </w:r>
      <w:r w:rsidRPr="00A90ECC">
        <w:t>eglamentu (ES, Euratomas) 2024/765</w:t>
      </w:r>
      <w:r w:rsidR="00C63FDA" w:rsidRPr="00A90ECC">
        <w:rPr>
          <w:color w:val="333333"/>
          <w:shd w:val="clear" w:color="auto" w:fill="FFFFFF"/>
        </w:rPr>
        <w:t>, kuriuo iš dalies keičiamas Reglamentas (ES, Euratomas) 2020/2093, kuriuo nustatoma 2021–2027 m. daugiametė finansinė programa</w:t>
      </w:r>
      <w:r w:rsidRPr="00A90ECC">
        <w:rPr>
          <w:rStyle w:val="FootnoteReference"/>
          <w:bdr w:val="none" w:sz="0" w:space="0" w:color="auto" w:frame="1"/>
        </w:rPr>
        <w:footnoteReference w:id="3"/>
      </w:r>
      <w:r w:rsidRPr="00A90ECC">
        <w:t>, ypač į jo 8 straipsnį,</w:t>
      </w:r>
    </w:p>
    <w:p w:rsidR="00A40B56" w:rsidRPr="00A90ECC" w:rsidRDefault="00A40B56" w:rsidP="00A40B56">
      <w:pPr>
        <w:pStyle w:val="NormalHanging12a"/>
        <w:rPr>
          <w:noProof/>
        </w:rPr>
      </w:pPr>
      <w:r w:rsidRPr="00A90ECC">
        <w:t>–</w:t>
      </w:r>
      <w:r w:rsidRPr="00A90ECC">
        <w:tab/>
        <w:t xml:space="preserve">atsižvelgdamas į 2020 m. gruodžio 16 d. Europos Parlamento, Europos Sąjungos Tarybos ir Europos Komisijos </w:t>
      </w:r>
      <w:proofErr w:type="spellStart"/>
      <w:r w:rsidRPr="00A90ECC">
        <w:t>tarpinstitucinį</w:t>
      </w:r>
      <w:proofErr w:type="spellEnd"/>
      <w:r w:rsidRPr="00A90ECC">
        <w:t xml:space="preserve"> susitarimą dėl biudžetinės drausmės, bendradarbiavimo biudžeto klausimais ir patikimo finansų valdymo, taip pat dėl naujų nuosavų išteklių, įskaitant veiksmų gaires dėl naujų nuosavų išteklių nustatymo</w:t>
      </w:r>
      <w:r w:rsidRPr="00A90ECC">
        <w:rPr>
          <w:rStyle w:val="FootnoteReference"/>
          <w:noProof/>
        </w:rPr>
        <w:footnoteReference w:id="4"/>
      </w:r>
      <w:r w:rsidRPr="00A90ECC">
        <w:t>, visų pirma į jo 9 punktą,</w:t>
      </w:r>
    </w:p>
    <w:p w:rsidR="00A40B56" w:rsidRPr="00A90ECC" w:rsidRDefault="00A40B56" w:rsidP="00A40B56">
      <w:pPr>
        <w:pStyle w:val="NormalHanging12a"/>
      </w:pPr>
      <w:r w:rsidRPr="00A90ECC">
        <w:t>–</w:t>
      </w:r>
      <w:r w:rsidRPr="00A90ECC">
        <w:tab/>
        <w:t>atsižvelgdamas į Užimtumo ir socialinių reikalų komiteto laišką,</w:t>
      </w:r>
    </w:p>
    <w:p w:rsidR="00A40B56" w:rsidRPr="00A90ECC" w:rsidRDefault="00A40B56" w:rsidP="00A40B56">
      <w:pPr>
        <w:pStyle w:val="NormalHanging12a"/>
      </w:pPr>
      <w:r w:rsidRPr="00A90ECC">
        <w:t>–</w:t>
      </w:r>
      <w:r w:rsidRPr="00A90ECC">
        <w:tab/>
        <w:t>atsižvelgdamas į Biudžeto komiteto pranešimą (A9-0166/2024),</w:t>
      </w:r>
    </w:p>
    <w:p w:rsidR="00A40B56" w:rsidRPr="00A90ECC" w:rsidRDefault="00A40B56" w:rsidP="00A40B56">
      <w:pPr>
        <w:pStyle w:val="NormalHanging12a"/>
      </w:pPr>
      <w:r w:rsidRPr="00A90ECC">
        <w:t>A.</w:t>
      </w:r>
      <w:r w:rsidRPr="00A90ECC">
        <w:tab/>
        <w:t xml:space="preserve">kadangi Sąjunga, siekdama teikti papildomą paramą darbuotojams, patiriantiems žalą dėl esminių struktūrinių pasaulio prekybos sistemos pokyčių ar pasaulinės finansų ir </w:t>
      </w:r>
      <w:r w:rsidRPr="00A90ECC">
        <w:lastRenderedPageBreak/>
        <w:t>ekonomikos krizės, ir padėti jiems vėl integruotis į darbo rinką, nustatė teisėkūros ir biudžeto priemones; kadangi ši parama yra finansinė parama, teikiama darbuotojams ir įmonėms, kuriose jie dirbo;</w:t>
      </w:r>
    </w:p>
    <w:p w:rsidR="00A40B56" w:rsidRPr="00A90ECC" w:rsidRDefault="00A40B56" w:rsidP="00A40B56">
      <w:pPr>
        <w:pStyle w:val="NormalHanging12a"/>
      </w:pPr>
      <w:r w:rsidRPr="00A90ECC">
        <w:t>B.</w:t>
      </w:r>
      <w:r w:rsidRPr="00A90ECC">
        <w:tab/>
        <w:t>kadangi Vokietija pateikė paraišką „EGF/2023/003 DE/</w:t>
      </w:r>
      <w:proofErr w:type="spellStart"/>
      <w:r w:rsidRPr="00A90ECC">
        <w:t>Vallourec</w:t>
      </w:r>
      <w:proofErr w:type="spellEnd"/>
      <w:r w:rsidRPr="00A90ECC">
        <w:t xml:space="preserve">“ dėl finansinės paramos iš Europos prisitaikymo prie globalizacijos padarinių fondo (EGF), nes ataskaitiniu laikotarpiu nuo 2023 m. balandžio 26 d. iki 2023 m. rugpjūčio 26 d. kaimyniniuose </w:t>
      </w:r>
      <w:proofErr w:type="spellStart"/>
      <w:r w:rsidRPr="00A90ECC">
        <w:t>Diuseldorfo</w:t>
      </w:r>
      <w:proofErr w:type="spellEnd"/>
      <w:r w:rsidRPr="00A90ECC">
        <w:t xml:space="preserve"> ir </w:t>
      </w:r>
      <w:proofErr w:type="spellStart"/>
      <w:r w:rsidRPr="00A90ECC">
        <w:t>Miulheimo</w:t>
      </w:r>
      <w:proofErr w:type="spellEnd"/>
      <w:r w:rsidRPr="00A90ECC">
        <w:t xml:space="preserve"> prie Rūro miestuose buvo atleista 1 518 darbuotojų</w:t>
      </w:r>
      <w:r w:rsidRPr="00A90ECC">
        <w:rPr>
          <w:rStyle w:val="FootnoteReference"/>
        </w:rPr>
        <w:footnoteReference w:id="5"/>
      </w:r>
      <w:r w:rsidRPr="00A90ECC">
        <w:t>, dirbusių NACE 2 red. 24 skyriui (Pagrindinių metalų gamyba) priskiriamame ekonomikos sektoriuje;</w:t>
      </w:r>
    </w:p>
    <w:p w:rsidR="00A40B56" w:rsidRPr="00A90ECC" w:rsidRDefault="00A40B56" w:rsidP="00A40B56">
      <w:pPr>
        <w:pStyle w:val="NormalHanging12a"/>
      </w:pPr>
      <w:r w:rsidRPr="00A90ECC">
        <w:t>C.</w:t>
      </w:r>
      <w:r w:rsidRPr="00A90ECC">
        <w:tab/>
        <w:t>pažymi, kad paraiška teikiama dėl 1 518 darbuotojų, atleistų iš įmonės „</w:t>
      </w:r>
      <w:proofErr w:type="spellStart"/>
      <w:r w:rsidRPr="00A90ECC">
        <w:t>Vallourec</w:t>
      </w:r>
      <w:proofErr w:type="spellEnd"/>
      <w:r w:rsidRPr="00A90ECC">
        <w:t xml:space="preserve"> </w:t>
      </w:r>
      <w:proofErr w:type="spellStart"/>
      <w:r w:rsidRPr="00A90ECC">
        <w:t>Deutschland</w:t>
      </w:r>
      <w:proofErr w:type="spellEnd"/>
      <w:r w:rsidRPr="00A90ECC">
        <w:t xml:space="preserve"> </w:t>
      </w:r>
      <w:proofErr w:type="spellStart"/>
      <w:r w:rsidRPr="00A90ECC">
        <w:t>GmbH</w:t>
      </w:r>
      <w:proofErr w:type="spellEnd"/>
      <w:r w:rsidRPr="00A90ECC">
        <w:t xml:space="preserve"> (VAD)“; </w:t>
      </w:r>
    </w:p>
    <w:p w:rsidR="00A40B56" w:rsidRPr="00A90ECC" w:rsidRDefault="00A40B56" w:rsidP="00A40B56">
      <w:pPr>
        <w:pStyle w:val="NormalHanging12a"/>
      </w:pPr>
      <w:r w:rsidRPr="00A90ECC">
        <w:t>D.</w:t>
      </w:r>
      <w:r w:rsidRPr="00A90ECC">
        <w:tab/>
        <w:t>kadangi paraiška pateikta pagal EGF reglamento 4 straipsnio 2 dalies a punkte nustatytus intervencijos kriterijus, pagal kuriuos per ataskaitinį keturių mėnesių laikotarpį iš valstybės narės įmonės turi būti atleista ne mažiau kaip 200 darbuotojų, įskaitant darbuotojus, atleistus iš jos tiekimo ir tolesnės gamybos grandies įmonių, ir (arba) savarankiškai dirbančius asmenis, kurių veikla nutrūko;</w:t>
      </w:r>
    </w:p>
    <w:p w:rsidR="00A40B56" w:rsidRPr="00A90ECC" w:rsidRDefault="00A40B56" w:rsidP="00A40B56">
      <w:pPr>
        <w:pStyle w:val="NormalHanging12a"/>
      </w:pPr>
      <w:r w:rsidRPr="00A90ECC">
        <w:t>E.</w:t>
      </w:r>
      <w:r w:rsidRPr="00A90ECC">
        <w:tab/>
        <w:t>kadangi dėl COVID-19 pandemijos ir Rusijos agresijos karo prieš Ukrainą sumažėjo ekonomikos konkurencingumas ir daromas neigiamas poveikis Vokietijos ekonomikos augimui;</w:t>
      </w:r>
    </w:p>
    <w:p w:rsidR="00A40B56" w:rsidRPr="00A90ECC" w:rsidRDefault="00A40B56" w:rsidP="00A40B56">
      <w:pPr>
        <w:pStyle w:val="NormalHanging12a"/>
      </w:pPr>
      <w:r w:rsidRPr="00A90ECC">
        <w:t>F.</w:t>
      </w:r>
      <w:r w:rsidRPr="00A90ECC">
        <w:tab/>
        <w:t>kadangi VAD, „</w:t>
      </w:r>
      <w:proofErr w:type="spellStart"/>
      <w:r w:rsidRPr="00A90ECC">
        <w:t>Vallourec</w:t>
      </w:r>
      <w:proofErr w:type="spellEnd"/>
      <w:r w:rsidRPr="00A90ECC">
        <w:t xml:space="preserve"> S.A“ (Prancūzija) patronuojamoji įmonė Vokietijoje, gamino besiūlius karštojo valcavimo plieno vamzdžius dviejose plieno gamyklose Vokietijoje; kadangi po kelerių finansinių nuostolių metų įmonė ėmė įgyvendinti keletą restruktūrizavimo ir darbuotojų mažinimo priemonių, o nuo 2018 m. – specialų gaivinimo planą, šios priemonės apėmė kompromisus dėl darbo sąlygų darbuotojams; kadangi, nepaisant tam tikros sėkmės, dėl ekonominės padėties po COVID-19 pandemijos Vokietijos vamzdžių gamykloms kilo papildomų sunkumų ir nuo 2015 m. dėl restruktūrizavimo jau buvo prarasta daugiau kaip 1 400 darbo vietų; kadangi 2021 m. „</w:t>
      </w:r>
      <w:proofErr w:type="spellStart"/>
      <w:r w:rsidRPr="00A90ECC">
        <w:t>Vallourec</w:t>
      </w:r>
      <w:proofErr w:type="spellEnd"/>
      <w:r w:rsidRPr="00A90ECC">
        <w:t xml:space="preserve"> S.A.“ nusprendė parduoti Vokietijos vamzdžių gamyklas, o gamybą perkelti į Braziliją; kadangi, gamyklų nepavykus parduoti, gamybos vietos bus galutinai uždarytos, o likę darbuotojai atleisti iki 2025 m. sausio 1 d.;</w:t>
      </w:r>
    </w:p>
    <w:p w:rsidR="00A40B56" w:rsidRPr="00A90ECC" w:rsidRDefault="00A40B56" w:rsidP="00A40B56">
      <w:pPr>
        <w:pStyle w:val="NormalHanging12a"/>
      </w:pPr>
      <w:r w:rsidRPr="00A90ECC">
        <w:t>G.</w:t>
      </w:r>
      <w:r w:rsidRPr="00A90ECC">
        <w:tab/>
        <w:t xml:space="preserve">kadangi įmonė VAD sutiko įkurti perkėlimo bendrovę kiekvienai atleistų darbuotojų grupei, be to, įmonė taip pat pasiūlė ankstyvo išėjimo į pensiją planą 1966 m. arba anksčiau gimusiems darbuotojams, taip pat savanoriško išėjimo iš darbo planus asmenims, kuriems gali nebereikėti ilgiau trunkančios pagalbos ieškant naujo darbo; </w:t>
      </w:r>
    </w:p>
    <w:p w:rsidR="00A40B56" w:rsidRPr="00A90ECC" w:rsidRDefault="00A40B56" w:rsidP="00A40B56">
      <w:pPr>
        <w:pStyle w:val="NormalHanging12a"/>
      </w:pPr>
      <w:r w:rsidRPr="00A90ECC">
        <w:t>H.</w:t>
      </w:r>
      <w:r w:rsidRPr="00A90ECC">
        <w:tab/>
        <w:t xml:space="preserve">kadangi EGF finansinis įnašas pirmiausia turėtų būti skiriamas aktyvioms darbo rinkos politikos priemonėms ir prie individualių poreikių pritaikytoms paslaugoms, kuriomis siekiama greitai </w:t>
      </w:r>
      <w:proofErr w:type="spellStart"/>
      <w:r w:rsidRPr="00A90ECC">
        <w:t>reintegruoti</w:t>
      </w:r>
      <w:proofErr w:type="spellEnd"/>
      <w:r w:rsidRPr="00A90ECC">
        <w:t xml:space="preserve"> paramos gavėjus padedant jiems gauti deramas ir tvarias darbo vietas pradiniame jų veiklos ar kitame sektoriuje, kartu rengiant juos neutralaus poveikio klimatui ir labiau skaitmeninei Europos ekonomikai;</w:t>
      </w:r>
    </w:p>
    <w:p w:rsidR="00A40B56" w:rsidRPr="00A90ECC" w:rsidRDefault="00A40B56" w:rsidP="00A40B56">
      <w:pPr>
        <w:pStyle w:val="NormalHanging12a"/>
      </w:pPr>
      <w:r w:rsidRPr="00A90ECC">
        <w:t>I.</w:t>
      </w:r>
      <w:r w:rsidRPr="00A90ECC">
        <w:tab/>
        <w:t xml:space="preserve">kadangi tikslinant DFP EGF didžiausia metinė suma sumažinta nuo 186 mln. EUR iki 30 mln. EUR (2018 m. kainomis), kaip nustatyta Tarybos reglamento (ES, Euratomas) 2020/2093, su pakeitimais, padarytais Reglamentu (ES, Euratomas) 2024/765, </w:t>
      </w:r>
      <w:r w:rsidRPr="00A90ECC">
        <w:lastRenderedPageBreak/>
        <w:t xml:space="preserve">8 straipsnyje; kadangi Komisija turėtų stebėti EGF įgyvendinimą ir visos institucijos turėtų imtis visų būtinų priemonių siekiant užtikrinti, kad būtų patenkinti visi pagrįsti prašymai dėl EGF paramos, taip pademonstruojant ES solidarumą; </w:t>
      </w:r>
    </w:p>
    <w:p w:rsidR="00A40B56" w:rsidRPr="00A90ECC" w:rsidRDefault="00A40B56" w:rsidP="00A40B56">
      <w:pPr>
        <w:pStyle w:val="NormalHanging12a"/>
      </w:pPr>
      <w:r w:rsidRPr="00A90ECC">
        <w:t>1.</w:t>
      </w:r>
      <w:r w:rsidRPr="00A90ECC">
        <w:tab/>
        <w:t>pritaria Komisijai, kad tenkinamos EGF reglamento 4 straipsnio 2 dalies a punkte nustatytos sąlygos ir kad Vokietija turi teisę pagal šį reglamentą gauti finansinę 2 984 627 EUR paramą, kuri sudaro 60 proc. visų išlaidų, siekiančių 4 974 379 EUR ir apimančių prie individualių poreikių pritaikytų paslaugų išlaidas (4 783 057 EUR) ir parengiamosios, valdymo, informavimo ir viešinimo, kontrolės ir ataskaitų teikimo veiklos išlaidas (191 322 EUR);</w:t>
      </w:r>
    </w:p>
    <w:p w:rsidR="00A40B56" w:rsidRPr="00A90ECC" w:rsidRDefault="00A40B56" w:rsidP="00A40B56">
      <w:pPr>
        <w:pStyle w:val="NormalHanging12a"/>
      </w:pPr>
      <w:r w:rsidRPr="00A90ECC">
        <w:t>2.</w:t>
      </w:r>
      <w:r w:rsidRPr="00A90ECC">
        <w:tab/>
        <w:t xml:space="preserve">pažymi, kad Vokietijos valdžios institucijos paraišką pateikė 2023 m. lapkričio 15 d. ir kad, Vokietijai pateikus papildomą informaciją, Komisija 2024 m. vasario 29 d. baigė savo vertinimą ir tą pačią dieną informavo Parlamentą; </w:t>
      </w:r>
    </w:p>
    <w:p w:rsidR="00A40B56" w:rsidRPr="00A90ECC" w:rsidRDefault="00A40B56" w:rsidP="00A40B56">
      <w:pPr>
        <w:pStyle w:val="NormalHanging12a"/>
      </w:pPr>
      <w:r w:rsidRPr="00A90ECC">
        <w:t>3.</w:t>
      </w:r>
      <w:r w:rsidRPr="00A90ECC">
        <w:tab/>
        <w:t>pažymi, kad paraiška teikiama dėl 1 518 darbuotojų, atleistų iš įmonės „</w:t>
      </w:r>
      <w:proofErr w:type="spellStart"/>
      <w:r w:rsidRPr="00A90ECC">
        <w:t>Vallourec</w:t>
      </w:r>
      <w:proofErr w:type="spellEnd"/>
      <w:r w:rsidRPr="00A90ECC">
        <w:t xml:space="preserve"> </w:t>
      </w:r>
      <w:proofErr w:type="spellStart"/>
      <w:r w:rsidRPr="00A90ECC">
        <w:t>Deutschland</w:t>
      </w:r>
      <w:proofErr w:type="spellEnd"/>
      <w:r w:rsidRPr="00A90ECC">
        <w:t xml:space="preserve"> </w:t>
      </w:r>
      <w:proofErr w:type="spellStart"/>
      <w:r w:rsidRPr="00A90ECC">
        <w:t>GmbH</w:t>
      </w:r>
      <w:proofErr w:type="spellEnd"/>
      <w:r w:rsidRPr="00A90ECC">
        <w:t xml:space="preserve"> (VAD)“; taip pat pažymi, kad iš viso 835 darbuotojai bus tiksliniai paramos gavėjai;</w:t>
      </w:r>
    </w:p>
    <w:p w:rsidR="00A40B56" w:rsidRPr="00A90ECC" w:rsidRDefault="00A40B56" w:rsidP="00A40B56">
      <w:pPr>
        <w:pStyle w:val="NormalHanging12a"/>
      </w:pPr>
      <w:r w:rsidRPr="00A90ECC">
        <w:t>4.</w:t>
      </w:r>
      <w:r w:rsidRPr="00A90ECC">
        <w:tab/>
        <w:t xml:space="preserve">pabrėžia, jog manoma, kad šie atleidimai padarys didelį neigiamą poveikį vietos ekonomikai, kuri pastaraisiais dešimtmečiais išgyvena struktūrinius pokyčius ir susiduria su dideliu darbo vietų mažėjimu gamybos pramonės sektoriuje, visų pirma – metalo gamybos; atkreipia dėmesį į tai, kad dėl darbuotojų atleidimo nedarbo lygis </w:t>
      </w:r>
      <w:proofErr w:type="spellStart"/>
      <w:r w:rsidRPr="00A90ECC">
        <w:t>Miulheimo</w:t>
      </w:r>
      <w:proofErr w:type="spellEnd"/>
      <w:r w:rsidRPr="00A90ECC">
        <w:t xml:space="preserve"> ir </w:t>
      </w:r>
      <w:proofErr w:type="spellStart"/>
      <w:r w:rsidRPr="00A90ECC">
        <w:t>Diuseldorfo</w:t>
      </w:r>
      <w:proofErr w:type="spellEnd"/>
      <w:r w:rsidRPr="00A90ECC">
        <w:t xml:space="preserve"> miestuose turėtų atitinkamai padidėti 11,6 proc. ir 5,6 proc.; </w:t>
      </w:r>
    </w:p>
    <w:p w:rsidR="00A40B56" w:rsidRPr="00A90ECC" w:rsidRDefault="00A40B56" w:rsidP="00A40B56">
      <w:pPr>
        <w:pStyle w:val="NormalHanging12a"/>
      </w:pPr>
      <w:r w:rsidRPr="00A90ECC">
        <w:t>5.</w:t>
      </w:r>
      <w:r w:rsidRPr="00A90ECC">
        <w:tab/>
        <w:t>pažymi, kad atleistų darbuotojų profiliai neatitinka darbo rinkoje reikalingų įgūdžių; be to, pabrėžia, kad dauguma atleistų darbuotojų jau nuėję netrumpą kelią savo profesiniame gyvenime – 20,1 proc. jų yra vyresni nei 54 metų ir jie ilgą laiką pradirbo VAD, o jų formalios kvalifikacijos lygis dabartinėje darbo rinkoje daro juos nekonkurencingus; akcentuoja, kad darbuotojų kvalifikacijos kėlimas ir jų perkvalifikavimas atsižvelgiant į darbo rinkos poreikius, susijusius su kvalifikuotomis darbo vietomis, bus iššūkis, visų pirma dėl didelio tuo pačiu metu atleistų asmenų skaičiaus; taip pat pabrėžia, kad keliant atleistų darbuotojų kvalifikaciją ir juos perkvalifikuojant reikia atsižvelgti į vidutinės trukmės ir ilgalaikius kvalifikacijos poreikius, susijusius su pramonės pertvarka siekiant neutralaus poveikio klimatui ateities;</w:t>
      </w:r>
    </w:p>
    <w:p w:rsidR="00A40B56" w:rsidRPr="00A90ECC" w:rsidRDefault="00A40B56" w:rsidP="00A40B56">
      <w:pPr>
        <w:pStyle w:val="NormalHanging12a"/>
      </w:pPr>
      <w:r w:rsidRPr="00A90ECC">
        <w:t>6.</w:t>
      </w:r>
      <w:r w:rsidRPr="00A90ECC">
        <w:tab/>
        <w:t>mano, kad Sąjungos socialinė atsakomybė – suteikti šiems atleistiems darbuotojams būtiną kvalifikaciją atsižvelgiant į ekologišką ir teisingą Sąjungos pramonės transformaciją pagal Europos žaliąjį kursą, nes jie dirbo sektoriuje, kuris pasižymi aukštu taršos anglies dioksidu intensyvumu; pabrėžia mokslinių tyrimų ir inovacijų svarbą, kad Europa atitiktų gamybos pramonės poreikius ateityje, ir siekiant užkirsti kelią ES priklausomybės nuo iškastinio kuro mažinimui deindustrializacijos būdu; todėl palankiai vertina pagal EGF darbuotojams teikiamas prie individualių poreikių pritaikytas paslaugas, kurios apima kvalifikacijos kėlimo priemones, praktinius seminarus, profesinį orientavimą, konsultavimą darbo klausimais, taip pat mokymo išmokas, kad regionas ir visa darbo rinka taptų tvaresnė ir atsparesnė ateityje;</w:t>
      </w:r>
    </w:p>
    <w:p w:rsidR="00A40B56" w:rsidRPr="00A90ECC" w:rsidRDefault="00A40B56" w:rsidP="00A40B56">
      <w:pPr>
        <w:pStyle w:val="NormalHanging12a"/>
      </w:pPr>
      <w:r w:rsidRPr="00A90ECC">
        <w:t>7.</w:t>
      </w:r>
      <w:r w:rsidRPr="00A90ECC">
        <w:tab/>
        <w:t xml:space="preserve">teigiamai vertina tai, kad Vokietija parengė suderintą prie individualių poreikių pritaikytų paslaugų paketą konsultuodamasi su tiksliniais paramos gavėjais, jų atstovais ir socialiniais partneriais; ypač palankiai vertina tai, kad iš karto po to, kai buvo nuspręsta uždaryti vamzdžių gamyklas, įmonės vadovybė ir darbuotojų atstovai pradėjo </w:t>
      </w:r>
      <w:r w:rsidRPr="00A90ECC">
        <w:lastRenderedPageBreak/>
        <w:t>derybas dėl socialinio plano, visų pirma dėl perkėlimo bendrovės kūrimo; pripažįsta, kad VAD įdėjo daug pastangų, kad kuo labiau sumažintų socialinį poveikį, atsiradusį uždarius gamybos vietas;</w:t>
      </w:r>
    </w:p>
    <w:p w:rsidR="00A40B56" w:rsidRPr="00A90ECC" w:rsidRDefault="00A40B56" w:rsidP="00A40B56">
      <w:pPr>
        <w:pStyle w:val="NormalHanging12a"/>
      </w:pPr>
      <w:r w:rsidRPr="00A90ECC">
        <w:t>8.</w:t>
      </w:r>
      <w:r w:rsidRPr="00A90ECC">
        <w:tab/>
        <w:t>primena, kad prie individualių poreikių pritaikytas paslaugas, kurias ketinama teikti darbuotojams ir savarankiškai dirbantiems asmenims, sudaro šie veiksmai: pagal poreikius pritaikytas mokymas ir perkvalifikavimas, profesinis orientavimas, individualios pagalbos ieškant darbo paslaugos ir tikslinė grupinė veikla, pagalba ir finansinė parama verslui kurti, taip pat paskatos ir išmokos;</w:t>
      </w:r>
    </w:p>
    <w:p w:rsidR="00A40B56" w:rsidRPr="00A90ECC" w:rsidRDefault="00A40B56" w:rsidP="00A40B56">
      <w:pPr>
        <w:pStyle w:val="NormalHanging12a"/>
      </w:pPr>
      <w:r w:rsidRPr="00A90ECC">
        <w:t>9.</w:t>
      </w:r>
      <w:r w:rsidRPr="00A90ECC">
        <w:tab/>
      </w:r>
      <w:r w:rsidRPr="00A90ECC">
        <w:rPr>
          <w:sz w:val="23"/>
        </w:rPr>
        <w:t xml:space="preserve">labai palankiai vertina siūlomą priemonę „Pagrindiniai skaitmeniniai įgūdžiai“ (vok. </w:t>
      </w:r>
      <w:proofErr w:type="spellStart"/>
      <w:r w:rsidRPr="00A90ECC">
        <w:rPr>
          <w:i/>
          <w:iCs/>
          <w:sz w:val="23"/>
        </w:rPr>
        <w:t>Digitale</w:t>
      </w:r>
      <w:proofErr w:type="spellEnd"/>
      <w:r w:rsidRPr="00A90ECC">
        <w:rPr>
          <w:i/>
          <w:iCs/>
          <w:sz w:val="23"/>
        </w:rPr>
        <w:t xml:space="preserve"> </w:t>
      </w:r>
      <w:proofErr w:type="spellStart"/>
      <w:r w:rsidRPr="00A90ECC">
        <w:rPr>
          <w:i/>
          <w:iCs/>
          <w:sz w:val="23"/>
        </w:rPr>
        <w:t>Grundqualifizierung</w:t>
      </w:r>
      <w:proofErr w:type="spellEnd"/>
      <w:r w:rsidRPr="00A90ECC">
        <w:rPr>
          <w:sz w:val="23"/>
        </w:rPr>
        <w:t>), skirtą skaitmeninės pramonės amžiuje reikalingų įgūdžių sklaidai, kaip reikalaujama EGF reglamento 7 straipsnio 2 dalyje; pažymi, kad ši priemonė visų pirma skirta tiems dalyviams, kurie neturi skaitmeninių įgūdžių arba jie yra menki; palankiai vertina tai, jog dalyviams bus skirti nešiojamieji kompiuteriai, kad jie galėtų lankyti kursus ir mokytis namuose, taip pat tai, kad ypatingas dėmesys bus skiriamas taikomiesiems įgūdžiams, kurie padeda dalyviams naudotis internetinėmis darbo paieškos priemonėmis;</w:t>
      </w:r>
    </w:p>
    <w:p w:rsidR="00A40B56" w:rsidRPr="00A90ECC" w:rsidRDefault="00A40B56" w:rsidP="00A40B56">
      <w:pPr>
        <w:pStyle w:val="NormalHanging12a"/>
      </w:pPr>
      <w:r w:rsidRPr="00A90ECC">
        <w:t>10.</w:t>
      </w:r>
      <w:r w:rsidRPr="00A90ECC">
        <w:tab/>
        <w:t>pažymi, kad prie individualių poreikių pritaikytas paslaugas tiksliniams paramos gavėjams Vokietija pradėjo teikti 2023 m. gruodžio 1 d., ir kad todėl išlaidų tinkamumo finansuoti iš EGF finansinės paramos laikotarpis bus skaičiuojamas nuo 2023 m. gruodžio 1 d. iki tada, kai sueis 24 mėnesiai nuo Finansavimo sprendimo įsigaliojimo dienos;</w:t>
      </w:r>
    </w:p>
    <w:p w:rsidR="00A40B56" w:rsidRPr="00A90ECC" w:rsidRDefault="00A40B56" w:rsidP="00A40B56">
      <w:pPr>
        <w:pStyle w:val="NormalHanging12a"/>
        <w:rPr>
          <w:sz w:val="23"/>
          <w:szCs w:val="23"/>
        </w:rPr>
      </w:pPr>
      <w:r w:rsidRPr="00A90ECC">
        <w:t>11.</w:t>
      </w:r>
      <w:r w:rsidRPr="00A90ECC">
        <w:tab/>
        <w:t>pažymi, kad pirmąsias administracines išlaidas, susijusias su EGF paramos įgyvendinimu, Vokietija patyrė 2023 m. sausio 1 d. ir kad išlaidos parengiamajai, valdymo, informavimo ir viešinimo, kontrolės ir ataskaitų teikimo veiklai laikomos tinkamomis finansuoti iš EGF finansinės paramos nuo 2023 m. sausio 1 d. iki tada, kai sueis 31 mėnuo nuo Finansavimo sprendimo įsigaliojimo dienos;</w:t>
      </w:r>
    </w:p>
    <w:p w:rsidR="00A40B56" w:rsidRPr="00A90ECC" w:rsidRDefault="00A40B56" w:rsidP="00A40B56">
      <w:pPr>
        <w:pStyle w:val="NormalHanging12a"/>
      </w:pPr>
      <w:r w:rsidRPr="00A90ECC">
        <w:t>12.</w:t>
      </w:r>
      <w:r w:rsidRPr="00A90ECC">
        <w:tab/>
        <w:t>pabrėžia, kad Vokietijos institucijos patvirtino, jog reikalavimus atitinkantiems veiksmams neteikiama parama naudojant kitus Sąjungos fondus ar kitas finansines priemones ir kad suteikiant galimybę naudotis siūlomais veiksmais ir juos įgyvendinant bus laikomasi vienodo požiūrio ir nediskriminavimo principų;</w:t>
      </w:r>
    </w:p>
    <w:p w:rsidR="00A40B56" w:rsidRPr="00A90ECC" w:rsidRDefault="00A40B56" w:rsidP="00A40B56">
      <w:pPr>
        <w:pStyle w:val="NormalHanging12a"/>
      </w:pPr>
      <w:r w:rsidRPr="00A90ECC">
        <w:t>13.</w:t>
      </w:r>
      <w:r w:rsidRPr="00A90ECC">
        <w:tab/>
        <w:t>pakartoja, kad, siekiant užtikrinti skiriamų išteklių papildomumą, EGF parama negali pakeisti veiksmų, už kuriuos įmonės atsakingos pagal nacionalinę teisę ar kolektyvines sutartis, arba jokių išmokų ar atleistų darbuotojų teisių;</w:t>
      </w:r>
    </w:p>
    <w:p w:rsidR="00A40B56" w:rsidRPr="00A90ECC" w:rsidRDefault="00A40B56" w:rsidP="00A40B56">
      <w:pPr>
        <w:pStyle w:val="NormalHanging12a"/>
      </w:pPr>
      <w:r w:rsidRPr="00A90ECC">
        <w:t>14.</w:t>
      </w:r>
      <w:r w:rsidRPr="00A90ECC">
        <w:tab/>
        <w:t>pritaria prie šios rezoliucijos pridedamam sprendimui;</w:t>
      </w:r>
    </w:p>
    <w:p w:rsidR="00A40B56" w:rsidRPr="00A90ECC" w:rsidRDefault="00A40B56" w:rsidP="00A40B56">
      <w:pPr>
        <w:pStyle w:val="NormalHanging12a"/>
      </w:pPr>
      <w:r w:rsidRPr="00A90ECC">
        <w:t>15.</w:t>
      </w:r>
      <w:r w:rsidRPr="00A90ECC">
        <w:tab/>
        <w:t>paveda Pirmininkei pasirašyti šį sprendimą su Tarybos pirmininku ir užtikrinti, kad jis būtų paskelbtas</w:t>
      </w:r>
      <w:r w:rsidRPr="00A90ECC">
        <w:rPr>
          <w:i/>
        </w:rPr>
        <w:t xml:space="preserve"> Europos Sąjungos oficialiajame leidinyje</w:t>
      </w:r>
      <w:r w:rsidRPr="00A90ECC">
        <w:t>;</w:t>
      </w:r>
    </w:p>
    <w:p w:rsidR="00A40B56" w:rsidRPr="00A90ECC" w:rsidRDefault="00A40B56" w:rsidP="00A40B56">
      <w:pPr>
        <w:pStyle w:val="NormalHanging12a"/>
        <w:jc w:val="both"/>
        <w:sectPr w:rsidR="00A40B56" w:rsidRPr="00A90ECC" w:rsidSect="00A90ECC">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567" w:footer="567" w:gutter="0"/>
          <w:cols w:space="720"/>
          <w:noEndnote/>
          <w:docGrid w:linePitch="326"/>
        </w:sectPr>
      </w:pPr>
      <w:r w:rsidRPr="00A90ECC">
        <w:t>16.</w:t>
      </w:r>
      <w:r w:rsidRPr="00A90ECC">
        <w:tab/>
        <w:t>paveda Pirmininkei perduoti šią rezoliuciją ir jos priedą Tarybai ir Komisijai.</w:t>
      </w:r>
    </w:p>
    <w:p w:rsidR="00A40B56" w:rsidRPr="00A90ECC" w:rsidRDefault="00A40B56" w:rsidP="00A40B56">
      <w:pPr>
        <w:pStyle w:val="NormalHanging12a"/>
        <w:ind w:left="0" w:firstLine="0"/>
        <w:jc w:val="both"/>
        <w:rPr>
          <w:szCs w:val="24"/>
        </w:rPr>
      </w:pPr>
    </w:p>
    <w:p w:rsidR="004C23C2" w:rsidRPr="004C23C2" w:rsidRDefault="00A40B56" w:rsidP="00A40B56">
      <w:pPr>
        <w:pStyle w:val="PageHeading"/>
        <w:rPr>
          <w:rFonts w:ascii="Times New Roman" w:hAnsi="Times New Roman" w:cs="Times New Roman"/>
        </w:rPr>
      </w:pPr>
      <w:bookmarkStart w:id="9" w:name="_Toc164240621"/>
      <w:r w:rsidRPr="004C23C2">
        <w:rPr>
          <w:rFonts w:ascii="Times New Roman" w:hAnsi="Times New Roman" w:cs="Times New Roman"/>
        </w:rPr>
        <w:t>PRIEDAS</w:t>
      </w:r>
    </w:p>
    <w:p w:rsidR="00A40B56" w:rsidRPr="004C23C2" w:rsidRDefault="00A40B56" w:rsidP="00A40B56">
      <w:pPr>
        <w:pStyle w:val="PageHeading"/>
        <w:rPr>
          <w:rFonts w:ascii="Times New Roman" w:hAnsi="Times New Roman" w:cs="Times New Roman"/>
          <w:noProof/>
        </w:rPr>
      </w:pPr>
      <w:r w:rsidRPr="004C23C2">
        <w:rPr>
          <w:rFonts w:ascii="Times New Roman" w:hAnsi="Times New Roman" w:cs="Times New Roman"/>
        </w:rPr>
        <w:t>EUROPOS PARLAMENTO IR TARYBOS SPRENDIMAS</w:t>
      </w:r>
      <w:bookmarkEnd w:id="9"/>
    </w:p>
    <w:p w:rsidR="00A40B56" w:rsidRPr="00A90ECC" w:rsidRDefault="00A40B56" w:rsidP="00A40B56">
      <w:pPr>
        <w:pStyle w:val="NormalBold24a"/>
      </w:pPr>
      <w:r w:rsidRPr="00A90ECC">
        <w:t>dėl Europos prisitaikymo prie globalizacijos padarinių fondo atleistiems darbuotojams lėšų mobilizavimo pagal Vokietijos paraišką „EGF/2023/003 DE/</w:t>
      </w:r>
      <w:proofErr w:type="spellStart"/>
      <w:r w:rsidRPr="00A90ECC">
        <w:t>Vallourec</w:t>
      </w:r>
      <w:proofErr w:type="spellEnd"/>
      <w:r w:rsidRPr="00A90ECC">
        <w:t>“</w:t>
      </w:r>
    </w:p>
    <w:p w:rsidR="00E365E1" w:rsidRPr="00A90ECC" w:rsidRDefault="004C23C2" w:rsidP="004C23C2">
      <w:pPr>
        <w:spacing w:after="240"/>
      </w:pPr>
      <w:r w:rsidRPr="002E2EB9">
        <w:rPr>
          <w:i/>
          <w:lang w:val="en-GB" w:eastAsia="de-DE"/>
        </w:rPr>
        <w:t>(</w:t>
      </w:r>
      <w:proofErr w:type="spellStart"/>
      <w:r w:rsidRPr="002E2EB9">
        <w:rPr>
          <w:i/>
          <w:lang w:val="en-GB" w:eastAsia="de-DE"/>
        </w:rPr>
        <w:t>Šio</w:t>
      </w:r>
      <w:proofErr w:type="spellEnd"/>
      <w:r w:rsidRPr="002E2EB9">
        <w:rPr>
          <w:i/>
          <w:lang w:val="en-GB" w:eastAsia="de-DE"/>
        </w:rPr>
        <w:t xml:space="preserve"> </w:t>
      </w:r>
      <w:proofErr w:type="spellStart"/>
      <w:r w:rsidRPr="002E2EB9">
        <w:rPr>
          <w:i/>
          <w:lang w:val="en-GB" w:eastAsia="de-DE"/>
        </w:rPr>
        <w:t>priedo</w:t>
      </w:r>
      <w:proofErr w:type="spellEnd"/>
      <w:r w:rsidRPr="002E2EB9">
        <w:rPr>
          <w:i/>
          <w:lang w:val="en-GB" w:eastAsia="de-DE"/>
        </w:rPr>
        <w:t xml:space="preserve"> </w:t>
      </w:r>
      <w:proofErr w:type="spellStart"/>
      <w:r w:rsidRPr="002E2EB9">
        <w:rPr>
          <w:i/>
          <w:lang w:val="en-GB" w:eastAsia="de-DE"/>
        </w:rPr>
        <w:t>tekstas</w:t>
      </w:r>
      <w:proofErr w:type="spellEnd"/>
      <w:r w:rsidRPr="002E2EB9">
        <w:rPr>
          <w:i/>
          <w:lang w:val="en-GB" w:eastAsia="de-DE"/>
        </w:rPr>
        <w:t xml:space="preserve"> </w:t>
      </w:r>
      <w:proofErr w:type="spellStart"/>
      <w:proofErr w:type="gramStart"/>
      <w:r w:rsidRPr="002E2EB9">
        <w:rPr>
          <w:i/>
          <w:lang w:val="en-GB" w:eastAsia="de-DE"/>
        </w:rPr>
        <w:t>čia</w:t>
      </w:r>
      <w:proofErr w:type="spellEnd"/>
      <w:proofErr w:type="gramEnd"/>
      <w:r w:rsidRPr="002E2EB9">
        <w:rPr>
          <w:i/>
          <w:lang w:val="en-GB" w:eastAsia="de-DE"/>
        </w:rPr>
        <w:t xml:space="preserve"> </w:t>
      </w:r>
      <w:proofErr w:type="spellStart"/>
      <w:r w:rsidRPr="002E2EB9">
        <w:rPr>
          <w:i/>
          <w:lang w:val="en-GB" w:eastAsia="de-DE"/>
        </w:rPr>
        <w:t>nepateikiamas</w:t>
      </w:r>
      <w:proofErr w:type="spellEnd"/>
      <w:r w:rsidRPr="002E2EB9">
        <w:rPr>
          <w:i/>
          <w:lang w:val="en-GB" w:eastAsia="de-DE"/>
        </w:rPr>
        <w:t xml:space="preserve">, </w:t>
      </w:r>
      <w:proofErr w:type="spellStart"/>
      <w:r w:rsidRPr="002E2EB9">
        <w:rPr>
          <w:i/>
          <w:lang w:val="en-GB" w:eastAsia="de-DE"/>
        </w:rPr>
        <w:t>nes</w:t>
      </w:r>
      <w:proofErr w:type="spellEnd"/>
      <w:r w:rsidRPr="002E2EB9">
        <w:rPr>
          <w:i/>
          <w:lang w:val="en-GB" w:eastAsia="de-DE"/>
        </w:rPr>
        <w:t xml:space="preserve"> </w:t>
      </w:r>
      <w:proofErr w:type="spellStart"/>
      <w:r w:rsidRPr="002E2EB9">
        <w:rPr>
          <w:i/>
          <w:lang w:val="en-GB" w:eastAsia="de-DE"/>
        </w:rPr>
        <w:t>jis</w:t>
      </w:r>
      <w:proofErr w:type="spellEnd"/>
      <w:r w:rsidRPr="002E2EB9">
        <w:rPr>
          <w:i/>
          <w:lang w:val="en-GB" w:eastAsia="de-DE"/>
        </w:rPr>
        <w:t xml:space="preserve"> </w:t>
      </w:r>
      <w:proofErr w:type="spellStart"/>
      <w:r w:rsidRPr="002E2EB9">
        <w:rPr>
          <w:i/>
          <w:lang w:val="en-GB" w:eastAsia="de-DE"/>
        </w:rPr>
        <w:t>atitinka</w:t>
      </w:r>
      <w:proofErr w:type="spellEnd"/>
      <w:r w:rsidRPr="002E2EB9">
        <w:rPr>
          <w:i/>
          <w:lang w:val="en-GB" w:eastAsia="de-DE"/>
        </w:rPr>
        <w:t xml:space="preserve"> </w:t>
      </w:r>
      <w:proofErr w:type="spellStart"/>
      <w:r w:rsidRPr="002E2EB9">
        <w:rPr>
          <w:i/>
          <w:lang w:val="en-GB" w:eastAsia="de-DE"/>
        </w:rPr>
        <w:t>galutinį</w:t>
      </w:r>
      <w:proofErr w:type="spellEnd"/>
      <w:r w:rsidRPr="002E2EB9">
        <w:rPr>
          <w:i/>
          <w:lang w:val="en-GB" w:eastAsia="de-DE"/>
        </w:rPr>
        <w:t xml:space="preserve"> </w:t>
      </w:r>
      <w:proofErr w:type="spellStart"/>
      <w:r w:rsidRPr="002E2EB9">
        <w:rPr>
          <w:i/>
          <w:lang w:val="en-GB" w:eastAsia="de-DE"/>
        </w:rPr>
        <w:t>aktą</w:t>
      </w:r>
      <w:proofErr w:type="spellEnd"/>
      <w:r w:rsidRPr="002E2EB9">
        <w:rPr>
          <w:i/>
          <w:lang w:val="en-GB" w:eastAsia="de-DE"/>
        </w:rPr>
        <w:t xml:space="preserve"> – </w:t>
      </w:r>
      <w:proofErr w:type="spellStart"/>
      <w:r w:rsidRPr="001A465D">
        <w:rPr>
          <w:i/>
          <w:lang w:val="en-GB" w:eastAsia="de-DE"/>
        </w:rPr>
        <w:t>Sprendimą</w:t>
      </w:r>
      <w:proofErr w:type="spellEnd"/>
      <w:r w:rsidRPr="001A465D">
        <w:rPr>
          <w:i/>
          <w:lang w:val="en-GB" w:eastAsia="de-DE"/>
        </w:rPr>
        <w:t xml:space="preserve"> (ES) 2024/</w:t>
      </w:r>
      <w:r>
        <w:rPr>
          <w:i/>
          <w:lang w:val="en-GB" w:eastAsia="de-DE"/>
        </w:rPr>
        <w:t>129</w:t>
      </w:r>
      <w:r>
        <w:rPr>
          <w:i/>
          <w:lang w:val="en-GB" w:eastAsia="de-DE"/>
        </w:rPr>
        <w:t>8</w:t>
      </w:r>
      <w:r w:rsidRPr="002E2EB9">
        <w:rPr>
          <w:i/>
          <w:lang w:val="en-GB" w:eastAsia="de-DE"/>
        </w:rPr>
        <w:t>.)</w:t>
      </w:r>
      <w:bookmarkStart w:id="10" w:name="TextBodyEnd"/>
      <w:bookmarkEnd w:id="10"/>
    </w:p>
    <w:sectPr w:rsidR="00E365E1" w:rsidRPr="00A90ECC" w:rsidSect="00A90ECC">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C2C" w:rsidRPr="00A90ECC" w:rsidRDefault="00865C2C">
      <w:r w:rsidRPr="00A90ECC">
        <w:separator/>
      </w:r>
    </w:p>
  </w:endnote>
  <w:endnote w:type="continuationSeparator" w:id="0">
    <w:p w:rsidR="00865C2C" w:rsidRPr="00A90ECC" w:rsidRDefault="00865C2C">
      <w:r w:rsidRPr="00A90E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B56" w:rsidRPr="00A90ECC" w:rsidRDefault="00A40B56" w:rsidP="00147F4F">
    <w:pPr>
      <w:pStyle w:val="EPFooter"/>
    </w:pPr>
    <w:r w:rsidRPr="00A90ECC">
      <w:t>PE</w:t>
    </w:r>
    <w:r w:rsidRPr="00A90ECC">
      <w:rPr>
        <w:rStyle w:val="HideTWBExt"/>
      </w:rPr>
      <w:t>&lt;NoPE&gt;</w:t>
    </w:r>
    <w:r w:rsidRPr="00A90ECC">
      <w:t>759.759</w:t>
    </w:r>
    <w:r w:rsidRPr="00A90ECC">
      <w:rPr>
        <w:rStyle w:val="HideTWBExt"/>
      </w:rPr>
      <w:t>&lt;/NoPE&gt;&lt;Version&gt;</w:t>
    </w:r>
    <w:r w:rsidRPr="00A90ECC">
      <w:t>v02-00</w:t>
    </w:r>
    <w:r w:rsidRPr="00A90ECC">
      <w:rPr>
        <w:rStyle w:val="HideTWBExt"/>
      </w:rPr>
      <w:t>&lt;/Version&gt;</w:t>
    </w:r>
    <w:r w:rsidRPr="00A90ECC">
      <w:tab/>
    </w:r>
    <w:r w:rsidRPr="00A90ECC">
      <w:fldChar w:fldCharType="begin"/>
    </w:r>
    <w:r w:rsidRPr="00A90ECC">
      <w:instrText xml:space="preserve"> PAGE  \* MERGEFORMAT </w:instrText>
    </w:r>
    <w:r w:rsidRPr="00A90ECC">
      <w:fldChar w:fldCharType="separate"/>
    </w:r>
    <w:r w:rsidR="00A90ECC" w:rsidRPr="00A90ECC">
      <w:rPr>
        <w:noProof/>
      </w:rPr>
      <w:t>4</w:t>
    </w:r>
    <w:r w:rsidRPr="00A90ECC">
      <w:fldChar w:fldCharType="end"/>
    </w:r>
    <w:r w:rsidRPr="00A90ECC">
      <w:t>/</w:t>
    </w:r>
    <w:fldSimple w:instr=" NUMPAGES  \* MERGEFORMAT ">
      <w:r w:rsidR="00A90ECC" w:rsidRPr="00A90ECC">
        <w:rPr>
          <w:noProof/>
        </w:rPr>
        <w:t>9</w:t>
      </w:r>
    </w:fldSimple>
    <w:r w:rsidRPr="00A90ECC">
      <w:tab/>
    </w:r>
    <w:r w:rsidRPr="00A90ECC">
      <w:rPr>
        <w:rStyle w:val="HideTWBExt"/>
      </w:rPr>
      <w:t>&lt;PathFdR&gt;</w:t>
    </w:r>
    <w:r w:rsidRPr="00A90ECC">
      <w:t>RR\1300657LT.docx</w:t>
    </w:r>
    <w:r w:rsidRPr="00A90ECC">
      <w:rPr>
        <w:rStyle w:val="HideTWBExt"/>
      </w:rPr>
      <w:t>&lt;/PathFdR&gt;</w:t>
    </w:r>
  </w:p>
  <w:p w:rsidR="00A40B56" w:rsidRPr="00A90ECC" w:rsidRDefault="00A40B56" w:rsidP="00147F4F">
    <w:pPr>
      <w:pStyle w:val="EPFooter2"/>
    </w:pPr>
    <w:r w:rsidRPr="00A90EC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B56" w:rsidRPr="00C63FDA" w:rsidRDefault="00A40B56" w:rsidP="00761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B56" w:rsidRPr="00A90ECC" w:rsidRDefault="00A40B56" w:rsidP="00147F4F">
    <w:pPr>
      <w:pStyle w:val="EPFooter"/>
    </w:pPr>
    <w:r w:rsidRPr="00A90ECC">
      <w:rPr>
        <w:rStyle w:val="HideTWBExt"/>
      </w:rPr>
      <w:t>&lt;PathFdR&gt;</w:t>
    </w:r>
    <w:r w:rsidRPr="00A90ECC">
      <w:t>RR\1300657LT.docx</w:t>
    </w:r>
    <w:r w:rsidRPr="00A90ECC">
      <w:rPr>
        <w:rStyle w:val="HideTWBExt"/>
      </w:rPr>
      <w:t>&lt;/PathFdR&gt;</w:t>
    </w:r>
    <w:r w:rsidRPr="00A90ECC">
      <w:tab/>
    </w:r>
    <w:r w:rsidRPr="00A90ECC">
      <w:tab/>
      <w:t>PE</w:t>
    </w:r>
    <w:r w:rsidRPr="00A90ECC">
      <w:rPr>
        <w:rStyle w:val="HideTWBExt"/>
      </w:rPr>
      <w:t>&lt;NoPE&gt;</w:t>
    </w:r>
    <w:r w:rsidRPr="00A90ECC">
      <w:t>759.759</w:t>
    </w:r>
    <w:r w:rsidRPr="00A90ECC">
      <w:rPr>
        <w:rStyle w:val="HideTWBExt"/>
      </w:rPr>
      <w:t>&lt;/NoPE&gt;&lt;Version&gt;</w:t>
    </w:r>
    <w:r w:rsidRPr="00A90ECC">
      <w:t>v02-00</w:t>
    </w:r>
    <w:r w:rsidRPr="00A90ECC">
      <w:rPr>
        <w:rStyle w:val="HideTWBExt"/>
      </w:rPr>
      <w:t>&lt;/Version&gt;</w:t>
    </w:r>
  </w:p>
  <w:p w:rsidR="00A40B56" w:rsidRPr="00A90ECC" w:rsidRDefault="00A40B56" w:rsidP="00147F4F">
    <w:pPr>
      <w:pStyle w:val="EPFooter2"/>
    </w:pPr>
    <w:r w:rsidRPr="00A90ECC">
      <w:t>LT</w:t>
    </w:r>
    <w:r w:rsidRPr="00A90ECC">
      <w:tab/>
    </w:r>
    <w:r w:rsidRPr="00A90ECC">
      <w:rPr>
        <w:b w:val="0"/>
        <w:i/>
        <w:color w:val="C0C0C0"/>
        <w:sz w:val="22"/>
      </w:rPr>
      <w:t>Suvienijusi įvairovę</w:t>
    </w:r>
    <w:r w:rsidRPr="00A90ECC">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0EC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0EC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0E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C2C" w:rsidRPr="00A90ECC" w:rsidRDefault="00865C2C">
      <w:r w:rsidRPr="00A90ECC">
        <w:separator/>
      </w:r>
    </w:p>
  </w:footnote>
  <w:footnote w:type="continuationSeparator" w:id="0">
    <w:p w:rsidR="00865C2C" w:rsidRPr="00A90ECC" w:rsidRDefault="00865C2C">
      <w:r w:rsidRPr="00A90ECC">
        <w:continuationSeparator/>
      </w:r>
    </w:p>
  </w:footnote>
  <w:footnote w:id="1">
    <w:p w:rsidR="00A40B56" w:rsidRPr="00A90ECC" w:rsidRDefault="00A40B56" w:rsidP="00A90ECC">
      <w:pPr>
        <w:pStyle w:val="FootnoteText"/>
        <w:ind w:left="567" w:hanging="567"/>
        <w:rPr>
          <w:sz w:val="24"/>
          <w:lang w:val="lt-LT"/>
        </w:rPr>
      </w:pPr>
      <w:r w:rsidRPr="00A90ECC">
        <w:rPr>
          <w:rStyle w:val="FootnoteReference"/>
          <w:sz w:val="24"/>
          <w:lang w:val="lt-LT"/>
        </w:rPr>
        <w:footnoteRef/>
      </w:r>
      <w:r w:rsidR="00A90ECC" w:rsidRPr="00A90ECC">
        <w:rPr>
          <w:sz w:val="24"/>
          <w:lang w:val="lt-LT"/>
        </w:rPr>
        <w:t xml:space="preserve"> </w:t>
      </w:r>
      <w:r w:rsidR="00A90ECC" w:rsidRPr="00A90ECC">
        <w:rPr>
          <w:sz w:val="24"/>
          <w:lang w:val="lt-LT"/>
        </w:rPr>
        <w:tab/>
      </w:r>
      <w:r w:rsidRPr="00A90ECC">
        <w:rPr>
          <w:sz w:val="24"/>
          <w:lang w:val="lt-LT"/>
        </w:rPr>
        <w:t>OL L 153, 2021 5 3, p. 48.</w:t>
      </w:r>
    </w:p>
  </w:footnote>
  <w:footnote w:id="2">
    <w:p w:rsidR="00A40B56" w:rsidRPr="00A90ECC" w:rsidRDefault="00A40B56" w:rsidP="00A90ECC">
      <w:pPr>
        <w:pStyle w:val="FootnoteText"/>
        <w:ind w:left="567" w:hanging="567"/>
        <w:rPr>
          <w:sz w:val="24"/>
          <w:lang w:val="lt-LT"/>
        </w:rPr>
      </w:pPr>
      <w:r w:rsidRPr="00A90ECC">
        <w:rPr>
          <w:rStyle w:val="FootnoteReference"/>
          <w:sz w:val="24"/>
          <w:lang w:val="lt-LT"/>
        </w:rPr>
        <w:footnoteRef/>
      </w:r>
      <w:r w:rsidR="00A90ECC" w:rsidRPr="00A90ECC">
        <w:rPr>
          <w:sz w:val="24"/>
          <w:lang w:val="lt-LT"/>
        </w:rPr>
        <w:t xml:space="preserve"> </w:t>
      </w:r>
      <w:r w:rsidR="00A90ECC" w:rsidRPr="00A90ECC">
        <w:rPr>
          <w:sz w:val="24"/>
          <w:lang w:val="lt-LT"/>
        </w:rPr>
        <w:tab/>
      </w:r>
      <w:r w:rsidRPr="00A90ECC">
        <w:rPr>
          <w:sz w:val="24"/>
          <w:lang w:val="lt-LT"/>
        </w:rPr>
        <w:t>OL L 433 I, 2020 12 22, p. 11.</w:t>
      </w:r>
    </w:p>
  </w:footnote>
  <w:footnote w:id="3">
    <w:p w:rsidR="00A40B56" w:rsidRPr="00C63FDA" w:rsidRDefault="00A40B56" w:rsidP="00A90ECC">
      <w:pPr>
        <w:pStyle w:val="FootnoteText"/>
        <w:ind w:left="567" w:hanging="567"/>
        <w:rPr>
          <w:sz w:val="24"/>
          <w:lang w:val="lt-LT"/>
        </w:rPr>
      </w:pPr>
      <w:r w:rsidRPr="00A90ECC">
        <w:rPr>
          <w:rStyle w:val="FootnoteReference"/>
          <w:sz w:val="24"/>
          <w:lang w:val="lt-LT"/>
        </w:rPr>
        <w:footnoteRef/>
      </w:r>
      <w:r w:rsidR="00A90ECC" w:rsidRPr="00A90ECC">
        <w:rPr>
          <w:color w:val="333333"/>
          <w:sz w:val="24"/>
          <w:shd w:val="clear" w:color="auto" w:fill="FFFFFF"/>
          <w:lang w:val="lt-LT"/>
        </w:rPr>
        <w:t xml:space="preserve"> </w:t>
      </w:r>
      <w:r w:rsidR="00A90ECC" w:rsidRPr="00A90ECC">
        <w:rPr>
          <w:color w:val="333333"/>
          <w:sz w:val="24"/>
          <w:shd w:val="clear" w:color="auto" w:fill="FFFFFF"/>
          <w:lang w:val="lt-LT"/>
        </w:rPr>
        <w:tab/>
      </w:r>
      <w:r w:rsidRPr="00C63FDA">
        <w:rPr>
          <w:sz w:val="24"/>
          <w:lang w:val="lt-LT"/>
        </w:rPr>
        <w:t>OL L</w:t>
      </w:r>
      <w:r w:rsidR="00C63FDA">
        <w:rPr>
          <w:sz w:val="24"/>
          <w:lang w:val="lt-LT"/>
        </w:rPr>
        <w:t>,</w:t>
      </w:r>
      <w:r w:rsidRPr="00C63FDA">
        <w:rPr>
          <w:sz w:val="24"/>
          <w:lang w:val="lt-LT"/>
        </w:rPr>
        <w:t xml:space="preserve"> 2024/765, 2024 2 29, </w:t>
      </w:r>
      <w:r w:rsidRPr="00761C29">
        <w:rPr>
          <w:rStyle w:val="Emphasis"/>
          <w:i w:val="0"/>
          <w:color w:val="333333"/>
          <w:sz w:val="24"/>
          <w:shd w:val="clear" w:color="auto" w:fill="FFFFFF"/>
          <w:lang w:val="lt-LT"/>
        </w:rPr>
        <w:t xml:space="preserve">ELI: </w:t>
      </w:r>
      <w:hyperlink r:id="rId1" w:history="1">
        <w:r w:rsidRPr="00761C29">
          <w:rPr>
            <w:rStyle w:val="Hyperlink"/>
            <w:sz w:val="24"/>
            <w:shd w:val="clear" w:color="auto" w:fill="FFFFFF"/>
            <w:lang w:val="lt-LT"/>
          </w:rPr>
          <w:t>http://data.europa.eu/eli/reg/2024/765/oj</w:t>
        </w:r>
      </w:hyperlink>
      <w:r w:rsidRPr="00761C29">
        <w:rPr>
          <w:rStyle w:val="Emphasis"/>
          <w:i w:val="0"/>
          <w:color w:val="333333"/>
          <w:sz w:val="24"/>
          <w:shd w:val="clear" w:color="auto" w:fill="FFFFFF"/>
          <w:lang w:val="lt-LT"/>
        </w:rPr>
        <w:t>.</w:t>
      </w:r>
    </w:p>
  </w:footnote>
  <w:footnote w:id="4">
    <w:p w:rsidR="00A40B56" w:rsidRPr="00A90ECC" w:rsidRDefault="00A40B56" w:rsidP="00A90ECC">
      <w:pPr>
        <w:pStyle w:val="FootnoteText"/>
        <w:ind w:left="567" w:hanging="567"/>
        <w:rPr>
          <w:sz w:val="24"/>
          <w:lang w:val="lt-LT"/>
        </w:rPr>
      </w:pPr>
      <w:r w:rsidRPr="00A90ECC">
        <w:rPr>
          <w:rStyle w:val="FootnoteReference"/>
          <w:sz w:val="24"/>
          <w:lang w:val="lt-LT"/>
        </w:rPr>
        <w:footnoteRef/>
      </w:r>
      <w:r w:rsidR="00A90ECC" w:rsidRPr="00A90ECC">
        <w:rPr>
          <w:sz w:val="24"/>
          <w:lang w:val="lt-LT"/>
        </w:rPr>
        <w:t xml:space="preserve"> </w:t>
      </w:r>
      <w:r w:rsidR="00A90ECC" w:rsidRPr="00A90ECC">
        <w:rPr>
          <w:sz w:val="24"/>
          <w:lang w:val="lt-LT"/>
        </w:rPr>
        <w:tab/>
      </w:r>
      <w:r w:rsidRPr="00A90ECC">
        <w:rPr>
          <w:sz w:val="24"/>
          <w:lang w:val="lt-LT"/>
        </w:rPr>
        <w:t>OL L 433 I, 2020 12 22, p. 28.</w:t>
      </w:r>
    </w:p>
  </w:footnote>
  <w:footnote w:id="5">
    <w:p w:rsidR="00A40B56" w:rsidRPr="00A90ECC" w:rsidRDefault="00A40B56" w:rsidP="00A90ECC">
      <w:pPr>
        <w:pStyle w:val="FootnoteText"/>
        <w:ind w:left="567" w:hanging="567"/>
        <w:rPr>
          <w:sz w:val="24"/>
          <w:lang w:val="lt-LT"/>
        </w:rPr>
      </w:pPr>
      <w:r w:rsidRPr="00A90ECC">
        <w:rPr>
          <w:rStyle w:val="FootnoteReference"/>
          <w:sz w:val="24"/>
          <w:lang w:val="lt-LT"/>
        </w:rPr>
        <w:footnoteRef/>
      </w:r>
      <w:r w:rsidR="00A90ECC" w:rsidRPr="00A90ECC">
        <w:rPr>
          <w:sz w:val="24"/>
          <w:lang w:val="lt-LT"/>
        </w:rPr>
        <w:t xml:space="preserve"> </w:t>
      </w:r>
      <w:r w:rsidR="00A90ECC" w:rsidRPr="00A90ECC">
        <w:rPr>
          <w:sz w:val="24"/>
          <w:lang w:val="lt-LT"/>
        </w:rPr>
        <w:tab/>
      </w:r>
      <w:r w:rsidRPr="00A90ECC">
        <w:rPr>
          <w:sz w:val="24"/>
          <w:lang w:val="lt-LT"/>
        </w:rPr>
        <w:t>Kaip tai suprantama EGF reglamento 3 straipsnyje.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0E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0E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0E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LT"/>
    <w:docVar w:name="dvnumam" w:val="0"/>
    <w:docVar w:name="dvpe" w:val="759.759"/>
    <w:docVar w:name="dvrapporteur" w:val="Pranešėjas: "/>
    <w:docVar w:name="dvtitre" w:val="Europos Parlamento rezoliucija dėl pasiūlymo dėl Europos Parlamento ir Tarybos sprendimo dėl Europos prisitaikymo prie globalizacijos padarinių fondo atleistiems darbuotojams lėšų mobilizavimo pagal Vokietijos paraišką „EGF/2023/003 DE/Vallourec“(COM(2024)0030 – C9-0041/2024 – 2024/0049(BUD))"/>
  </w:docVars>
  <w:rsids>
    <w:rsidRoot w:val="00865C2C"/>
    <w:rsid w:val="00002272"/>
    <w:rsid w:val="00064002"/>
    <w:rsid w:val="000677B9"/>
    <w:rsid w:val="000831BA"/>
    <w:rsid w:val="000A42CC"/>
    <w:rsid w:val="000E7DD9"/>
    <w:rsid w:val="0010095E"/>
    <w:rsid w:val="00125B37"/>
    <w:rsid w:val="00187494"/>
    <w:rsid w:val="001C67C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3C2"/>
    <w:rsid w:val="004C5D52"/>
    <w:rsid w:val="004F609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1C29"/>
    <w:rsid w:val="00762C74"/>
    <w:rsid w:val="00786EC0"/>
    <w:rsid w:val="007D1690"/>
    <w:rsid w:val="007E22AD"/>
    <w:rsid w:val="00817416"/>
    <w:rsid w:val="00842779"/>
    <w:rsid w:val="00865C2C"/>
    <w:rsid w:val="00865F67"/>
    <w:rsid w:val="00881A7B"/>
    <w:rsid w:val="008840E5"/>
    <w:rsid w:val="00887B3E"/>
    <w:rsid w:val="008C2AC6"/>
    <w:rsid w:val="00930C23"/>
    <w:rsid w:val="0093193B"/>
    <w:rsid w:val="009509D8"/>
    <w:rsid w:val="00950B64"/>
    <w:rsid w:val="00981893"/>
    <w:rsid w:val="00A1687D"/>
    <w:rsid w:val="00A40B56"/>
    <w:rsid w:val="00A43E52"/>
    <w:rsid w:val="00A4678D"/>
    <w:rsid w:val="00A778C7"/>
    <w:rsid w:val="00A90ECC"/>
    <w:rsid w:val="00AB441E"/>
    <w:rsid w:val="00AB6293"/>
    <w:rsid w:val="00AE0928"/>
    <w:rsid w:val="00AF3B82"/>
    <w:rsid w:val="00B12E95"/>
    <w:rsid w:val="00B22876"/>
    <w:rsid w:val="00B558F0"/>
    <w:rsid w:val="00B75C82"/>
    <w:rsid w:val="00BD48FE"/>
    <w:rsid w:val="00BD7BD8"/>
    <w:rsid w:val="00BE6ADC"/>
    <w:rsid w:val="00C05BFE"/>
    <w:rsid w:val="00C23CD4"/>
    <w:rsid w:val="00C61C0C"/>
    <w:rsid w:val="00C63FD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A59D0"/>
  <w15:chartTrackingRefBased/>
  <w15:docId w15:val="{E37B1FE8-7282-434A-8F88-40B603C34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0B5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40B56"/>
    <w:pPr>
      <w:keepNext/>
      <w:spacing w:after="480"/>
      <w:jc w:val="center"/>
    </w:pPr>
    <w:rPr>
      <w:rFonts w:ascii="Arial" w:hAnsi="Arial" w:cs="Arial"/>
      <w:b/>
    </w:rPr>
  </w:style>
  <w:style w:type="paragraph" w:customStyle="1" w:styleId="NormalHanging12a">
    <w:name w:val="NormalHanging12a"/>
    <w:basedOn w:val="Normal"/>
    <w:link w:val="NormalHanging12aChar"/>
    <w:rsid w:val="00A40B56"/>
    <w:pPr>
      <w:spacing w:after="240"/>
      <w:ind w:left="567" w:hanging="567"/>
    </w:pPr>
  </w:style>
  <w:style w:type="paragraph" w:styleId="Header">
    <w:name w:val="header"/>
    <w:basedOn w:val="Normal"/>
    <w:link w:val="HeaderChar"/>
    <w:rsid w:val="00A40B56"/>
    <w:pPr>
      <w:tabs>
        <w:tab w:val="center" w:pos="4513"/>
        <w:tab w:val="right" w:pos="9026"/>
      </w:tabs>
    </w:pPr>
  </w:style>
  <w:style w:type="character" w:customStyle="1" w:styleId="HeaderChar">
    <w:name w:val="Header Char"/>
    <w:basedOn w:val="DefaultParagraphFont"/>
    <w:link w:val="Header"/>
    <w:rsid w:val="00A40B56"/>
    <w:rPr>
      <w:sz w:val="24"/>
      <w:lang w:val="lt-LT"/>
    </w:rPr>
  </w:style>
  <w:style w:type="paragraph" w:customStyle="1" w:styleId="NormalBold24a">
    <w:name w:val="NormalBold24a"/>
    <w:basedOn w:val="Normal"/>
    <w:rsid w:val="00A40B56"/>
    <w:pPr>
      <w:spacing w:after="480"/>
    </w:pPr>
    <w:rPr>
      <w:b/>
      <w:bCs/>
    </w:rPr>
  </w:style>
  <w:style w:type="paragraph" w:customStyle="1" w:styleId="EPFooter">
    <w:name w:val="EPFooter"/>
    <w:basedOn w:val="Normal"/>
    <w:rsid w:val="00A40B56"/>
    <w:pPr>
      <w:tabs>
        <w:tab w:val="center" w:pos="4535"/>
        <w:tab w:val="right" w:pos="9071"/>
      </w:tabs>
      <w:spacing w:before="240" w:after="240"/>
    </w:pPr>
    <w:rPr>
      <w:color w:val="010000"/>
      <w:sz w:val="22"/>
    </w:rPr>
  </w:style>
  <w:style w:type="paragraph" w:customStyle="1" w:styleId="EPComma">
    <w:name w:val="EPComma"/>
    <w:basedOn w:val="Normal"/>
    <w:rsid w:val="00A40B56"/>
    <w:pPr>
      <w:spacing w:before="480" w:after="240"/>
    </w:pPr>
  </w:style>
  <w:style w:type="character" w:customStyle="1" w:styleId="NormalHanging12aChar">
    <w:name w:val="NormalHanging12a Char"/>
    <w:basedOn w:val="DefaultParagraphFont"/>
    <w:link w:val="NormalHanging12a"/>
    <w:locked/>
    <w:rsid w:val="00A40B56"/>
    <w:rPr>
      <w:sz w:val="24"/>
      <w:lang w:val="lt-LT"/>
    </w:rPr>
  </w:style>
  <w:style w:type="paragraph" w:customStyle="1" w:styleId="Institutionquisigne">
    <w:name w:val="Institution qui signe"/>
    <w:basedOn w:val="Normal"/>
    <w:next w:val="Normal"/>
    <w:rsid w:val="00A40B5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40B5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40B5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40B5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40B5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40B56"/>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A40B56"/>
    <w:rPr>
      <w:i/>
      <w:iCs/>
    </w:rPr>
  </w:style>
  <w:style w:type="paragraph" w:styleId="BalloonText">
    <w:name w:val="Balloon Text"/>
    <w:basedOn w:val="Normal"/>
    <w:link w:val="BalloonTextChar"/>
    <w:rsid w:val="00C63FDA"/>
    <w:rPr>
      <w:rFonts w:ascii="Segoe UI" w:hAnsi="Segoe UI" w:cs="Segoe UI"/>
      <w:sz w:val="18"/>
      <w:szCs w:val="18"/>
    </w:rPr>
  </w:style>
  <w:style w:type="character" w:customStyle="1" w:styleId="BalloonTextChar">
    <w:name w:val="Balloon Text Char"/>
    <w:basedOn w:val="DefaultParagraphFont"/>
    <w:link w:val="BalloonText"/>
    <w:rsid w:val="00C63FDA"/>
    <w:rPr>
      <w:rFonts w:ascii="Segoe UI" w:hAnsi="Segoe UI" w:cs="Segoe UI"/>
      <w:sz w:val="18"/>
      <w:szCs w:val="18"/>
      <w:lang w:val="lt-LT"/>
    </w:rPr>
  </w:style>
  <w:style w:type="paragraph" w:styleId="Footer">
    <w:name w:val="footer"/>
    <w:basedOn w:val="Normal"/>
    <w:link w:val="FooterChar"/>
    <w:rsid w:val="00C63FDA"/>
    <w:pPr>
      <w:tabs>
        <w:tab w:val="center" w:pos="4513"/>
        <w:tab w:val="right" w:pos="9026"/>
      </w:tabs>
    </w:pPr>
  </w:style>
  <w:style w:type="character" w:customStyle="1" w:styleId="FooterChar">
    <w:name w:val="Footer Char"/>
    <w:basedOn w:val="DefaultParagraphFont"/>
    <w:link w:val="Footer"/>
    <w:rsid w:val="00C63FDA"/>
    <w:rPr>
      <w:sz w:val="24"/>
      <w:lang w:val="lt-LT"/>
    </w:rPr>
  </w:style>
  <w:style w:type="character" w:styleId="Hyperlink">
    <w:name w:val="Hyperlink"/>
    <w:basedOn w:val="DefaultParagraphFont"/>
    <w:rsid w:val="00761C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BDF3A-796D-46CE-BCDA-0D740B863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1525</Words>
  <Characters>10342</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2024-09-03T10:44:00Z</dcterms:created>
  <dcterms:modified xsi:type="dcterms:W3CDTF">2024-09-03T10:44:00Z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P9_TA(2024)0333_</vt:lpwstr>
  </property>
  <property fmtid="{D5CDD505-2E9C-101B-9397-08002B2CF9AE}" pid="4" name="&lt;Type&gt;">
    <vt:lpwstr>RR</vt:lpwstr>
  </property>
</Properties>
</file>