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P9_TA(2024)0333</w:t>
      </w:r>
      <w:bookmarkEnd w:id="0"/>
    </w:p>
    <w:p>
      <w:pPr>
        <w:pStyle w:val="ATHeading2"/>
      </w:pPr>
      <w:bookmarkStart w:id="1" w:name="title"/>
      <w:r>
        <w:t>Mobilizácia Európskeho fondu na prispôsobenie sa globalizácii: žiadosť EGF/2023/003 DE/Vallourec – Nemecko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A9-0166/2024</w:instrText>
      </w:r>
      <w:bookmarkEnd w:id="2"/>
      <w:r>
        <w:rPr>
          <w:i/>
        </w:rPr>
        <w:instrText xml:space="preserve"> - Spravodajca: Jens Geier)"\l3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rozpočet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PE759.759</w:t>
      </w:r>
      <w:bookmarkEnd w:id="4"/>
    </w:p>
    <w:p>
      <w:pPr>
        <w:pStyle w:val="ATHeading3"/>
      </w:pPr>
      <w:bookmarkStart w:id="5" w:name="Sujet"/>
      <w:r>
        <w:t>Uznesenie Európskeho parlamentu z 24. apríla 2024 o návrhu rozhodnutia Európskeho parlamentu a Rady o mobilizácii Európskeho fondu na prispôsobenie sa globalizácii na pomoc pracovníkom, ktorí prišli o zamestnanie, na základe žiadosti Nemecka – EGF/2023/003 DE/Vallourec</w:t>
      </w:r>
      <w:bookmarkEnd w:id="5"/>
      <w:r>
        <w:t xml:space="preserve"> </w:t>
      </w:r>
      <w:bookmarkStart w:id="6" w:name="References"/>
      <w:r>
        <w:t>(COM(2024)0030 – C9-0041/2024 – 2024/0049(BUD))</w:t>
      </w:r>
      <w:bookmarkEnd w:id="6"/>
    </w:p>
    <w:p>
      <w:pPr>
        <w:pStyle w:val="EPComma"/>
        <w:rPr>
          <w:noProof/>
        </w:rPr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>
      <w:pPr>
        <w:pStyle w:val="NormalHanging12a"/>
        <w:rPr>
          <w:noProof/>
        </w:rPr>
      </w:pPr>
      <w:r>
        <w:t>–</w:t>
      </w:r>
      <w:r>
        <w:tab/>
        <w:t>so zreteľom na návrh Komisie pre Európsky parlament a Radu (COM(2024)0030 – C9</w:t>
      </w:r>
      <w:r>
        <w:noBreakHyphen/>
        <w:t>0041/2024),</w:t>
      </w:r>
    </w:p>
    <w:p>
      <w:pPr>
        <w:pStyle w:val="NormalHanging12a"/>
      </w:pPr>
      <w:r>
        <w:t>–</w:t>
      </w:r>
      <w:r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>
        <w:rPr>
          <w:rStyle w:val="FootnoteReference"/>
          <w:noProof/>
        </w:rPr>
        <w:footnoteReference w:id="1"/>
      </w:r>
      <w:r>
        <w:t xml:space="preserve"> (ďalej len „nariadenie o EGF“),</w:t>
      </w:r>
    </w:p>
    <w:p>
      <w:pPr>
        <w:pStyle w:val="NormalHanging12a"/>
        <w:rPr>
          <w:noProof/>
        </w:rPr>
      </w:pPr>
      <w:r>
        <w:t>–</w:t>
      </w:r>
      <w:r>
        <w:tab/>
        <w:t>so zreteľom na nariadenie Rady (EÚ, Euratom) 2020/2093 zo 17. decembra 2020, ktorým sa stanovuje viacročný finančný rámec na roky 2021 až 2027</w:t>
      </w:r>
      <w:r>
        <w:rPr>
          <w:rStyle w:val="FootnoteReference"/>
          <w:noProof/>
        </w:rPr>
        <w:footnoteReference w:id="2"/>
      </w:r>
      <w:r>
        <w:rPr>
          <w:bdr w:val="none" w:sz="0" w:space="0" w:color="auto" w:frame="1"/>
        </w:rPr>
        <w:t xml:space="preserve">, zmenené nariadením Rady (EÚ, Euratom) 2024/765 </w:t>
      </w:r>
      <w:r>
        <w:rPr>
          <w:color w:val="333333"/>
          <w:shd w:val="clear" w:color="auto" w:fill="FFFFFF"/>
        </w:rPr>
        <w:t>z 29. februára 2024, ktorým sa mení nariadenie (EÚ, Euratom) 2020/2093, ktorým sa stanovuje viacročný finančný rámec na roky 2021 až 2027</w:t>
      </w:r>
      <w:r>
        <w:rPr>
          <w:rStyle w:val="FootnoteReference"/>
          <w:bdr w:val="none" w:sz="0" w:space="0" w:color="auto" w:frame="1"/>
        </w:rPr>
        <w:footnoteReference w:id="3"/>
      </w:r>
      <w:r>
        <w:t>, a najmä na jeho článok 8,</w:t>
      </w:r>
    </w:p>
    <w:p>
      <w:pPr>
        <w:pStyle w:val="NormalHanging12a"/>
        <w:rPr>
          <w:noProof/>
        </w:rPr>
      </w:pPr>
      <w:r>
        <w:t>–</w:t>
      </w:r>
      <w:r>
        <w:tab/>
        <w:t>so zreteľom na Medziinštitucionálnu dohodu zo 16. decembra 2020 medzi Európskym parlamentom, Radou Európskej únie a Európskou komisiou o rozpočtovej disciplíne, spolupráci v rozpočtových záležitostiach a správnom finančnom riadení, ako aj o nových vlastných zdrojoch vrátane plánu na zavedenie nových vlastných zdrojov</w:t>
      </w:r>
      <w:r>
        <w:rPr>
          <w:rStyle w:val="FootnoteReference"/>
          <w:noProof/>
        </w:rPr>
        <w:footnoteReference w:id="4"/>
      </w:r>
      <w:r>
        <w:t>, a najmä na jej bod 9,</w:t>
      </w:r>
    </w:p>
    <w:p>
      <w:pPr>
        <w:pStyle w:val="NormalHanging12a"/>
        <w:jc w:val="both"/>
      </w:pPr>
      <w:r>
        <w:lastRenderedPageBreak/>
        <w:t>–</w:t>
      </w:r>
      <w:r>
        <w:tab/>
        <w:t>so zreteľom na stanovisko Výboru pre zamestnanosť a sociálne veci,</w:t>
      </w:r>
    </w:p>
    <w:p>
      <w:pPr>
        <w:pStyle w:val="NormalHanging12a"/>
        <w:jc w:val="both"/>
      </w:pPr>
      <w:r>
        <w:t>–</w:t>
      </w:r>
      <w:r>
        <w:tab/>
        <w:t>so zreteľom na správu Výboru pre rozpočet (A9</w:t>
      </w:r>
      <w:r>
        <w:noBreakHyphen/>
        <w:t>0166/2024),</w:t>
      </w:r>
    </w:p>
    <w:p>
      <w:pPr>
        <w:pStyle w:val="NormalHanging12a"/>
      </w:pPr>
      <w:r>
        <w:t>A.</w:t>
      </w:r>
      <w:r>
        <w:tab/>
        <w:t>keďže Únia vytvorila legislatívne a rozpočtové nástroje s cieľom poskytovať dodatočnú podporu pracovníkom, ktorých zasiahli dôsledky veľkých štrukturálnych zmien v usporiadaní svetového obchodu či dôsledky globálnej finančnej a hospodárskej krízy, a pomôcť im pri opätovnom začleňovaní do trhu práce; keďže táto pomoc sa poskytuje prostredníctvom finančnej podpory udelenej pracovníkom a spoločnostiam, pre ktoré pracovali;</w:t>
      </w:r>
    </w:p>
    <w:p>
      <w:pPr>
        <w:pStyle w:val="NormalHanging12a"/>
      </w:pPr>
      <w:r>
        <w:t>B.</w:t>
      </w:r>
      <w:r>
        <w:tab/>
        <w:t>keďže Nemecko predložilo žiadosť EGF/2023/003 DE/Vallourec o finančný príspevok z Európskeho fondu na prispôsobenie sa globalizácii (ďalej len „EGF“) v dôsledku prepustenia 1 518 pracovníkov</w:t>
      </w:r>
      <w:r>
        <w:rPr>
          <w:rStyle w:val="FootnoteReference"/>
        </w:rPr>
        <w:footnoteReference w:id="5"/>
      </w:r>
      <w:r>
        <w:t xml:space="preserve"> v hospodárskom odvetví zaradenom podľa klasifikácie NACE Revision 2 do divízie 24 (výroba a spracovanie kovov) v susedných mestách Düsseldorf a Mülheim an der Ruhr v rámci referenčného obdobia týkajúceho sa žiadosti, t. j. od 26. apríla 2023 do 26. augusta 2023;</w:t>
      </w:r>
    </w:p>
    <w:p>
      <w:pPr>
        <w:pStyle w:val="NormalHanging12a"/>
      </w:pPr>
      <w:r>
        <w:t>C.</w:t>
      </w:r>
      <w:r>
        <w:tab/>
        <w:t xml:space="preserve">keďže žiadosť sa týka 1 518 pracovníkov, ktorí prišli o prácu v spoločnosti Vallourec Deutschland GmbH (ďalej len „VAD“); </w:t>
      </w:r>
    </w:p>
    <w:p>
      <w:pPr>
        <w:pStyle w:val="NormalHanging12a"/>
      </w:pPr>
      <w:r>
        <w:t>D.</w:t>
      </w:r>
      <w:r>
        <w:tab/>
        <w:t>keďže žiadosť bola predložená na základe kritérií zásahu uvedených v článku 4 ods. 2 písm. a) nariadenia o EGF, v ktorom je na poskytnutie príspevku z EGF stanovená podmienka, aby počas referenčného obdobia štyroch mesiacov bolo prepustených najmenej 200 pracovníkov v podniku v členskom štáte vrátane pracovníkov, ktorí boli prepustení u jeho dodávateľov a u nadväzujúcich výrobcov, a/alebo samostatne zárobkovo činných osôb, ktorých činnosť sa skončila;</w:t>
      </w:r>
    </w:p>
    <w:p>
      <w:pPr>
        <w:pStyle w:val="NormalHanging12a"/>
      </w:pPr>
      <w:r>
        <w:t>E.</w:t>
      </w:r>
      <w:r>
        <w:tab/>
        <w:t>keďže pandémia ochorenia COVID-19 a ruská útočná vojna proti Ukrajine znížili hospodársku konkurencieschopnosť a majú negatívny vplyv na hospodársky rast v Nemecku;</w:t>
      </w:r>
    </w:p>
    <w:p>
      <w:pPr>
        <w:pStyle w:val="NormalHanging12a"/>
      </w:pPr>
      <w:r>
        <w:t>F.</w:t>
      </w:r>
      <w:r>
        <w:tab/>
        <w:t>keďže VAD, nemecká dcérska spoločnosť spoločnosti Vallourec S.A, Francúzsko, vyrábala bezšvové oceľové rúry valcované za tepla v dvoch oceliarňach v Nemecku; keďže po rokoch finančných strát sa v roku 2018 prijali viaceré reštrukturalizačné a racionalizačné opatrenia a začal sa osobitný plán obnovy, čo viedlo k ústupkom na strane pracovníkov, pokiaľ ide o ich pracovné podmienky; keďže napriek určitému úspechu viedla ekonomická situácia po pandémii ochorenia COVID-19 k ďalším ťažkostiam v nemeckých valcovniach a od roku 2015 zaniklo v dôsledku reštrukturalizácie už viac ako 1400 pracovných miest; keďže spoločnosť Vallourec S.A. sa v roku 2021 rozhodla predať svoje nemecké valcovne a presunúť výrobu do Brazílie; keďže tento predaj zlyhal, čo viedlo k definitívnemu zatvoreniu závodov a k tomu, že do 1. januára 2025 budú prepustení i zostávajúci pracovníci;</w:t>
      </w:r>
    </w:p>
    <w:p>
      <w:pPr>
        <w:pStyle w:val="NormalHanging12a"/>
      </w:pPr>
      <w:r>
        <w:t>G.</w:t>
      </w:r>
      <w:r>
        <w:tab/>
        <w:t xml:space="preserve">keďže spoločnosť VAD súhlasila so založením prechodnej spoločnosti pre každú vlnu prepúšťania pracovníkov a zároveň ponúkla plán predčasného odchodu do dôchodku zamestnancom narodeným v roku 1966 alebo skôr, ako aj plány dobrovoľného ukončenia pracovného pomeru ľuďom, ktorí pravdepodobne nebudú potrebovať dlhšiu pomoc pri hľadaní nového zamestnania; </w:t>
      </w:r>
    </w:p>
    <w:p>
      <w:pPr>
        <w:pStyle w:val="NormalHanging12a"/>
      </w:pPr>
      <w:r>
        <w:lastRenderedPageBreak/>
        <w:t>H.</w:t>
      </w:r>
      <w:r>
        <w:tab/>
        <w:t>keďže finančné príspevky z EGF by mali byť zamerané predovšetkým na aktívne opatrenia politiky trhu práce a personalizované služby zamerané na rýchle opätovné začlenenie prijímateľov do dôstojného a udržateľného zamestnania v rámci ich pôvodného odvetvia činnosti alebo mimo neho a zároveň na ich prípravu na klimaticky neutrálnejšie a digitálnejšie európske hospodárstvo;</w:t>
      </w:r>
    </w:p>
    <w:p>
      <w:pPr>
        <w:pStyle w:val="NormalHanging12a"/>
      </w:pPr>
      <w:r>
        <w:t>I.</w:t>
      </w:r>
      <w:r>
        <w:tab/>
        <w:t xml:space="preserve">keďže revíziou VFR sa znižuje maximálna ročná suma EGF zo 186 miliónov EUR na 30 miliónov EUR (v cenách roku 2018), ako sa stanovuje v článku 8 nariadenia Rady (EÚ, Euratom) 2020/2093 </w:t>
      </w:r>
      <w:r>
        <w:rPr>
          <w:bdr w:val="none" w:sz="0" w:space="0" w:color="auto" w:frame="1"/>
        </w:rPr>
        <w:t>zmeneného nariadením (EÚ, Euratom) 2024/765</w:t>
      </w:r>
      <w:r>
        <w:t xml:space="preserve">; keďže Komisia by mala monitorovať vykonávanie EGF a všetky inštitúcie by mali prijať nevyhnutné opatrenia, ktorými sa zabezpečí, že všetkým odôvodneným žiadostiam o podporu z EGF sa bude môcť ako prejav solidarity EÚ vyhovieť; </w:t>
      </w:r>
    </w:p>
    <w:p>
      <w:pPr>
        <w:pStyle w:val="NormalHanging12a"/>
      </w:pPr>
      <w:r>
        <w:t>1.</w:t>
      </w:r>
      <w:r>
        <w:tab/>
        <w:t>súhlasí s Komisiou, že podmienky stanovené v článku 4 ods. 2 písm. a) nariadenia o EGF sú splnené a že Nemecko má podľa uvedeného nariadenia nárok na finančný príspevok 2 984 627 EUR, čo predstavuje 60 % celkových nákladov vo výške 4 974 379 EUR vrátane výdavkov na personalizované služby vo výške 4 783 057 EUR a výdavkov na činnosti súvisiace s prípravou, riadením, informovaním a propagáciou, kontrolou a podávaním správ vo výške 191 322 EUR;</w:t>
      </w:r>
    </w:p>
    <w:p>
      <w:pPr>
        <w:pStyle w:val="NormalHanging12a"/>
      </w:pPr>
      <w:r>
        <w:t>2.</w:t>
      </w:r>
      <w:r>
        <w:tab/>
        <w:t xml:space="preserve">konštatuje, že nemecké orgány podali žiadosť 15. novembra 2023 a že na základe dodatočných informácií, ktoré Nemecko poskytlo, Komisia 29. februára 2024 dokončila svoje hodnotenie a v ten istý deň o tom informovala Európsky parlament; </w:t>
      </w:r>
    </w:p>
    <w:p>
      <w:pPr>
        <w:pStyle w:val="NormalHanging12a"/>
      </w:pPr>
      <w:r>
        <w:t>3.</w:t>
      </w:r>
      <w:r>
        <w:tab/>
        <w:t>konštatuje, že žiadosť sa týka 1 518 pracovníkov, ktorí prišli o prácu v spoločnosti Vallourec Deutschland GmbH (VAD); ďalej konštatuje, že cieľovými prijímateľmi bude celkovo 835 pracovníkov;</w:t>
      </w:r>
    </w:p>
    <w:p>
      <w:pPr>
        <w:pStyle w:val="NormalHanging12a"/>
      </w:pPr>
      <w:r>
        <w:t>4.</w:t>
      </w:r>
      <w:r>
        <w:tab/>
        <w:t>zdôrazňuje, že sa očakáva, že toto prepúšťanie bude mať výrazný nepriaznivý vplyv na miestne hospodárstvo, ktoré v posledných desaťročiach prešlo významnými štrukturálnymi zmenami s výrazným znížením počtu pracovných miest vo výrobe, a to najmä v odvetví výroby kovov; poukazuje na to, že prepúšťanie spôsobí zvýšenie miery nezamestnanosti v Mülheime o 11,6 % a v Düsseldorfe o 5,6 %;</w:t>
      </w:r>
    </w:p>
    <w:p>
      <w:pPr>
        <w:pStyle w:val="NormalHanging12a"/>
      </w:pPr>
      <w:r>
        <w:t>5.</w:t>
      </w:r>
      <w:r>
        <w:tab/>
        <w:t>upozorňuje, že profily pracovníkov, ktorí prišli o zamestnanie, nezodpovedajú zručnostiam požadovaným na trhu práce; ďalej zdôrazňuje, že väčšina dotknutých pracovníkov má už za sebou dlhú pracovnú kariéru a mnoho rokov pracovala pre spoločnosť VAD, pričom v dôsledku úrovne svojej formálnej kvalifikácie nie sú na súčasnom trhu práce konkurencieschopní, keďže 20,1 % z nich má viac ako 54 rokov; zdôrazňuje, že zvyšovanie úrovne zručností a rekvalifikácia pracovníkov v súlade s požiadavkami trhu práce súvisiacimi s kvalifikovanými pracovnými miestami bude preto výzvou, najmä vzhľadom na veľký počet ľudí prepustených v rovnakom čase; ďalej zdôrazňuje, že pri zvyšovaní úrovne zručností a rekvalifikácii prepustených pracovníkov treba zohľadniť strednodobé až dlhodobé kvalifikačné potreby priemyselnej transformácie vzhľadom na klimaticky neutrálnu budúcnosť;</w:t>
      </w:r>
    </w:p>
    <w:p>
      <w:pPr>
        <w:pStyle w:val="NormalHanging12a"/>
      </w:pPr>
      <w:r>
        <w:t>6.</w:t>
      </w:r>
      <w:r>
        <w:tab/>
        <w:t xml:space="preserve">považuje za sociálnu zodpovednosť Únie poskytnúť týmto prepusteným pracovníkom kvalifikáciu nevyhnutnú na ekologickú a spravodlivú transformáciu priemyslu Únie v súlade s Európskou zelenou dohodou, keďže pracovali v odvetví s vysokou uhlíkovou náročnosťou; zdôrazňuje význam výskumu a inovácií s cieľom pripraviť Európu na priemyselnú výrobu zodpovedajúcu potrebám budúcnosti, aby sa zabránilo tomu, že EÚ pôjde cestou dekarbonizácie prostredníctvom deindustrializácie; preto víta </w:t>
      </w:r>
      <w:r>
        <w:lastRenderedPageBreak/>
        <w:t>personalizované služby, ktoré EGF poskytuje pracovníkom a ktoré zahŕňajú opatrenia na zvyšovanie úrovne zručností, semináre, pomoc pri voľbe povolania, pracovné poradenstvo, ako aj príspevky na odbornú prípravu, aby sa tento región a celkový trh práce v budúcnosti stali udržateľnejšími a odolnejšími;</w:t>
      </w:r>
    </w:p>
    <w:p>
      <w:pPr>
        <w:pStyle w:val="NormalHanging12a"/>
      </w:pPr>
      <w:r>
        <w:t>7.</w:t>
      </w:r>
      <w:r>
        <w:tab/>
        <w:t>víta skutočnosť, že Nemecko vypracovalo koordinovaný balík personalizovaných služieb po porade s dotknutými prijímateľmi, ich zástupcami a so sociálnymi partnermi; víta najmä skutočnosť, že bezprostredne po rozhodnutí o zatvorení valcovní začalo vedenie podniku a zástupcovia zamestnancov rokovania o sociálnom pláne, a najmä o vytvorení prechodnej spoločnosti; uznáva, že spoločnosť VAD vynaložila značné úsilie o minimalizáciu sociálneho vplyvu zatvárania závodov;</w:t>
      </w:r>
    </w:p>
    <w:p>
      <w:pPr>
        <w:pStyle w:val="NormalHanging12a"/>
      </w:pPr>
      <w:r>
        <w:t>8.</w:t>
      </w:r>
      <w:r>
        <w:tab/>
        <w:t>pripomína, že personalizované služby, ktoré sa majú poskytnúť pracovníkom a samostatne zárobkovo činným osobám, pozostávajú z týchto opatrení: odborná príprava a rekvalifikácia prispôsobená na mieru potrebám účastníkov, profesijné poradenstvo, individuálna pomoc pri hľadaní zamestnania a cielené skupinové aktivity, podpora pri zakladaní podniku a príspevok k nemu, ako aj stimuly a príspevky;</w:t>
      </w:r>
    </w:p>
    <w:p>
      <w:pPr>
        <w:pStyle w:val="NormalHanging12a"/>
        <w:rPr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veľmi oceňuje navrhnuté opatrenie týkajúce sa základných digitálnych zručností (Digitale Grundqualifizierung), ktoré zabezpečuje šírenie zručností potrebných v digitálnom priemyselnom veku, ako sa vyžaduje v článku 7 ods. 2 nariadenia o EGF; poznamenáva, že toto opatrenie sa zameriava najmä na tých účastníkov, ktorí nemajú žiadne alebo majú len veľmi slabé digitálne zručnosti; víta skutočnosť, že účastníkom budú poskytnuté prenosné počítače, aby mohli absolvovať kurz a prax doma, ako aj to, že osobitná pozornosť sa bude venovať aplikovaným zručnostiam, ktoré účastníkom pomôžu používať internetové nástroje na hľadanie zamestnania;</w:t>
      </w:r>
    </w:p>
    <w:p>
      <w:pPr>
        <w:pStyle w:val="NormalHanging12a"/>
      </w:pPr>
      <w:r>
        <w:t>10.</w:t>
      </w:r>
      <w:r>
        <w:tab/>
        <w:t>poznamenáva, že Nemecko začalo poskytovať personalizované služby dotknutým prijímateľom 1. decembra 2023 a že obdobie oprávnenosti na finančný príspevok z EGF preto trvá od 1. decembra 2023 až do uplynutia 24 mesiacov od dátumu nadobudnutia účinnosti rozhodnutia o financovaní;</w:t>
      </w:r>
    </w:p>
    <w:p>
      <w:pPr>
        <w:pStyle w:val="NormalHanging12a"/>
        <w:rPr>
          <w:sz w:val="23"/>
          <w:szCs w:val="23"/>
        </w:rPr>
      </w:pPr>
      <w:r>
        <w:t>11.</w:t>
      </w:r>
      <w:r>
        <w:tab/>
        <w:t>poznamenáva, že Nemecku začali vznikať administratívne výdavky na využívanie EGF 1. januára 2023 a že výdavky na činnosti súvisiace s prípravou, riadením, informovanosťou a propagáciou, kontrolou a podávaním správ sú preto oprávnené na finančný príspevok z EGF od 1. januára 2023 do uplynutia 31 mesiacov od dátumu nadobudnutia účinnosti rozhodnutia o financovaní;</w:t>
      </w:r>
    </w:p>
    <w:p>
      <w:pPr>
        <w:pStyle w:val="NormalHanging12a"/>
      </w:pPr>
      <w:r>
        <w:t>12.</w:t>
      </w:r>
      <w:r>
        <w:tab/>
        <w:t>zdôrazňuje, že nemecké orgány potvrdili, že na oprávnené opatrenia sa neposkytuje pomoc z iných fondov ani finančných nástrojov Únie a že pri prístupe k navrhovaným opatreniam a pri ich vykonávaní sa bude dodržiavať zásada rovnakého zaobchádzania a nediskriminácie;</w:t>
      </w:r>
    </w:p>
    <w:p>
      <w:pPr>
        <w:pStyle w:val="NormalHanging12a"/>
      </w:pPr>
      <w:r>
        <w:t>13.</w:t>
      </w:r>
      <w:r>
        <w:tab/>
        <w:t>opakuje, že pomoc z EGF nesmie nahrádzať opatrenia, za ktoré na základe vnútroštátnych právnych predpisov alebo kolektívnych dohôd zodpovedajú podniky, ani žiadne príspevky alebo nároky pracovníkov, ktorí prišli o zamestnanie, aby sa v plnej miere zaistil doplnkový charakter pridelenej pomoci;</w:t>
      </w:r>
    </w:p>
    <w:p>
      <w:pPr>
        <w:pStyle w:val="NormalHanging12a"/>
      </w:pPr>
      <w:r>
        <w:t>14.</w:t>
      </w:r>
      <w:r>
        <w:tab/>
        <w:t>schvaľuje rozhodnutie, ktoré je uvedené v prílohe k tomuto uzneseniu;</w:t>
      </w:r>
    </w:p>
    <w:p>
      <w:pPr>
        <w:pStyle w:val="NormalHanging12a"/>
      </w:pPr>
      <w:r>
        <w:t>15.</w:t>
      </w:r>
      <w:r>
        <w:tab/>
        <w:t xml:space="preserve">poveruje svoju predsedníčku, aby podpísala toto rozhodnutie spoločne s predsedom Rady a aby zabezpečila jeho uverejnenie v </w:t>
      </w:r>
      <w:r>
        <w:rPr>
          <w:i/>
        </w:rPr>
        <w:t>Úradnom vestníku Európskej únie</w:t>
      </w:r>
      <w:r>
        <w:t>;</w:t>
      </w:r>
    </w:p>
    <w:p>
      <w:pPr>
        <w:pStyle w:val="NormalHanging12a"/>
        <w:sectPr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  <w:r>
        <w:lastRenderedPageBreak/>
        <w:t>16.</w:t>
      </w:r>
      <w:r>
        <w:tab/>
        <w:t>poveruje svoju predsedníčku, aby postúpila toto uznesenie spolu s prílohou Rade a Komisii.</w:t>
      </w:r>
    </w:p>
    <w:p>
      <w:pPr>
        <w:pStyle w:val="PageHeading"/>
        <w:jc w:val="right"/>
        <w:rPr>
          <w:rFonts w:ascii="Times New Roman" w:hAnsi="Times New Roman" w:cs="Times New Roman"/>
        </w:rPr>
      </w:pPr>
      <w:bookmarkStart w:id="8" w:name="_Toc163568867"/>
      <w:bookmarkStart w:id="9" w:name="_Toc164246638"/>
      <w:r>
        <w:rPr>
          <w:rFonts w:ascii="Times New Roman" w:hAnsi="Times New Roman" w:cs="Times New Roman"/>
        </w:rPr>
        <w:lastRenderedPageBreak/>
        <w:t>PRÍLOHA</w:t>
      </w:r>
    </w:p>
    <w:p>
      <w:pPr>
        <w:keepNext/>
        <w:spacing w:after="480"/>
        <w:jc w:val="center"/>
        <w:rPr>
          <w:b/>
        </w:rPr>
      </w:pPr>
      <w:r>
        <w:rPr>
          <w:b/>
        </w:rPr>
        <w:t>ROZHODNUTIE EURÓPSKEHO PARLAMENTU A RADY</w:t>
      </w:r>
      <w:bookmarkEnd w:id="8"/>
      <w:bookmarkEnd w:id="9"/>
    </w:p>
    <w:p>
      <w:pPr>
        <w:keepNext/>
        <w:spacing w:after="480"/>
        <w:jc w:val="center"/>
        <w:rPr>
          <w:b/>
        </w:rPr>
      </w:pPr>
      <w:r>
        <w:rPr>
          <w:b/>
        </w:rPr>
        <w:t>o mobilizácii Európskeho fondu na prispôsobenie sa globalizácii na pomoc pracovníkom, ktorí prišli o zamestnanie, na základe žiadosti Nemecka –EGF/2023/003 DE/Vallourec</w:t>
      </w:r>
      <w:bookmarkStart w:id="10" w:name="_GoBack"/>
      <w:bookmarkEnd w:id="10"/>
    </w:p>
    <w:p>
      <w:pPr>
        <w:rPr>
          <w:i/>
          <w:iCs/>
        </w:rPr>
      </w:pPr>
      <w:r>
        <w:rPr>
          <w:bCs/>
          <w:i/>
          <w:iCs/>
        </w:rPr>
        <w:t xml:space="preserve">(Znenie tejto prílohy sa neuvádza, pretože zodpovedá konečnému aktu, rozhodnutiu (EÚ) </w:t>
      </w:r>
      <w:r>
        <w:rPr>
          <w:bCs/>
          <w:i/>
          <w:iCs/>
        </w:rPr>
        <w:t>2024/1298</w:t>
      </w:r>
      <w:r>
        <w:rPr>
          <w:bCs/>
          <w:i/>
          <w:iCs/>
        </w:rPr>
        <w:t>.)</w:t>
      </w:r>
    </w:p>
    <w:sectPr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t>PE</w:t>
    </w:r>
    <w:r>
      <w:rPr>
        <w:rStyle w:val="HideTWBExt"/>
      </w:rPr>
      <w:t>&lt;NoPE&gt;</w:t>
    </w:r>
    <w:r>
      <w:t>759.759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fldSimple w:instr=" NUMPAGES  \* MERGEFORMAT ">
      <w:r>
        <w:rPr>
          <w:noProof/>
        </w:rPr>
        <w:t>4</w:t>
      </w:r>
    </w:fldSimple>
    <w:r>
      <w:tab/>
    </w:r>
    <w:r>
      <w:rPr>
        <w:rStyle w:val="HideTWBExt"/>
      </w:rPr>
      <w:t>&lt;PathFdR&gt;</w:t>
    </w:r>
    <w:r>
      <w:t>RR\1300657SK.docx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rPr>
        <w:rStyle w:val="HideTWBExt"/>
      </w:rPr>
      <w:t>&lt;PathFdR&gt;</w:t>
    </w:r>
    <w:r>
      <w:t>RR\1300657SK.docx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759.759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 153, 3.5.2021, s. 48.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 433 I, 22.12.2020, s. 11.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color w:val="333333"/>
          <w:sz w:val="24"/>
          <w:shd w:val="clear" w:color="auto" w:fill="FFFFFF"/>
          <w:lang w:val="sk-SK"/>
        </w:rPr>
        <w:t xml:space="preserve"> </w:t>
      </w:r>
      <w:r>
        <w:rPr>
          <w:color w:val="333333"/>
          <w:sz w:val="24"/>
          <w:shd w:val="clear" w:color="auto" w:fill="FFFFFF"/>
          <w:lang w:val="sk-SK"/>
        </w:rPr>
        <w:tab/>
      </w:r>
      <w:r>
        <w:rPr>
          <w:sz w:val="24"/>
          <w:lang w:val="sk-SK"/>
        </w:rPr>
        <w:t xml:space="preserve"> Ú. v. EÚ L, 2024/765, 29.2.2024, </w:t>
      </w:r>
      <w:r>
        <w:rPr>
          <w:rStyle w:val="Emphasis"/>
          <w:color w:val="333333"/>
          <w:sz w:val="24"/>
          <w:shd w:val="clear" w:color="auto" w:fill="FFFFFF"/>
          <w:lang w:val="sk-SK"/>
        </w:rPr>
        <w:t>ELI: https://eur-lex.europa.eu/eli/reg/2024/765/oj?locale=sk.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433 I, 22.12.2020, s. 28.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V zmysle článku 3 nariadenia o EGF.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6/2024"/>
    <w:docVar w:name="dvlangue" w:val="SK"/>
    <w:docVar w:name="dvnumam" w:val="0"/>
    <w:docVar w:name="dvpe" w:val="759.759"/>
    <w:docVar w:name="dvrapporteur" w:val="Spravodajca: "/>
    <w:docVar w:name="dvtitre" w:val="Uznesenie Európskeho parlamentu z xx. apríla 2024 o návrhu rozhodnutia Európskeho parlamentu a Rady o mobilizácii Európskeho fondu na prispôsobenie sa globalizácii na pomoc pracovníkom, ktorí prišli o zamestnanie, na základe žiadosti Nemecka – EGF/2023/003 DE/Vallourec(COM(2024)0030 – C9-0041/2024 – 2024/0049(BU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C63443-5A52-4889-ADA4-7EACA7E5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NormalBold24a">
    <w:name w:val="NormalBold24a"/>
    <w:basedOn w:val="Normal"/>
    <w:pPr>
      <w:spacing w:after="480"/>
    </w:pPr>
    <w:rPr>
      <w:b/>
      <w:bCs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PageHeadingChar">
    <w:name w:val="PageHeading Char"/>
    <w:basedOn w:val="DefaultParagraphFont"/>
    <w:link w:val="PageHeading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6081B-7251-43A6-B62A-336A63B0B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1658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4</cp:revision>
  <cp:lastPrinted>2004-11-19T15:42:00Z</cp:lastPrinted>
  <dcterms:created xsi:type="dcterms:W3CDTF">2024-04-24T11:07:00Z</dcterms:created>
  <dcterms:modified xsi:type="dcterms:W3CDTF">2024-09-09T12:19:00Z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A9-0166/2024</vt:lpwstr>
  </property>
  <property fmtid="{D5CDD505-2E9C-101B-9397-08002B2CF9AE}" pid="4" name="&lt;Type&gt;">
    <vt:lpwstr>RR</vt:lpwstr>
  </property>
</Properties>
</file>