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9202E" w:rsidTr="0010095E">
        <w:trPr>
          <w:trHeight w:hRule="exact" w:val="1418"/>
        </w:trPr>
        <w:tc>
          <w:tcPr>
            <w:tcW w:w="6804" w:type="dxa"/>
            <w:shd w:val="clear" w:color="auto" w:fill="auto"/>
            <w:vAlign w:val="center"/>
          </w:tcPr>
          <w:p w:rsidR="00751A4A" w:rsidRPr="0019202E" w:rsidRDefault="00CE511D" w:rsidP="0010095E">
            <w:pPr>
              <w:pStyle w:val="EPName"/>
            </w:pPr>
            <w:r w:rsidRPr="0019202E">
              <w:t>Evropski parlament</w:t>
            </w:r>
          </w:p>
          <w:p w:rsidR="00751A4A" w:rsidRPr="0019202E" w:rsidRDefault="00817416" w:rsidP="00756632">
            <w:pPr>
              <w:pStyle w:val="EPTerm"/>
              <w:rPr>
                <w:rStyle w:val="HideTWBExt"/>
                <w:noProof w:val="0"/>
                <w:vanish w:val="0"/>
                <w:color w:val="auto"/>
              </w:rPr>
            </w:pPr>
            <w:r w:rsidRPr="0019202E">
              <w:t>2019-2024</w:t>
            </w:r>
          </w:p>
        </w:tc>
        <w:tc>
          <w:tcPr>
            <w:tcW w:w="2268" w:type="dxa"/>
            <w:shd w:val="clear" w:color="auto" w:fill="auto"/>
          </w:tcPr>
          <w:p w:rsidR="00751A4A" w:rsidRPr="0019202E" w:rsidRDefault="00187494" w:rsidP="0010095E">
            <w:pPr>
              <w:pStyle w:val="EPLogo"/>
            </w:pPr>
            <w:r w:rsidRPr="0019202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9202E" w:rsidRDefault="00D058B8" w:rsidP="004C5D52">
      <w:pPr>
        <w:pStyle w:val="LineTop"/>
      </w:pPr>
    </w:p>
    <w:p w:rsidR="00680577" w:rsidRPr="0019202E" w:rsidRDefault="00CE511D" w:rsidP="00680577">
      <w:pPr>
        <w:pStyle w:val="EPBodyTA1"/>
      </w:pPr>
      <w:r w:rsidRPr="0019202E">
        <w:t>SPREJETA BESEDILA</w:t>
      </w:r>
    </w:p>
    <w:p w:rsidR="00D058B8" w:rsidRPr="0019202E" w:rsidRDefault="00D058B8" w:rsidP="00D058B8">
      <w:pPr>
        <w:pStyle w:val="LineBottom"/>
      </w:pPr>
    </w:p>
    <w:p w:rsidR="00CE511D" w:rsidRPr="0019202E" w:rsidRDefault="00CE511D" w:rsidP="0019202E">
      <w:pPr>
        <w:pStyle w:val="ATHeading1"/>
      </w:pPr>
      <w:bookmarkStart w:id="0" w:name="TANumber"/>
      <w:r w:rsidRPr="0019202E">
        <w:t>P9_TA(2024)0</w:t>
      </w:r>
      <w:r w:rsidR="0019202E" w:rsidRPr="0019202E">
        <w:t>333</w:t>
      </w:r>
      <w:bookmarkEnd w:id="0"/>
    </w:p>
    <w:p w:rsidR="00CE511D" w:rsidRPr="0019202E" w:rsidRDefault="008B58B3" w:rsidP="00CE511D">
      <w:pPr>
        <w:pStyle w:val="ATHeading2"/>
      </w:pPr>
      <w:r w:rsidRPr="0019202E">
        <w:t>Uporaba Evropskega sklada za prilagoditev globalizaciji: vloga EGF/2023/003 DE/Vallourec – Nemčija</w:t>
      </w:r>
    </w:p>
    <w:p w:rsidR="00CE511D" w:rsidRPr="0019202E" w:rsidRDefault="00CE511D" w:rsidP="008B58B3">
      <w:pPr>
        <w:rPr>
          <w:i/>
          <w:vanish/>
        </w:rPr>
      </w:pPr>
      <w:r w:rsidRPr="0019202E">
        <w:rPr>
          <w:i/>
        </w:rPr>
        <w:fldChar w:fldCharType="begin"/>
      </w:r>
      <w:r w:rsidRPr="0019202E">
        <w:rPr>
          <w:i/>
        </w:rPr>
        <w:instrText xml:space="preserve"> TC"(</w:instrText>
      </w:r>
      <w:bookmarkStart w:id="1" w:name="DocNumber"/>
      <w:r w:rsidRPr="0019202E">
        <w:rPr>
          <w:i/>
        </w:rPr>
        <w:instrText>A9-0166/2024</w:instrText>
      </w:r>
      <w:bookmarkEnd w:id="1"/>
      <w:r w:rsidRPr="0019202E">
        <w:rPr>
          <w:i/>
        </w:rPr>
        <w:instrText xml:space="preserve"> - Poročevalec: </w:instrText>
      </w:r>
      <w:r w:rsidR="008B58B3" w:rsidRPr="0019202E">
        <w:rPr>
          <w:i/>
        </w:rPr>
        <w:instrText>Jens Geier</w:instrText>
      </w:r>
      <w:r w:rsidRPr="0019202E">
        <w:rPr>
          <w:i/>
        </w:rPr>
        <w:instrText xml:space="preserve">)"\l3 \n&gt; \* MERGEFORMAT </w:instrText>
      </w:r>
      <w:r w:rsidRPr="0019202E">
        <w:rPr>
          <w:i/>
        </w:rPr>
        <w:fldChar w:fldCharType="end"/>
      </w:r>
    </w:p>
    <w:p w:rsidR="00CE511D" w:rsidRPr="0019202E" w:rsidRDefault="00CE511D" w:rsidP="00CE511D">
      <w:pPr>
        <w:rPr>
          <w:vanish/>
        </w:rPr>
      </w:pPr>
      <w:bookmarkStart w:id="2" w:name="Commission"/>
      <w:r w:rsidRPr="0019202E">
        <w:rPr>
          <w:vanish/>
        </w:rPr>
        <w:t>Odbor za proračun</w:t>
      </w:r>
      <w:bookmarkEnd w:id="2"/>
    </w:p>
    <w:p w:rsidR="00CE511D" w:rsidRPr="0019202E" w:rsidRDefault="00CE511D" w:rsidP="00CE511D">
      <w:pPr>
        <w:rPr>
          <w:vanish/>
        </w:rPr>
      </w:pPr>
      <w:bookmarkStart w:id="3" w:name="PE"/>
      <w:r w:rsidRPr="0019202E">
        <w:rPr>
          <w:vanish/>
        </w:rPr>
        <w:t>PE759.759</w:t>
      </w:r>
      <w:bookmarkEnd w:id="3"/>
    </w:p>
    <w:p w:rsidR="00CE511D" w:rsidRPr="0019202E" w:rsidRDefault="00CE511D" w:rsidP="000869A5">
      <w:pPr>
        <w:pStyle w:val="ATHeading3"/>
      </w:pPr>
      <w:bookmarkStart w:id="4" w:name="Sujet"/>
      <w:r w:rsidRPr="0019202E">
        <w:t xml:space="preserve">Resolucija Evropskega parlamenta z dne </w:t>
      </w:r>
      <w:r w:rsidR="008B58B3" w:rsidRPr="0019202E">
        <w:t>2</w:t>
      </w:r>
      <w:r w:rsidR="000869A5" w:rsidRPr="0019202E">
        <w:t>4</w:t>
      </w:r>
      <w:r w:rsidRPr="0019202E">
        <w:t>. aprila 2024 o predlogu sklepa Evropskega parlamenta in Sveta o uporabi Evropskega sklada za prilagoditev globalizaciji za presežne delavce na podlagi vloge Nemčije – EGF/2023/003 DE/Vallourec</w:t>
      </w:r>
      <w:bookmarkEnd w:id="4"/>
      <w:r w:rsidRPr="0019202E">
        <w:t xml:space="preserve"> </w:t>
      </w:r>
      <w:bookmarkStart w:id="5" w:name="References"/>
      <w:r w:rsidRPr="0019202E">
        <w:t>(COM(2024)0030 – C9-0041/2024 – 2024/0049(BUD))</w:t>
      </w:r>
      <w:bookmarkEnd w:id="5"/>
    </w:p>
    <w:p w:rsidR="00533343" w:rsidRPr="0019202E" w:rsidRDefault="00533343" w:rsidP="00533343">
      <w:pPr>
        <w:pStyle w:val="EPComma"/>
        <w:rPr>
          <w:noProof/>
        </w:rPr>
      </w:pPr>
      <w:bookmarkStart w:id="6" w:name="TextBodyBegin"/>
      <w:bookmarkEnd w:id="6"/>
      <w:r w:rsidRPr="0019202E">
        <w:rPr>
          <w:i/>
        </w:rPr>
        <w:t>Evropski parlament</w:t>
      </w:r>
      <w:r w:rsidRPr="0019202E">
        <w:t>,</w:t>
      </w:r>
    </w:p>
    <w:p w:rsidR="00533343" w:rsidRPr="0019202E" w:rsidRDefault="00533343" w:rsidP="00533343">
      <w:pPr>
        <w:pStyle w:val="NormalHanging12a"/>
        <w:rPr>
          <w:noProof/>
        </w:rPr>
      </w:pPr>
      <w:r w:rsidRPr="0019202E">
        <w:t>–</w:t>
      </w:r>
      <w:r w:rsidRPr="0019202E">
        <w:tab/>
        <w:t>ob upoštevanju predloga Komisije Evropskemu parlamentu in Svetu (COM(2024)0030 – C9</w:t>
      </w:r>
      <w:r w:rsidRPr="0019202E">
        <w:noBreakHyphen/>
        <w:t>0041/2024),</w:t>
      </w:r>
    </w:p>
    <w:p w:rsidR="00533343" w:rsidRPr="0019202E" w:rsidRDefault="00533343" w:rsidP="00533343">
      <w:pPr>
        <w:pStyle w:val="NormalHanging12a"/>
        <w:jc w:val="both"/>
      </w:pPr>
      <w:r w:rsidRPr="0019202E">
        <w:t>–</w:t>
      </w:r>
      <w:r w:rsidRPr="0019202E">
        <w:tab/>
        <w:t>ob upoštevanju Uredbe (EU) 2021/691 Evropskega parlamenta in Sveta z dne 28. aprila 2021 o Evropskem skladu za prilagoditev globalizaciji za presežne delavce (ESPG) in razveljavitvi Uredbe (EU) št. 1309/2013</w:t>
      </w:r>
      <w:r w:rsidRPr="0019202E">
        <w:rPr>
          <w:rStyle w:val="FootnoteReference"/>
          <w:noProof/>
        </w:rPr>
        <w:footnoteReference w:id="1"/>
      </w:r>
      <w:r w:rsidRPr="0019202E">
        <w:t xml:space="preserve"> (uredba o ESPG),</w:t>
      </w:r>
    </w:p>
    <w:p w:rsidR="00533343" w:rsidRPr="0019202E" w:rsidRDefault="00533343" w:rsidP="0060175A">
      <w:pPr>
        <w:pStyle w:val="NormalHanging12a"/>
        <w:jc w:val="both"/>
        <w:rPr>
          <w:noProof/>
        </w:rPr>
      </w:pPr>
      <w:r w:rsidRPr="0019202E">
        <w:t>–</w:t>
      </w:r>
      <w:r w:rsidRPr="0019202E">
        <w:tab/>
        <w:t>ob upoštevanju Uredbe Sveta (EU, Euratom) 2020/2093 z dne 17. decembra 2020 o določitvi večletnega finančnega okvira za obdobje 2021–2027</w:t>
      </w:r>
      <w:r w:rsidRPr="0019202E">
        <w:rPr>
          <w:rStyle w:val="FootnoteReference"/>
          <w:noProof/>
        </w:rPr>
        <w:footnoteReference w:id="2"/>
      </w:r>
      <w:r w:rsidRPr="0019202E">
        <w:t xml:space="preserve">, kakor je bila spremenjena z Uredbo </w:t>
      </w:r>
      <w:r w:rsidR="0060175A" w:rsidRPr="0019202E">
        <w:t xml:space="preserve">Sveta </w:t>
      </w:r>
      <w:r w:rsidRPr="0019202E">
        <w:t>(EU, Euratom) 2024/765</w:t>
      </w:r>
      <w:r w:rsidR="0060175A" w:rsidRPr="0019202E">
        <w:t xml:space="preserve"> z dne 29. februarja 2024 o spremembi Uredbe (EU, Euratom) 2020/2093 o določitvi večletnega finančnega okvira za obdobje 2021–2027</w:t>
      </w:r>
      <w:r w:rsidRPr="0019202E">
        <w:rPr>
          <w:rStyle w:val="FootnoteReference"/>
          <w:bdr w:val="none" w:sz="0" w:space="0" w:color="auto" w:frame="1"/>
        </w:rPr>
        <w:footnoteReference w:id="3"/>
      </w:r>
      <w:r w:rsidRPr="0019202E">
        <w:t>, in zlasti člena 8,</w:t>
      </w:r>
    </w:p>
    <w:p w:rsidR="00533343" w:rsidRPr="0019202E" w:rsidRDefault="00533343" w:rsidP="00533343">
      <w:pPr>
        <w:pStyle w:val="NormalHanging12a"/>
        <w:rPr>
          <w:noProof/>
        </w:rPr>
      </w:pPr>
      <w:r w:rsidRPr="0019202E">
        <w:t>–</w:t>
      </w:r>
      <w:r w:rsidRPr="0019202E">
        <w:tab/>
        <w:t>ob upoštevanju Medinstitucionalnega sporazuma z dne 16. decembra 2020 med Evropskim parlamentom, Svetom in Komisijo o proračunski disciplini, sodelovanju v proračunskih zadevah in dobrem finančnem poslovodenju ter novih virih lastnih sredstev, vključno s časovnim načrtom za njihovo uvedbo</w:t>
      </w:r>
      <w:r w:rsidRPr="0019202E">
        <w:rPr>
          <w:rStyle w:val="FootnoteReference"/>
          <w:noProof/>
        </w:rPr>
        <w:footnoteReference w:id="4"/>
      </w:r>
      <w:r w:rsidRPr="0019202E">
        <w:t xml:space="preserve"> in zlasti točke 9,</w:t>
      </w:r>
    </w:p>
    <w:p w:rsidR="00533343" w:rsidRPr="0019202E" w:rsidRDefault="00533343" w:rsidP="00533343">
      <w:pPr>
        <w:pStyle w:val="NormalHanging12a"/>
      </w:pPr>
      <w:r w:rsidRPr="0019202E">
        <w:t>–</w:t>
      </w:r>
      <w:r w:rsidRPr="0019202E">
        <w:tab/>
        <w:t>ob upoštevanju pisma Odbora za zaposlovanje in socialne zadeve,</w:t>
      </w:r>
    </w:p>
    <w:p w:rsidR="00533343" w:rsidRPr="0019202E" w:rsidRDefault="00533343" w:rsidP="00533343">
      <w:pPr>
        <w:pStyle w:val="NormalHanging12a"/>
      </w:pPr>
      <w:r w:rsidRPr="0019202E">
        <w:t>–</w:t>
      </w:r>
      <w:r w:rsidRPr="0019202E">
        <w:tab/>
        <w:t>ob upoštevanju poročila Odbora za proračun (A9</w:t>
      </w:r>
      <w:r w:rsidRPr="0019202E">
        <w:noBreakHyphen/>
        <w:t>0166/2024),</w:t>
      </w:r>
    </w:p>
    <w:p w:rsidR="00533343" w:rsidRPr="0019202E" w:rsidRDefault="00533343" w:rsidP="00533343">
      <w:pPr>
        <w:pStyle w:val="NormalHanging12a"/>
      </w:pPr>
      <w:r w:rsidRPr="0019202E">
        <w:t>A.</w:t>
      </w:r>
      <w:r w:rsidRPr="0019202E">
        <w:tab/>
        <w:t xml:space="preserve">ker je Unija vzpostavila zakonodajne in proračunske instrumente za dodatno podporo </w:t>
      </w:r>
      <w:r w:rsidRPr="0019202E">
        <w:lastRenderedPageBreak/>
        <w:t>delavcem, ki so jih prizadele posledice velikih strukturnih sprememb v svetovnih trgovinskih tokovih ali svetovna finančna in gospodarska kriza, ter za pomoč pri njihovem ponovnem vključevanju na trg dela; ker se ta pomoč zagotovi prek finančne podpore delavcem in podjetjem, za katera so delali;</w:t>
      </w:r>
    </w:p>
    <w:p w:rsidR="00533343" w:rsidRPr="0019202E" w:rsidRDefault="00533343" w:rsidP="00533343">
      <w:pPr>
        <w:pStyle w:val="NormalHanging12a"/>
      </w:pPr>
      <w:r w:rsidRPr="0019202E">
        <w:t>B.</w:t>
      </w:r>
      <w:r w:rsidRPr="0019202E">
        <w:tab/>
        <w:t>ker je Nemčija vložila vlogo EGF/2023/003 DE/Vallourec za finančni prispevek iz Evropskega sklada za prilagoditev globalizaciji (ESPG) zaradi odpustitve 1518 presežnih delavcev</w:t>
      </w:r>
      <w:r w:rsidRPr="0019202E">
        <w:rPr>
          <w:rStyle w:val="FootnoteReference"/>
        </w:rPr>
        <w:footnoteReference w:id="5"/>
      </w:r>
      <w:r w:rsidRPr="0019202E">
        <w:t xml:space="preserve"> v gospodarskem sektorju, razvrščenem v oddelek 24 NACE Revizija 2 (Proizvodnja osnovnih kovin) v sosednjih mestih Düsseldorf in Mülheim an der Ruhr v referenčnem obdobju vloge od 26. aprila 2023 do 26. avgusta 2023;</w:t>
      </w:r>
    </w:p>
    <w:p w:rsidR="00533343" w:rsidRPr="0019202E" w:rsidRDefault="00533343" w:rsidP="00533343">
      <w:pPr>
        <w:pStyle w:val="NormalHanging12a"/>
      </w:pPr>
      <w:r w:rsidRPr="0019202E">
        <w:t>C.</w:t>
      </w:r>
      <w:r w:rsidRPr="0019202E">
        <w:tab/>
        <w:t xml:space="preserve">ker se vloga nanaša na 1518 delavcev, ki so postali presežni v podjetju Vallourec Deutschland GmbH (VAD); </w:t>
      </w:r>
    </w:p>
    <w:p w:rsidR="00533343" w:rsidRPr="0019202E" w:rsidRDefault="00533343" w:rsidP="0060175A">
      <w:pPr>
        <w:pStyle w:val="NormalHanging12a"/>
      </w:pPr>
      <w:r w:rsidRPr="0019202E">
        <w:t>D.</w:t>
      </w:r>
      <w:r w:rsidRPr="0019202E">
        <w:tab/>
        <w:t xml:space="preserve">ker vloga temelji na merilu za pomoč iz </w:t>
      </w:r>
      <w:r w:rsidR="0060175A" w:rsidRPr="0019202E">
        <w:t xml:space="preserve">točke (a) </w:t>
      </w:r>
      <w:r w:rsidRPr="0019202E">
        <w:t>člena 4(2) uredbe o ESPG, v skladu s katerim mora biti odpuščenih najmanj 200 delavcev, ki so postali presežni, v referenčnem obdobju štirih mesecev v podjetju v državi članici, vključno z delavci, ki so postali presežni pri njegovih dobaviteljih ali proizvajalcih v poproizvodni fazi, in/ali samozaposlenimi osebami, ki so opustile dejavnost;</w:t>
      </w:r>
    </w:p>
    <w:p w:rsidR="00533343" w:rsidRPr="0019202E" w:rsidRDefault="00533343" w:rsidP="0060175A">
      <w:pPr>
        <w:pStyle w:val="NormalHanging12a"/>
      </w:pPr>
      <w:r w:rsidRPr="0019202E">
        <w:t>E.</w:t>
      </w:r>
      <w:r w:rsidRPr="0019202E">
        <w:tab/>
        <w:t xml:space="preserve">ker sta pandemija </w:t>
      </w:r>
      <w:r w:rsidR="0060175A" w:rsidRPr="0019202E">
        <w:t>COVID</w:t>
      </w:r>
      <w:r w:rsidRPr="0019202E">
        <w:t>-19 in ruska vojaška agresija v Ukrajini zmanjšali gospodarsko konkurenčnost in negativno vplivali na gospodarsko rast v Nemčiji;</w:t>
      </w:r>
    </w:p>
    <w:p w:rsidR="00533343" w:rsidRPr="0019202E" w:rsidRDefault="00533343" w:rsidP="0060175A">
      <w:pPr>
        <w:pStyle w:val="NormalHanging12a"/>
      </w:pPr>
      <w:r w:rsidRPr="0019202E">
        <w:t>F.</w:t>
      </w:r>
      <w:r w:rsidRPr="0019202E">
        <w:tab/>
        <w:t xml:space="preserve">ker je podjetje VAD, nemška hčerinska družba družbe Vallourec S.A. iz Francije, proizvajalo brezšivne vroče valjane jeklene cevi v svojih dveh jeklarnah v Nemčiji; ker so se po letih finančnih izgub leta 2018 začeli izvajati številni ukrepi za prestrukturiranje in zmanjšanje obsega ter namenski načrt za okrevanje gospodarstva, ki je vključeval koncesije delavcev glede pogojev zaposlovanja; ker so kljub delnemu uspehu gospodarske razmere po pandemiji </w:t>
      </w:r>
      <w:r w:rsidR="0060175A" w:rsidRPr="0019202E">
        <w:t>COVID</w:t>
      </w:r>
      <w:r w:rsidRPr="0019202E">
        <w:t>-19 nemškim tovarnam cevi povzročale nadaljnje težave in ker je bilo zaradi tega prestrukturiranja od leta 2015 izgubljenih več kot 1400 delovnih mest; ker se je podjetje Vallourec S.A. leta 2021 odločilo, da bo nemški tovarni cevi prodal in proizvodnjo preselil v Brazilijo; ker prodaja ni bila uspešna, kar je privedlo do dokončnega zaprtja lokacij, do 1. januarja 2025 pa je prišlo do premestitve preostale delovne sile;</w:t>
      </w:r>
    </w:p>
    <w:p w:rsidR="00533343" w:rsidRPr="0019202E" w:rsidRDefault="00533343" w:rsidP="00533343">
      <w:pPr>
        <w:pStyle w:val="NormalHanging12a"/>
      </w:pPr>
      <w:r w:rsidRPr="0019202E">
        <w:t>G.</w:t>
      </w:r>
      <w:r w:rsidRPr="0019202E">
        <w:tab/>
        <w:t xml:space="preserve">ker se je podjetje VAD strinjalo, da bo ustanovilo prehodno podjetje za vsak sklop odpuščanj in da je podjetje ponudilo tudi načrt predčasne upokojitve za delavce, rojene leta 1966 ali prej, ter načrt prostovoljne prekinitve delovnega razmerja za osebe, ki morda ne potrebujejo dolgotrajnejše pomoči pri iskanju nove zaposlitve; </w:t>
      </w:r>
    </w:p>
    <w:p w:rsidR="00533343" w:rsidRPr="0019202E" w:rsidRDefault="00533343" w:rsidP="00533343">
      <w:pPr>
        <w:pStyle w:val="NormalHanging12a"/>
      </w:pPr>
      <w:r w:rsidRPr="0019202E">
        <w:t>H.</w:t>
      </w:r>
      <w:r w:rsidRPr="0019202E">
        <w:tab/>
        <w:t>ker bi morali biti finančni prispevki iz ESPG usmerjeni predvsem v aktivne ukrepe politike trga dela in prilagojene storitve, katerih cilj je hitra ponovna vključitev upravičencev v dostojno in trajnostno zaposlitev v njihovem prvotnem sektorju dejavnosti ali zunaj njega, hkrati pa bi jih morali pripraviti na podnebno nevtralno in bolj digitalno evropsko gospodarstvo;</w:t>
      </w:r>
    </w:p>
    <w:p w:rsidR="00533343" w:rsidRPr="0019202E" w:rsidRDefault="00533343" w:rsidP="00533343">
      <w:pPr>
        <w:pStyle w:val="NormalHanging12a"/>
      </w:pPr>
      <w:r w:rsidRPr="0019202E">
        <w:t>I.</w:t>
      </w:r>
      <w:r w:rsidRPr="0019202E">
        <w:tab/>
        <w:t xml:space="preserve">ker revizija večletnega finančnega okvira zmanjšuje najvišji letni znesek ESPG s 186 milijonov EUR na 30 milijonov EUR (v cenah iz leta 2018), kot je določeno v členu 8 Uredbe Sveta (EU, Euratom) 2020/2093, kakor je bila spremenjena z Uredbo (EU, Euratom) 2024/765; ker bi morala Komisija spremljati izvajanje ESPG, vse </w:t>
      </w:r>
      <w:r w:rsidRPr="0019202E">
        <w:lastRenderedPageBreak/>
        <w:t xml:space="preserve">institucije pa bi morale sprejeti vse potrebne ukrepe, da se bo mogoče odzvati na vse upravičene prošnje za podporo iz tega sklada, ki priča o solidarnosti EU; </w:t>
      </w:r>
    </w:p>
    <w:p w:rsidR="00533343" w:rsidRPr="0019202E" w:rsidRDefault="00533343" w:rsidP="00533343">
      <w:pPr>
        <w:pStyle w:val="NormalHanging12a"/>
      </w:pPr>
      <w:r w:rsidRPr="0019202E">
        <w:t>1.</w:t>
      </w:r>
      <w:r w:rsidRPr="0019202E">
        <w:tab/>
        <w:t>se strinja s Komisijo, da so pogoji iz točke (a) člena 4(2) uredbe o ESPG izpolnjeni in da je Nemčija na podlagi te uredbe upravičena do finančnega prispevka v znesku 2</w:t>
      </w:r>
      <w:r w:rsidR="0060175A" w:rsidRPr="0019202E">
        <w:t> </w:t>
      </w:r>
      <w:r w:rsidRPr="0019202E">
        <w:t>984</w:t>
      </w:r>
      <w:r w:rsidR="0060175A" w:rsidRPr="0019202E">
        <w:t> </w:t>
      </w:r>
      <w:r w:rsidRPr="0019202E">
        <w:t>627 EUR, kar je 60 % skupnih stroškov v znesku 4</w:t>
      </w:r>
      <w:r w:rsidR="0060175A" w:rsidRPr="0019202E">
        <w:t> </w:t>
      </w:r>
      <w:r w:rsidRPr="0019202E">
        <w:t>974</w:t>
      </w:r>
      <w:r w:rsidR="0060175A" w:rsidRPr="0019202E">
        <w:t> </w:t>
      </w:r>
      <w:r w:rsidRPr="0019202E">
        <w:t>379, EUR, od česar stroški posameznikom prilagojenih storitev znašajo 4</w:t>
      </w:r>
      <w:r w:rsidR="0060175A" w:rsidRPr="0019202E">
        <w:t> </w:t>
      </w:r>
      <w:r w:rsidRPr="0019202E">
        <w:t>783</w:t>
      </w:r>
      <w:r w:rsidR="0060175A" w:rsidRPr="0019202E">
        <w:t> </w:t>
      </w:r>
      <w:r w:rsidRPr="0019202E">
        <w:t>.057 EUR, stroški priprave, upravljanja, informiranja in obveščanja javnosti ter nadzora in poročanja pa 191</w:t>
      </w:r>
      <w:r w:rsidR="0060175A" w:rsidRPr="0019202E">
        <w:t> </w:t>
      </w:r>
      <w:r w:rsidRPr="0019202E">
        <w:t>322 EUR;</w:t>
      </w:r>
    </w:p>
    <w:p w:rsidR="00533343" w:rsidRPr="0019202E" w:rsidRDefault="00533343" w:rsidP="00533343">
      <w:pPr>
        <w:pStyle w:val="NormalHanging12a"/>
      </w:pPr>
      <w:r w:rsidRPr="0019202E">
        <w:t>2.</w:t>
      </w:r>
      <w:r w:rsidRPr="0019202E">
        <w:tab/>
        <w:t xml:space="preserve">ugotavlja, da so nemški organi vlogo predložili 15. novembra 2023, Komisija pa je na osnovi dodatnih informacij, ki jih je posredovala Nemčija, oceno te vloge dokončala 29. februarja 2024 in jo še istega dne posredovala Parlamentu; </w:t>
      </w:r>
    </w:p>
    <w:p w:rsidR="00533343" w:rsidRPr="0019202E" w:rsidRDefault="00533343" w:rsidP="00533343">
      <w:pPr>
        <w:pStyle w:val="NormalHanging12a"/>
      </w:pPr>
      <w:r w:rsidRPr="0019202E">
        <w:t>3.</w:t>
      </w:r>
      <w:r w:rsidRPr="0019202E">
        <w:tab/>
        <w:t>je seznanjen, da se vloga nanaša na 1518 delavcev, ki so postali presežni v podjetju Vallourec Deutschland GmbH (VAD); je tudi seznanjen, da bo prejemnikov pomoči skupaj 835;</w:t>
      </w:r>
    </w:p>
    <w:p w:rsidR="00533343" w:rsidRPr="0019202E" w:rsidRDefault="00533343" w:rsidP="00533343">
      <w:pPr>
        <w:pStyle w:val="NormalHanging12a"/>
      </w:pPr>
      <w:r w:rsidRPr="0019202E">
        <w:t>4.</w:t>
      </w:r>
      <w:r w:rsidRPr="0019202E">
        <w:tab/>
        <w:t>poudarja, da se pričakuje, da bodo odpuščanja znatno vplivala na lokalno gospodarstvo, ki je bilo v zadnjih desetletjih izpostavljeno velikim strukturnim spremembam, saj se je znatno zmanjšalo število delovnih mest v proizvodnji, zlasti v proizvodnji kovin; poudarja, da se bo zaradi odpuščanj stopnja brezposelnosti v mestih Mülheim in Düsseldorf pove</w:t>
      </w:r>
      <w:r w:rsidR="00495D74" w:rsidRPr="0019202E">
        <w:t>čala, za 11,6 % oziroma 5,6 %;</w:t>
      </w:r>
    </w:p>
    <w:p w:rsidR="00533343" w:rsidRPr="0019202E" w:rsidRDefault="00533343" w:rsidP="00533343">
      <w:pPr>
        <w:pStyle w:val="NormalHanging12a"/>
      </w:pPr>
      <w:r w:rsidRPr="0019202E">
        <w:t>5.</w:t>
      </w:r>
      <w:r w:rsidRPr="0019202E">
        <w:tab/>
        <w:t>poudarja, da profili presežnih delavcev ne ustrezajo spretnostim, ki so iskane na trgu dela; poudarja tudi, da je večina zadevnih delavcev v poznejši fazi svoje poklicne poti, saj že dolgo delajo za podjetje VAD, zaradi ravni formalnih kvalifikacij pa so na sedanjem trgu dela nekonkurenčni, saj jih je 20,1 % starejših od 54 let; poudarja, da bosta izpopolnjevanje in prekvalifikacija delavcev v skladu s potrebami trga dela po kvalificiranih delovnih mestih zato izziv, zlasti ob upoštevanju velikega števila ljudi, ki bodo hkrati odpuščeni; poleg tega poudarja, da je treba pri izpopolnjevanju in prekvalificiranju presežnih delavcev upoštevati srednje- do dolgoročne potrebe po kvalifikacijah za industrijsko preobrazbo v podnebno nevtralno prihodnost;</w:t>
      </w:r>
    </w:p>
    <w:p w:rsidR="00533343" w:rsidRPr="0019202E" w:rsidRDefault="00533343" w:rsidP="00533343">
      <w:pPr>
        <w:pStyle w:val="NormalHanging12a"/>
      </w:pPr>
      <w:r w:rsidRPr="0019202E">
        <w:t>6.</w:t>
      </w:r>
      <w:r w:rsidRPr="0019202E">
        <w:tab/>
        <w:t>meni, da je socialna odgovornost Unije, da tem delavcem, ki so postali presežni, zagotovi potrebne kvalifikacije za ekološko in pravično preoblikovanje industrije Unije v skladu z evropskim zelenim dogovorom, saj so delali v sektorju z visoko ogljično intenzivnostjo; poudarja pomen raziskav in inovacij, da bi Evropa postala primerna za industrijsko proizvodnjo v prihodnosti in da bi preprečili, da bi Unija pot razogljičenja uresničevala preko deindustrializacije; zato pozdravlja prilagojene storitve iz ESPG za delavce, ki vključujejo ukrepe izpopolnjevanja, delavnice, poklicno usmerjanje, zaposlitveno svetovanje in nadomestila za usposabljanje, da bi ta regija in splošni trg dela v prihodnje postala bolj trajnostna in odporna;</w:t>
      </w:r>
    </w:p>
    <w:p w:rsidR="00533343" w:rsidRPr="0019202E" w:rsidRDefault="00533343" w:rsidP="00533343">
      <w:pPr>
        <w:pStyle w:val="NormalHanging12a"/>
      </w:pPr>
      <w:r w:rsidRPr="0019202E">
        <w:t>7.</w:t>
      </w:r>
      <w:r w:rsidRPr="0019202E">
        <w:tab/>
        <w:t>pozdravlja dejstvo, da je Nemčija usklajeni sveženj prilagojenih storitev pripravila v posvetovanju s ciljnimi upravičenci, njihovimi predstavniki in socialnimi partnerji; zlasti pozdravlja dejstvo, da so takoj po odločitvi o zaprtju tovarn cevi vodstvo podjetja in predstavniki zaposlenih začeli pogajanja o socialnem načrtu, zlasti o ustanovitvi prehodnega podjetja; priznava, da si je podjetje VAD močno prizadevalo za zmanjšanje socialnih posledic zaprtja lokacij;</w:t>
      </w:r>
    </w:p>
    <w:p w:rsidR="00533343" w:rsidRPr="0019202E" w:rsidRDefault="00533343" w:rsidP="00533343">
      <w:pPr>
        <w:pStyle w:val="NormalHanging12a"/>
      </w:pPr>
      <w:r w:rsidRPr="0019202E">
        <w:t>8.</w:t>
      </w:r>
      <w:r w:rsidRPr="0019202E">
        <w:tab/>
        <w:t xml:space="preserve">opozarja, da prilagojene storitve za delavce in samozaposlene osebe vključujejo </w:t>
      </w:r>
      <w:r w:rsidRPr="0019202E">
        <w:lastRenderedPageBreak/>
        <w:t>naslednje ukrepe: prilagojeno usposabljanje in preusposabljanje, poklicno usmerjanje, individualna pomoč pri iskanju zaposlitve in dejavnosti za ciljne skupine, podpora pri ustanavljanju podjetij in prispevek v ta namen, pa tudi spodbude in nadomestila;</w:t>
      </w:r>
    </w:p>
    <w:p w:rsidR="00533343" w:rsidRPr="0019202E" w:rsidRDefault="00533343" w:rsidP="00533343">
      <w:pPr>
        <w:pStyle w:val="NormalHanging12a"/>
      </w:pPr>
      <w:r w:rsidRPr="0019202E">
        <w:t>9.</w:t>
      </w:r>
      <w:r w:rsidRPr="0019202E">
        <w:tab/>
      </w:r>
      <w:r w:rsidRPr="0019202E">
        <w:rPr>
          <w:sz w:val="23"/>
        </w:rPr>
        <w:t>odločno pozdravlja predlagani ukrep za digitalna osnovna znanja in spretnosti (Digitale Grundqualifizierung), ki je namenjen razširjanju znanj in spretnosti, potrebnih v digitalni industrijski dobi, kot zahteva člen 7(2) uredbe o ESPG; ugotavlja, da je ta ukrep namenjen zlasti tistim udeležencem, ki nimajo digitalnih znanj in spretnosti ali jih imajo zelo malo; pozdravlja dejstvo, da bodo udeleženci imeli prenosne računalnike, s katerimi bodo lahko spremljali tečaj in prakso doma, ter dejstvo, da bo posebna pozornost namenjena uporabnim spretnostim, ki jim bodo pomagale pri uporabi internetnih orodij za iskanje zaposlitve;</w:t>
      </w:r>
    </w:p>
    <w:p w:rsidR="00533343" w:rsidRPr="0019202E" w:rsidRDefault="00533343" w:rsidP="00533343">
      <w:pPr>
        <w:pStyle w:val="NormalHanging12a"/>
      </w:pPr>
      <w:r w:rsidRPr="0019202E">
        <w:t>10.</w:t>
      </w:r>
      <w:r w:rsidRPr="0019202E">
        <w:tab/>
        <w:t>ugotavlja, da je Nemčija prilagojene storitve za ciljne upravičence začela izvajati 1. decembra 2023 in da bo torej obdobje upravičenosti do finančnega prispevka iz ESPG začelo teči istega dne in se bo končalo 24 mesecev po začetku veljavnosti sklepa o financiranju;</w:t>
      </w:r>
    </w:p>
    <w:p w:rsidR="00533343" w:rsidRPr="0019202E" w:rsidRDefault="00533343" w:rsidP="00533343">
      <w:pPr>
        <w:pStyle w:val="NormalHanging12a"/>
        <w:rPr>
          <w:sz w:val="23"/>
          <w:szCs w:val="23"/>
        </w:rPr>
      </w:pPr>
      <w:r w:rsidRPr="0019202E">
        <w:t>11.</w:t>
      </w:r>
      <w:r w:rsidRPr="0019202E">
        <w:tab/>
        <w:t>ugotavlja, da je Nemčija začela kriti upravne odhodke za izvajanje ESPG 1. januarja 2023 in da bodo odhodki za pripravo, upravljanje, informiranje in obveščanje javnosti, nadzor in poročanje torej upravičeni do finančnega prispevka iz ESPG od 1. januarja 2023 do izteka 31 mesecev od datuma začetka veljavnosti sklepa o financiranju;</w:t>
      </w:r>
    </w:p>
    <w:p w:rsidR="00533343" w:rsidRPr="0019202E" w:rsidRDefault="00533343" w:rsidP="00533343">
      <w:pPr>
        <w:pStyle w:val="NormalHanging12a"/>
      </w:pPr>
      <w:r w:rsidRPr="0019202E">
        <w:t>12.</w:t>
      </w:r>
      <w:r w:rsidRPr="0019202E">
        <w:tab/>
        <w:t>poudarja, da so nemški organi potrdili, da se za upravičene ukrepe ne črpa pomoč iz drugih skladov ali finančnih instrumentov Unije in da bodo pri dostopu do predlaganih ukrepov in njihovem izvajanju spoštovana načela enake obravnave in nediskriminacije;</w:t>
      </w:r>
    </w:p>
    <w:p w:rsidR="00533343" w:rsidRPr="0019202E" w:rsidRDefault="00533343" w:rsidP="00533343">
      <w:pPr>
        <w:pStyle w:val="NormalHanging12a"/>
      </w:pPr>
      <w:r w:rsidRPr="0019202E">
        <w:t>13.</w:t>
      </w:r>
      <w:r w:rsidRPr="0019202E">
        <w:tab/>
        <w:t>ponavlja, da pomoč iz ESPG ne sme nadomestiti ukrepov, za katere so odgovorna podjetja na podlagi nacionalnega prava ali kolektivnih pogodb, pa tudi ne drugih nadomestil ali pravic presežnih delavcev, saj mora pomoč iz ESPG druge prejemke samo dopolnjevati;</w:t>
      </w:r>
    </w:p>
    <w:p w:rsidR="00533343" w:rsidRPr="0019202E" w:rsidRDefault="00533343" w:rsidP="00533343">
      <w:pPr>
        <w:pStyle w:val="NormalHanging12a"/>
        <w:rPr>
          <w:noProof/>
        </w:rPr>
      </w:pPr>
      <w:r w:rsidRPr="0019202E">
        <w:t>14.</w:t>
      </w:r>
      <w:r w:rsidRPr="0019202E">
        <w:tab/>
        <w:t>odobri sklep, priložen tej resoluciji;</w:t>
      </w:r>
    </w:p>
    <w:p w:rsidR="00533343" w:rsidRPr="0019202E" w:rsidRDefault="00533343" w:rsidP="00533343">
      <w:pPr>
        <w:pStyle w:val="NormalHanging12a"/>
        <w:rPr>
          <w:noProof/>
        </w:rPr>
      </w:pPr>
      <w:r w:rsidRPr="0019202E">
        <w:t>15.</w:t>
      </w:r>
      <w:r w:rsidRPr="0019202E">
        <w:tab/>
        <w:t xml:space="preserve">naroči svoji predsednici, naj podpiše ta sklep skupaj s predsedujočim Svetu ter poskrbi za njegovo objavo v </w:t>
      </w:r>
      <w:r w:rsidRPr="0019202E">
        <w:rPr>
          <w:i/>
        </w:rPr>
        <w:t>Uradnem listu Evropske unije</w:t>
      </w:r>
      <w:r w:rsidRPr="0019202E">
        <w:t>;</w:t>
      </w:r>
    </w:p>
    <w:p w:rsidR="00533343" w:rsidRPr="0019202E" w:rsidRDefault="00533343" w:rsidP="00533343">
      <w:pPr>
        <w:pStyle w:val="NormalHanging12a"/>
        <w:rPr>
          <w:noProof/>
        </w:rPr>
      </w:pPr>
      <w:r w:rsidRPr="0019202E">
        <w:t>16.</w:t>
      </w:r>
      <w:r w:rsidRPr="0019202E">
        <w:tab/>
        <w:t>naroči svoji predsednici, naj resolucijo skupaj s prilogo posreduje Svetu in Komisiji.</w:t>
      </w:r>
    </w:p>
    <w:p w:rsidR="00533343" w:rsidRPr="0019202E" w:rsidRDefault="00533343" w:rsidP="00533343">
      <w:pPr>
        <w:rPr>
          <w:noProof/>
        </w:rPr>
      </w:pPr>
    </w:p>
    <w:p w:rsidR="00533343" w:rsidRPr="0019202E" w:rsidRDefault="00533343" w:rsidP="00533343">
      <w:pPr>
        <w:pStyle w:val="PageHeading"/>
        <w:rPr>
          <w:noProof/>
        </w:rPr>
        <w:sectPr w:rsidR="00533343" w:rsidRPr="0019202E" w:rsidSect="00FA03DC">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D56C22" w:rsidRPr="00D56C22" w:rsidRDefault="00D56C22" w:rsidP="00533343">
      <w:pPr>
        <w:pStyle w:val="PageHeading"/>
        <w:rPr>
          <w:rFonts w:ascii="Times New Roman" w:hAnsi="Times New Roman" w:cs="Times New Roman"/>
        </w:rPr>
      </w:pPr>
      <w:bookmarkStart w:id="7" w:name="_Toc164170176"/>
      <w:r w:rsidRPr="00D56C22">
        <w:rPr>
          <w:rFonts w:ascii="Times New Roman" w:hAnsi="Times New Roman" w:cs="Times New Roman"/>
        </w:rPr>
        <w:t>PRILOGA</w:t>
      </w:r>
    </w:p>
    <w:p w:rsidR="00533343" w:rsidRPr="00D56C22" w:rsidRDefault="00533343" w:rsidP="00533343">
      <w:pPr>
        <w:pStyle w:val="PageHeading"/>
        <w:rPr>
          <w:rFonts w:ascii="Times New Roman" w:hAnsi="Times New Roman" w:cs="Times New Roman"/>
          <w:noProof/>
        </w:rPr>
      </w:pPr>
      <w:r w:rsidRPr="00D56C22">
        <w:rPr>
          <w:rFonts w:ascii="Times New Roman" w:hAnsi="Times New Roman" w:cs="Times New Roman"/>
        </w:rPr>
        <w:t>SKLEP EVROPSKEGA PARLAMENTA IN SVETA</w:t>
      </w:r>
      <w:bookmarkEnd w:id="7"/>
    </w:p>
    <w:p w:rsidR="00533343" w:rsidRDefault="00D56C22" w:rsidP="0060175A">
      <w:pPr>
        <w:pStyle w:val="NormalBold24a"/>
      </w:pPr>
      <w:r w:rsidRPr="00D56C22">
        <w:t>o uporabi Evropskega sklada za prilagoditev globalizaciji za presežne delavce na podlagi vloge Nemčije (EGF/2023/003 DE/</w:t>
      </w:r>
      <w:proofErr w:type="spellStart"/>
      <w:r w:rsidRPr="00D56C22">
        <w:t>Vallourec</w:t>
      </w:r>
      <w:proofErr w:type="spellEnd"/>
      <w:r w:rsidRPr="00D56C22">
        <w:t>)</w:t>
      </w:r>
    </w:p>
    <w:p w:rsidR="00D56C22" w:rsidRPr="002F326A" w:rsidRDefault="00D56C22" w:rsidP="00D56C22">
      <w:pPr>
        <w:spacing w:before="120" w:after="120"/>
      </w:pPr>
      <w:r w:rsidRPr="00325FD9">
        <w:rPr>
          <w:i/>
        </w:rPr>
        <w:t>(</w:t>
      </w:r>
      <w:r w:rsidRPr="008A2441">
        <w:rPr>
          <w:i/>
        </w:rPr>
        <w:t xml:space="preserve">Besedilo </w:t>
      </w:r>
      <w:r w:rsidR="004935CE">
        <w:rPr>
          <w:i/>
        </w:rPr>
        <w:t>te priloge</w:t>
      </w:r>
      <w:r w:rsidR="004935CE" w:rsidRPr="00325FD9">
        <w:rPr>
          <w:i/>
        </w:rPr>
        <w:t xml:space="preserve"> </w:t>
      </w:r>
      <w:r w:rsidR="004935CE">
        <w:rPr>
          <w:i/>
        </w:rPr>
        <w:t>tukaj</w:t>
      </w:r>
      <w:r w:rsidR="004935CE" w:rsidRPr="00325FD9">
        <w:rPr>
          <w:i/>
        </w:rPr>
        <w:t xml:space="preserve"> </w:t>
      </w:r>
      <w:bookmarkStart w:id="8" w:name="_GoBack"/>
      <w:bookmarkEnd w:id="8"/>
      <w:r w:rsidRPr="008A2441">
        <w:rPr>
          <w:i/>
        </w:rPr>
        <w:t>ni navedeno, saj je enako konč</w:t>
      </w:r>
      <w:r>
        <w:rPr>
          <w:i/>
        </w:rPr>
        <w:t>nemu aktu, Sklepu (EU) 2024/1298</w:t>
      </w:r>
      <w:r w:rsidRPr="008A2441">
        <w:rPr>
          <w:i/>
        </w:rPr>
        <w:t>.)</w:t>
      </w:r>
    </w:p>
    <w:sectPr w:rsidR="00D56C22" w:rsidRPr="002F326A" w:rsidSect="00FA03DC">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511D" w:rsidRPr="00FA03DC" w:rsidRDefault="00CE511D">
      <w:r w:rsidRPr="00FA03DC">
        <w:separator/>
      </w:r>
    </w:p>
  </w:endnote>
  <w:endnote w:type="continuationSeparator" w:id="0">
    <w:p w:rsidR="00CE511D" w:rsidRPr="00FA03DC" w:rsidRDefault="00CE511D">
      <w:r w:rsidRPr="00FA03D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3343" w:rsidRPr="00FA03DC" w:rsidRDefault="00533343" w:rsidP="00902C96">
    <w:pPr>
      <w:pStyle w:val="EPFooter"/>
    </w:pPr>
    <w:r w:rsidRPr="00FA03DC">
      <w:t>PE</w:t>
    </w:r>
    <w:r w:rsidRPr="00FA03DC">
      <w:rPr>
        <w:rStyle w:val="HideTWBExt"/>
      </w:rPr>
      <w:t>&lt;NoPE&gt;</w:t>
    </w:r>
    <w:r w:rsidRPr="00FA03DC">
      <w:t>759.759</w:t>
    </w:r>
    <w:r w:rsidRPr="00FA03DC">
      <w:rPr>
        <w:rStyle w:val="HideTWBExt"/>
      </w:rPr>
      <w:t>&lt;/NoPE&gt;&lt;Version&gt;</w:t>
    </w:r>
    <w:r w:rsidRPr="00FA03DC">
      <w:t>v02-00</w:t>
    </w:r>
    <w:r w:rsidRPr="00FA03DC">
      <w:rPr>
        <w:rStyle w:val="HideTWBExt"/>
      </w:rPr>
      <w:t>&lt;/Version&gt;</w:t>
    </w:r>
    <w:r w:rsidRPr="00FA03DC">
      <w:tab/>
    </w:r>
    <w:r w:rsidRPr="00FA03DC">
      <w:fldChar w:fldCharType="begin"/>
    </w:r>
    <w:r w:rsidRPr="00FA03DC">
      <w:instrText xml:space="preserve"> PAGE  \* MERGEFORMAT </w:instrText>
    </w:r>
    <w:r w:rsidRPr="00FA03DC">
      <w:fldChar w:fldCharType="separate"/>
    </w:r>
    <w:r w:rsidRPr="00FA03DC">
      <w:rPr>
        <w:noProof/>
      </w:rPr>
      <w:t>4</w:t>
    </w:r>
    <w:r w:rsidRPr="00FA03DC">
      <w:fldChar w:fldCharType="end"/>
    </w:r>
    <w:r w:rsidRPr="00FA03DC">
      <w:t>/</w:t>
    </w:r>
    <w:r w:rsidR="004935CE">
      <w:fldChar w:fldCharType="begin"/>
    </w:r>
    <w:r w:rsidR="004935CE">
      <w:instrText xml:space="preserve"> NUMPAGES  \* MERGEFORMAT </w:instrText>
    </w:r>
    <w:r w:rsidR="004935CE">
      <w:fldChar w:fldCharType="separate"/>
    </w:r>
    <w:r w:rsidRPr="00FA03DC">
      <w:rPr>
        <w:noProof/>
      </w:rPr>
      <w:t>4</w:t>
    </w:r>
    <w:r w:rsidR="004935CE">
      <w:rPr>
        <w:noProof/>
      </w:rPr>
      <w:fldChar w:fldCharType="end"/>
    </w:r>
    <w:r w:rsidRPr="00FA03DC">
      <w:tab/>
    </w:r>
    <w:r w:rsidRPr="00FA03DC">
      <w:rPr>
        <w:rStyle w:val="HideTWBExt"/>
      </w:rPr>
      <w:t>&lt;PathFdR&gt;</w:t>
    </w:r>
    <w:r w:rsidRPr="00FA03DC">
      <w:t>RR\1300657SL.docx</w:t>
    </w:r>
    <w:r w:rsidRPr="00FA03DC">
      <w:rPr>
        <w:rStyle w:val="HideTWBExt"/>
      </w:rPr>
      <w:t>&lt;/PathFdR&gt;</w:t>
    </w:r>
  </w:p>
  <w:p w:rsidR="00533343" w:rsidRPr="00FA03DC" w:rsidRDefault="00533343" w:rsidP="00902C96">
    <w:pPr>
      <w:pStyle w:val="EPFooter2"/>
    </w:pPr>
    <w:r w:rsidRPr="00FA03DC">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3343" w:rsidRPr="00FA03DC" w:rsidRDefault="00533343" w:rsidP="00902C96">
    <w:pPr>
      <w:pStyle w:val="EPFooter"/>
    </w:pPr>
    <w:r w:rsidRPr="00FA03DC">
      <w:rPr>
        <w:rStyle w:val="HideTWBExt"/>
      </w:rPr>
      <w:t>&lt;PathFdR&gt;</w:t>
    </w:r>
    <w:r w:rsidRPr="00FA03DC">
      <w:t>RR\1300657SL.docx</w:t>
    </w:r>
    <w:r w:rsidRPr="00FA03DC">
      <w:rPr>
        <w:rStyle w:val="HideTWBExt"/>
      </w:rPr>
      <w:t>&lt;/PathFdR&gt;</w:t>
    </w:r>
    <w:r w:rsidRPr="00FA03DC">
      <w:tab/>
    </w:r>
    <w:r w:rsidRPr="00FA03DC">
      <w:tab/>
      <w:t>PE</w:t>
    </w:r>
    <w:r w:rsidRPr="00FA03DC">
      <w:rPr>
        <w:rStyle w:val="HideTWBExt"/>
      </w:rPr>
      <w:t>&lt;NoPE&gt;</w:t>
    </w:r>
    <w:r w:rsidRPr="00FA03DC">
      <w:t>759.759</w:t>
    </w:r>
    <w:r w:rsidRPr="00FA03DC">
      <w:rPr>
        <w:rStyle w:val="HideTWBExt"/>
      </w:rPr>
      <w:t>&lt;/NoPE&gt;&lt;Version&gt;</w:t>
    </w:r>
    <w:r w:rsidRPr="00FA03DC">
      <w:t>v02-00</w:t>
    </w:r>
    <w:r w:rsidRPr="00FA03DC">
      <w:rPr>
        <w:rStyle w:val="HideTWBExt"/>
      </w:rPr>
      <w:t>&lt;/Version&gt;</w:t>
    </w:r>
  </w:p>
  <w:p w:rsidR="00533343" w:rsidRPr="00FA03DC" w:rsidRDefault="00533343" w:rsidP="00902C96">
    <w:pPr>
      <w:pStyle w:val="EPFooter2"/>
    </w:pPr>
    <w:r w:rsidRPr="00FA03DC">
      <w:t>SL</w:t>
    </w:r>
    <w:r w:rsidRPr="00FA03DC">
      <w:tab/>
    </w:r>
    <w:r w:rsidRPr="00FA03DC">
      <w:rPr>
        <w:b w:val="0"/>
        <w:i/>
        <w:color w:val="C0C0C0"/>
        <w:sz w:val="22"/>
      </w:rPr>
      <w:t>Združena v raznolikosti</w:t>
    </w:r>
    <w:r w:rsidRPr="00FA03DC">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A03DC"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A03DC"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A03D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511D" w:rsidRPr="00FA03DC" w:rsidRDefault="00CE511D">
      <w:r w:rsidRPr="00FA03DC">
        <w:separator/>
      </w:r>
    </w:p>
  </w:footnote>
  <w:footnote w:type="continuationSeparator" w:id="0">
    <w:p w:rsidR="00CE511D" w:rsidRPr="00FA03DC" w:rsidRDefault="00CE511D">
      <w:r w:rsidRPr="00FA03DC">
        <w:continuationSeparator/>
      </w:r>
    </w:p>
  </w:footnote>
  <w:footnote w:id="1">
    <w:p w:rsidR="00533343" w:rsidRPr="0060175A" w:rsidRDefault="00533343" w:rsidP="00FA03DC">
      <w:pPr>
        <w:pStyle w:val="FootnoteText"/>
        <w:ind w:left="567" w:hanging="567"/>
        <w:rPr>
          <w:color w:val="000000" w:themeColor="text1"/>
          <w:sz w:val="24"/>
          <w:szCs w:val="24"/>
          <w:lang w:val="sl-SI"/>
        </w:rPr>
      </w:pPr>
      <w:r w:rsidRPr="0060175A">
        <w:rPr>
          <w:rStyle w:val="FootnoteReference"/>
          <w:color w:val="000000" w:themeColor="text1"/>
          <w:sz w:val="24"/>
          <w:szCs w:val="24"/>
          <w:lang w:val="sl-SI"/>
        </w:rPr>
        <w:footnoteRef/>
      </w:r>
      <w:r w:rsidR="00FA03DC" w:rsidRPr="0060175A">
        <w:rPr>
          <w:color w:val="000000" w:themeColor="text1"/>
          <w:sz w:val="24"/>
          <w:szCs w:val="24"/>
          <w:lang w:val="sl-SI"/>
        </w:rPr>
        <w:t xml:space="preserve"> </w:t>
      </w:r>
      <w:r w:rsidR="00FA03DC" w:rsidRPr="0060175A">
        <w:rPr>
          <w:color w:val="000000" w:themeColor="text1"/>
          <w:sz w:val="24"/>
          <w:szCs w:val="24"/>
          <w:lang w:val="sl-SI"/>
        </w:rPr>
        <w:tab/>
      </w:r>
      <w:r w:rsidRPr="0060175A">
        <w:rPr>
          <w:color w:val="000000" w:themeColor="text1"/>
          <w:sz w:val="24"/>
          <w:szCs w:val="24"/>
          <w:lang w:val="sl-SI"/>
        </w:rPr>
        <w:t>UL L 153, 3.5.2021, str. 48.</w:t>
      </w:r>
    </w:p>
  </w:footnote>
  <w:footnote w:id="2">
    <w:p w:rsidR="00533343" w:rsidRPr="0060175A" w:rsidRDefault="00533343" w:rsidP="00FA03DC">
      <w:pPr>
        <w:pStyle w:val="FootnoteText"/>
        <w:ind w:left="567" w:hanging="567"/>
        <w:rPr>
          <w:color w:val="000000" w:themeColor="text1"/>
          <w:sz w:val="24"/>
          <w:szCs w:val="24"/>
          <w:lang w:val="sl-SI"/>
        </w:rPr>
      </w:pPr>
      <w:r w:rsidRPr="0060175A">
        <w:rPr>
          <w:rStyle w:val="FootnoteReference"/>
          <w:color w:val="000000" w:themeColor="text1"/>
          <w:sz w:val="24"/>
          <w:szCs w:val="24"/>
          <w:lang w:val="sl-SI"/>
        </w:rPr>
        <w:footnoteRef/>
      </w:r>
      <w:r w:rsidR="00FA03DC" w:rsidRPr="0060175A">
        <w:rPr>
          <w:color w:val="000000" w:themeColor="text1"/>
          <w:sz w:val="24"/>
          <w:szCs w:val="24"/>
          <w:lang w:val="sl-SI"/>
        </w:rPr>
        <w:t xml:space="preserve"> </w:t>
      </w:r>
      <w:r w:rsidR="00FA03DC" w:rsidRPr="0060175A">
        <w:rPr>
          <w:color w:val="000000" w:themeColor="text1"/>
          <w:sz w:val="24"/>
          <w:szCs w:val="24"/>
          <w:lang w:val="sl-SI"/>
        </w:rPr>
        <w:tab/>
      </w:r>
      <w:r w:rsidRPr="0060175A">
        <w:rPr>
          <w:color w:val="000000" w:themeColor="text1"/>
          <w:sz w:val="24"/>
          <w:szCs w:val="24"/>
          <w:lang w:val="sl-SI"/>
        </w:rPr>
        <w:t>UL L 433 I, 22.12.2020, str. 11.</w:t>
      </w:r>
    </w:p>
  </w:footnote>
  <w:footnote w:id="3">
    <w:p w:rsidR="00533343" w:rsidRPr="0060175A" w:rsidRDefault="00533343" w:rsidP="0060175A">
      <w:pPr>
        <w:pStyle w:val="FootnoteText"/>
        <w:ind w:left="567" w:hanging="567"/>
        <w:rPr>
          <w:color w:val="000000" w:themeColor="text1"/>
          <w:sz w:val="24"/>
          <w:szCs w:val="24"/>
          <w:lang w:val="sl-SI"/>
        </w:rPr>
      </w:pPr>
      <w:r w:rsidRPr="0060175A">
        <w:rPr>
          <w:rStyle w:val="FootnoteReference"/>
          <w:color w:val="000000" w:themeColor="text1"/>
          <w:sz w:val="24"/>
          <w:szCs w:val="24"/>
          <w:lang w:val="sl-SI"/>
        </w:rPr>
        <w:footnoteRef/>
      </w:r>
      <w:r w:rsidR="00FA03DC" w:rsidRPr="0060175A">
        <w:rPr>
          <w:color w:val="000000" w:themeColor="text1"/>
          <w:sz w:val="24"/>
          <w:szCs w:val="24"/>
          <w:shd w:val="clear" w:color="auto" w:fill="FFFFFF"/>
          <w:lang w:val="sl-SI"/>
        </w:rPr>
        <w:t xml:space="preserve"> </w:t>
      </w:r>
      <w:r w:rsidR="00FA03DC" w:rsidRPr="0060175A">
        <w:rPr>
          <w:color w:val="000000" w:themeColor="text1"/>
          <w:sz w:val="24"/>
          <w:szCs w:val="24"/>
          <w:shd w:val="clear" w:color="auto" w:fill="FFFFFF"/>
          <w:lang w:val="sl-SI"/>
        </w:rPr>
        <w:tab/>
      </w:r>
      <w:r w:rsidR="0060175A" w:rsidRPr="0060175A">
        <w:rPr>
          <w:rStyle w:val="Emphasis"/>
          <w:i w:val="0"/>
          <w:iCs w:val="0"/>
          <w:color w:val="000000" w:themeColor="text1"/>
          <w:sz w:val="24"/>
          <w:szCs w:val="24"/>
          <w:shd w:val="clear" w:color="auto" w:fill="FFFFFF"/>
          <w:lang w:val="sl-SI"/>
        </w:rPr>
        <w:t xml:space="preserve">UL L, 2024/765, 29.2.2024, ELI: </w:t>
      </w:r>
      <w:r w:rsidR="004935CE">
        <w:fldChar w:fldCharType="begin"/>
      </w:r>
      <w:r w:rsidR="004935CE" w:rsidRPr="004935CE">
        <w:rPr>
          <w:lang w:val="pl-PL"/>
        </w:rPr>
        <w:instrText xml:space="preserve"> HYPERLINK "http://data.europa.eu/eli/reg/2024/765/oj" </w:instrText>
      </w:r>
      <w:r w:rsidR="004935CE">
        <w:fldChar w:fldCharType="separate"/>
      </w:r>
      <w:r w:rsidR="00D56C22" w:rsidRPr="00D56C22">
        <w:rPr>
          <w:rStyle w:val="Hyperlink"/>
          <w:sz w:val="24"/>
          <w:shd w:val="clear" w:color="auto" w:fill="FFFFFF"/>
          <w:lang w:val="pl-PL"/>
        </w:rPr>
        <w:t>http://data.europa.eu/eli/reg/2024/765/oj</w:t>
      </w:r>
      <w:r w:rsidR="004935CE">
        <w:rPr>
          <w:rStyle w:val="Hyperlink"/>
          <w:sz w:val="24"/>
          <w:shd w:val="clear" w:color="auto" w:fill="FFFFFF"/>
          <w:lang w:val="pl-PL"/>
        </w:rPr>
        <w:fldChar w:fldCharType="end"/>
      </w:r>
      <w:r w:rsidR="0060175A" w:rsidRPr="0060175A">
        <w:rPr>
          <w:rStyle w:val="Emphasis"/>
          <w:i w:val="0"/>
          <w:iCs w:val="0"/>
          <w:color w:val="000000" w:themeColor="text1"/>
          <w:sz w:val="24"/>
          <w:szCs w:val="24"/>
          <w:shd w:val="clear" w:color="auto" w:fill="FFFFFF"/>
          <w:lang w:val="sl-SI"/>
        </w:rPr>
        <w:t>.</w:t>
      </w:r>
    </w:p>
  </w:footnote>
  <w:footnote w:id="4">
    <w:p w:rsidR="00533343" w:rsidRPr="0060175A" w:rsidRDefault="00533343" w:rsidP="00FA03DC">
      <w:pPr>
        <w:pStyle w:val="FootnoteText"/>
        <w:ind w:left="567" w:hanging="567"/>
        <w:rPr>
          <w:color w:val="000000" w:themeColor="text1"/>
          <w:sz w:val="24"/>
          <w:szCs w:val="24"/>
          <w:lang w:val="sl-SI"/>
        </w:rPr>
      </w:pPr>
      <w:r w:rsidRPr="0060175A">
        <w:rPr>
          <w:rStyle w:val="FootnoteReference"/>
          <w:color w:val="000000" w:themeColor="text1"/>
          <w:sz w:val="24"/>
          <w:szCs w:val="24"/>
          <w:lang w:val="sl-SI"/>
        </w:rPr>
        <w:footnoteRef/>
      </w:r>
      <w:r w:rsidR="00FA03DC" w:rsidRPr="0060175A">
        <w:rPr>
          <w:color w:val="000000" w:themeColor="text1"/>
          <w:sz w:val="24"/>
          <w:szCs w:val="24"/>
          <w:lang w:val="sl-SI"/>
        </w:rPr>
        <w:t xml:space="preserve"> </w:t>
      </w:r>
      <w:r w:rsidR="00FA03DC" w:rsidRPr="0060175A">
        <w:rPr>
          <w:color w:val="000000" w:themeColor="text1"/>
          <w:sz w:val="24"/>
          <w:szCs w:val="24"/>
          <w:lang w:val="sl-SI"/>
        </w:rPr>
        <w:tab/>
      </w:r>
      <w:r w:rsidRPr="0060175A">
        <w:rPr>
          <w:color w:val="000000" w:themeColor="text1"/>
          <w:sz w:val="24"/>
          <w:szCs w:val="24"/>
          <w:lang w:val="sl-SI"/>
        </w:rPr>
        <w:t>UL L 433 I, 22.12.2020, str. 28.</w:t>
      </w:r>
    </w:p>
  </w:footnote>
  <w:footnote w:id="5">
    <w:p w:rsidR="00533343" w:rsidRPr="0060175A" w:rsidRDefault="00533343" w:rsidP="00FA03DC">
      <w:pPr>
        <w:pStyle w:val="FootnoteText"/>
        <w:ind w:left="567" w:hanging="567"/>
        <w:rPr>
          <w:color w:val="000000" w:themeColor="text1"/>
          <w:sz w:val="24"/>
          <w:szCs w:val="24"/>
          <w:lang w:val="sl-SI"/>
        </w:rPr>
      </w:pPr>
      <w:r w:rsidRPr="0060175A">
        <w:rPr>
          <w:rStyle w:val="FootnoteReference"/>
          <w:color w:val="000000" w:themeColor="text1"/>
          <w:sz w:val="24"/>
          <w:szCs w:val="24"/>
          <w:lang w:val="sl-SI"/>
        </w:rPr>
        <w:footnoteRef/>
      </w:r>
      <w:r w:rsidR="00FA03DC" w:rsidRPr="0060175A">
        <w:rPr>
          <w:color w:val="000000" w:themeColor="text1"/>
          <w:sz w:val="24"/>
          <w:szCs w:val="24"/>
          <w:lang w:val="sl-SI"/>
        </w:rPr>
        <w:t xml:space="preserve"> </w:t>
      </w:r>
      <w:r w:rsidR="00FA03DC" w:rsidRPr="0060175A">
        <w:rPr>
          <w:color w:val="000000" w:themeColor="text1"/>
          <w:sz w:val="24"/>
          <w:szCs w:val="24"/>
          <w:lang w:val="sl-SI"/>
        </w:rPr>
        <w:tab/>
      </w:r>
      <w:r w:rsidRPr="0060175A">
        <w:rPr>
          <w:color w:val="000000" w:themeColor="text1"/>
          <w:sz w:val="24"/>
          <w:szCs w:val="24"/>
          <w:lang w:val="sl-SI"/>
        </w:rPr>
        <w:t>V smislu člena 3 uredbe o ESPG.</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A03D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A03D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A03D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6/2024"/>
    <w:docVar w:name="dvlangue" w:val="SL"/>
    <w:docVar w:name="dvnumam" w:val="0"/>
    <w:docVar w:name="dvpe" w:val="759.759"/>
    <w:docVar w:name="dvrapporteur" w:val="Poročevalec: "/>
    <w:docVar w:name="dvtitre" w:val="Resolucija Evropskega parlamenta z dne XX. aprila 2024 o predlogu sklepa Evropskega parlamenta in Sveta o uporabi Evropskega sklada za prilagoditev globalizaciji za presežne delavce na podlagi vloge Nemčije – EGF/2023/003 DE/Vallourec(COM(2024)0030 – C9-0041/2024 – 2024/0049(BUD))"/>
  </w:docVars>
  <w:rsids>
    <w:rsidRoot w:val="00CE511D"/>
    <w:rsid w:val="00002272"/>
    <w:rsid w:val="00064002"/>
    <w:rsid w:val="000677B9"/>
    <w:rsid w:val="000831BA"/>
    <w:rsid w:val="000869A5"/>
    <w:rsid w:val="000A42CC"/>
    <w:rsid w:val="000E7DD9"/>
    <w:rsid w:val="0010095E"/>
    <w:rsid w:val="00125B37"/>
    <w:rsid w:val="00187494"/>
    <w:rsid w:val="0019202E"/>
    <w:rsid w:val="001F32AE"/>
    <w:rsid w:val="002767FF"/>
    <w:rsid w:val="002B18FE"/>
    <w:rsid w:val="002B5493"/>
    <w:rsid w:val="00343214"/>
    <w:rsid w:val="00361C00"/>
    <w:rsid w:val="00395FA1"/>
    <w:rsid w:val="003E15D4"/>
    <w:rsid w:val="00411CCE"/>
    <w:rsid w:val="0041666E"/>
    <w:rsid w:val="00421060"/>
    <w:rsid w:val="00471C19"/>
    <w:rsid w:val="004867E3"/>
    <w:rsid w:val="004935CE"/>
    <w:rsid w:val="00494A28"/>
    <w:rsid w:val="00495D74"/>
    <w:rsid w:val="004C0004"/>
    <w:rsid w:val="004C5D52"/>
    <w:rsid w:val="0050519A"/>
    <w:rsid w:val="005072A1"/>
    <w:rsid w:val="00514517"/>
    <w:rsid w:val="00533343"/>
    <w:rsid w:val="00545827"/>
    <w:rsid w:val="00560270"/>
    <w:rsid w:val="005C2568"/>
    <w:rsid w:val="0060175A"/>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58B3"/>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511D"/>
    <w:rsid w:val="00CF071A"/>
    <w:rsid w:val="00D058B8"/>
    <w:rsid w:val="00D56C11"/>
    <w:rsid w:val="00D56C22"/>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03D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541ADDB-2256-452B-A0DE-CC96FE25A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33343"/>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533343"/>
    <w:pPr>
      <w:keepNext/>
      <w:spacing w:after="480"/>
      <w:jc w:val="center"/>
    </w:pPr>
    <w:rPr>
      <w:rFonts w:ascii="Arial" w:hAnsi="Arial" w:cs="Arial"/>
      <w:b/>
    </w:rPr>
  </w:style>
  <w:style w:type="paragraph" w:customStyle="1" w:styleId="NormalHanging12a">
    <w:name w:val="NormalHanging12a"/>
    <w:basedOn w:val="Normal"/>
    <w:link w:val="NormalHanging12aChar"/>
    <w:rsid w:val="00533343"/>
    <w:pPr>
      <w:spacing w:after="240"/>
      <w:ind w:left="567" w:hanging="567"/>
    </w:pPr>
  </w:style>
  <w:style w:type="paragraph" w:styleId="Header">
    <w:name w:val="header"/>
    <w:basedOn w:val="Normal"/>
    <w:link w:val="HeaderChar"/>
    <w:rsid w:val="00533343"/>
    <w:pPr>
      <w:tabs>
        <w:tab w:val="center" w:pos="4513"/>
        <w:tab w:val="right" w:pos="9026"/>
      </w:tabs>
    </w:pPr>
  </w:style>
  <w:style w:type="character" w:customStyle="1" w:styleId="HeaderChar">
    <w:name w:val="Header Char"/>
    <w:basedOn w:val="DefaultParagraphFont"/>
    <w:link w:val="Header"/>
    <w:rsid w:val="00533343"/>
    <w:rPr>
      <w:sz w:val="24"/>
      <w:lang w:val="sl-SI"/>
    </w:rPr>
  </w:style>
  <w:style w:type="paragraph" w:customStyle="1" w:styleId="NormalBold24a">
    <w:name w:val="NormalBold24a"/>
    <w:basedOn w:val="Normal"/>
    <w:rsid w:val="00533343"/>
    <w:pPr>
      <w:spacing w:after="480"/>
    </w:pPr>
    <w:rPr>
      <w:b/>
      <w:bCs/>
    </w:rPr>
  </w:style>
  <w:style w:type="paragraph" w:customStyle="1" w:styleId="EPFooter">
    <w:name w:val="EPFooter"/>
    <w:basedOn w:val="Normal"/>
    <w:rsid w:val="00533343"/>
    <w:pPr>
      <w:tabs>
        <w:tab w:val="center" w:pos="4535"/>
        <w:tab w:val="right" w:pos="9071"/>
      </w:tabs>
      <w:spacing w:before="240" w:after="240"/>
    </w:pPr>
    <w:rPr>
      <w:color w:val="010000"/>
      <w:sz w:val="22"/>
    </w:rPr>
  </w:style>
  <w:style w:type="paragraph" w:customStyle="1" w:styleId="EPComma">
    <w:name w:val="EPComma"/>
    <w:basedOn w:val="Normal"/>
    <w:rsid w:val="00533343"/>
    <w:pPr>
      <w:spacing w:before="480" w:after="240"/>
    </w:pPr>
  </w:style>
  <w:style w:type="character" w:customStyle="1" w:styleId="NormalHanging12aChar">
    <w:name w:val="NormalHanging12a Char"/>
    <w:basedOn w:val="DefaultParagraphFont"/>
    <w:link w:val="NormalHanging12a"/>
    <w:locked/>
    <w:rsid w:val="00533343"/>
    <w:rPr>
      <w:sz w:val="24"/>
      <w:lang w:val="sl-SI"/>
    </w:rPr>
  </w:style>
  <w:style w:type="character" w:styleId="Emphasis">
    <w:name w:val="Emphasis"/>
    <w:basedOn w:val="DefaultParagraphFont"/>
    <w:uiPriority w:val="20"/>
    <w:qFormat/>
    <w:rsid w:val="00533343"/>
    <w:rPr>
      <w:i/>
      <w:iCs/>
    </w:rPr>
  </w:style>
  <w:style w:type="paragraph" w:customStyle="1" w:styleId="Institutionquisigne">
    <w:name w:val="Institution qui signe"/>
    <w:basedOn w:val="Normal"/>
    <w:next w:val="Normal"/>
    <w:rsid w:val="00533343"/>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533343"/>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533343"/>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533343"/>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533343"/>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533343"/>
    <w:pPr>
      <w:widowControl/>
      <w:spacing w:before="120" w:after="120"/>
      <w:ind w:left="709" w:hanging="709"/>
      <w:jc w:val="both"/>
    </w:pPr>
    <w:rPr>
      <w:rFonts w:eastAsiaTheme="minorEastAsia"/>
      <w:szCs w:val="22"/>
      <w:lang w:eastAsia="en-US"/>
    </w:rPr>
  </w:style>
  <w:style w:type="character" w:customStyle="1" w:styleId="PageHeadingChar">
    <w:name w:val="PageHeading Char"/>
    <w:basedOn w:val="DefaultParagraphFont"/>
    <w:link w:val="PageHeading"/>
    <w:rsid w:val="00533343"/>
    <w:rPr>
      <w:rFonts w:ascii="Arial" w:hAnsi="Arial" w:cs="Arial"/>
      <w:b/>
      <w:sz w:val="24"/>
      <w:lang w:val="sl-SI"/>
    </w:rPr>
  </w:style>
  <w:style w:type="paragraph" w:styleId="Footer">
    <w:name w:val="footer"/>
    <w:basedOn w:val="Normal"/>
    <w:link w:val="FooterChar"/>
    <w:rsid w:val="00495D74"/>
    <w:pPr>
      <w:tabs>
        <w:tab w:val="center" w:pos="4513"/>
        <w:tab w:val="right" w:pos="9026"/>
      </w:tabs>
    </w:pPr>
  </w:style>
  <w:style w:type="character" w:customStyle="1" w:styleId="FooterChar">
    <w:name w:val="Footer Char"/>
    <w:basedOn w:val="DefaultParagraphFont"/>
    <w:link w:val="Footer"/>
    <w:rsid w:val="00495D74"/>
    <w:rPr>
      <w:sz w:val="24"/>
      <w:lang w:val="sl-SI"/>
    </w:rPr>
  </w:style>
  <w:style w:type="character" w:styleId="Hyperlink">
    <w:name w:val="Hyperlink"/>
    <w:basedOn w:val="DefaultParagraphFont"/>
    <w:rsid w:val="00495D74"/>
    <w:rPr>
      <w:color w:val="0563C1" w:themeColor="hyperlink"/>
      <w:u w:val="single"/>
    </w:rPr>
  </w:style>
  <w:style w:type="paragraph" w:styleId="BalloonText">
    <w:name w:val="Balloon Text"/>
    <w:basedOn w:val="Normal"/>
    <w:link w:val="BalloonTextChar"/>
    <w:rsid w:val="0060175A"/>
    <w:rPr>
      <w:rFonts w:ascii="Segoe UI" w:hAnsi="Segoe UI" w:cs="Segoe UI"/>
      <w:sz w:val="18"/>
      <w:szCs w:val="18"/>
    </w:rPr>
  </w:style>
  <w:style w:type="character" w:customStyle="1" w:styleId="BalloonTextChar">
    <w:name w:val="Balloon Text Char"/>
    <w:basedOn w:val="DefaultParagraphFont"/>
    <w:link w:val="BalloonText"/>
    <w:rsid w:val="0060175A"/>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8713BE-5D95-4709-A0EE-C94135E9E9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1606</Words>
  <Characters>9447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BAH Anita</cp:lastModifiedBy>
  <cp:revision>2</cp:revision>
  <cp:lastPrinted>2004-11-19T15:42:00Z</cp:lastPrinted>
  <dcterms:created xsi:type="dcterms:W3CDTF">2024-09-05T12:43:00Z</dcterms:created>
  <dcterms:modified xsi:type="dcterms:W3CDTF">2024-09-05T12:43:00Z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P9_TA(2024)0333_</vt:lpwstr>
  </property>
  <property fmtid="{D5CDD505-2E9C-101B-9397-08002B2CF9AE}" pid="4" name="&lt;Type&gt;">
    <vt:lpwstr>RR</vt:lpwstr>
  </property>
</Properties>
</file>