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008C" w14:paraId="5217E953" w14:textId="77777777" w:rsidTr="0010095E">
        <w:trPr>
          <w:trHeight w:hRule="exact" w:val="1418"/>
        </w:trPr>
        <w:tc>
          <w:tcPr>
            <w:tcW w:w="6804" w:type="dxa"/>
            <w:shd w:val="clear" w:color="auto" w:fill="auto"/>
            <w:vAlign w:val="center"/>
          </w:tcPr>
          <w:p w14:paraId="7F4B6EDE" w14:textId="77777777" w:rsidR="00751A4A" w:rsidRPr="0057008C" w:rsidRDefault="00417A44" w:rsidP="0010095E">
            <w:pPr>
              <w:pStyle w:val="EPName"/>
            </w:pPr>
            <w:r w:rsidRPr="0057008C">
              <w:t>Европейски</w:t>
            </w:r>
            <w:r w:rsidR="00992131" w:rsidRPr="0057008C">
              <w:t xml:space="preserve"> парламент</w:t>
            </w:r>
          </w:p>
          <w:p w14:paraId="0BE935AF" w14:textId="77777777" w:rsidR="00751A4A" w:rsidRPr="0057008C" w:rsidRDefault="00417A44" w:rsidP="00756632">
            <w:pPr>
              <w:pStyle w:val="EPTerm"/>
              <w:rPr>
                <w:rStyle w:val="HideTWBExt"/>
                <w:noProof w:val="0"/>
                <w:vanish w:val="0"/>
                <w:color w:val="auto"/>
              </w:rPr>
            </w:pPr>
            <w:r>
              <w:t>2019 – </w:t>
            </w:r>
            <w:r w:rsidR="00817416" w:rsidRPr="0057008C">
              <w:t>2024</w:t>
            </w:r>
          </w:p>
        </w:tc>
        <w:tc>
          <w:tcPr>
            <w:tcW w:w="2268" w:type="dxa"/>
            <w:shd w:val="clear" w:color="auto" w:fill="auto"/>
          </w:tcPr>
          <w:p w14:paraId="0CBD37F2" w14:textId="77777777" w:rsidR="00751A4A" w:rsidRPr="0057008C" w:rsidRDefault="00187494" w:rsidP="0010095E">
            <w:pPr>
              <w:pStyle w:val="EPLogo"/>
            </w:pPr>
            <w:r w:rsidRPr="0057008C">
              <w:rPr>
                <w:noProof/>
                <w:lang w:val="pl-PL" w:eastAsia="pl-PL"/>
              </w:rPr>
              <w:drawing>
                <wp:inline distT="0" distB="0" distL="0" distR="0" wp14:anchorId="0F866B80" wp14:editId="32D6CD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5EE7A5" w14:textId="77777777" w:rsidR="00D058B8" w:rsidRPr="0057008C" w:rsidRDefault="00D058B8" w:rsidP="004C5D52">
      <w:pPr>
        <w:pStyle w:val="LineTop"/>
      </w:pPr>
    </w:p>
    <w:p w14:paraId="25E9A49F" w14:textId="77777777" w:rsidR="00680577" w:rsidRPr="0057008C" w:rsidRDefault="00992131" w:rsidP="00680577">
      <w:pPr>
        <w:pStyle w:val="EPBodyTA1"/>
      </w:pPr>
      <w:r w:rsidRPr="0057008C">
        <w:t>ПРИЕТИ ТЕКСТОВЕ</w:t>
      </w:r>
    </w:p>
    <w:p w14:paraId="0F5D2F06" w14:textId="77777777" w:rsidR="00D058B8" w:rsidRPr="0057008C" w:rsidRDefault="00D058B8" w:rsidP="00D058B8">
      <w:pPr>
        <w:pStyle w:val="LineBottom"/>
      </w:pPr>
    </w:p>
    <w:p w14:paraId="04E1A2B2" w14:textId="0D77DF04" w:rsidR="00992131" w:rsidRPr="0057008C" w:rsidRDefault="00992131" w:rsidP="00992131">
      <w:pPr>
        <w:pStyle w:val="ATHeading1"/>
      </w:pPr>
      <w:bookmarkStart w:id="0" w:name="TANumber"/>
      <w:r w:rsidRPr="0057008C">
        <w:t>P9_TA(2024)0</w:t>
      </w:r>
      <w:r w:rsidR="0002224B">
        <w:t>334</w:t>
      </w:r>
      <w:bookmarkEnd w:id="0"/>
    </w:p>
    <w:p w14:paraId="5F2B2BE7" w14:textId="7793F9BB" w:rsidR="00992131" w:rsidRPr="0057008C" w:rsidRDefault="00B7141D" w:rsidP="00992131">
      <w:pPr>
        <w:pStyle w:val="ATHeading2"/>
      </w:pPr>
      <w:bookmarkStart w:id="1" w:name="title"/>
      <w:r w:rsidRPr="00B7141D">
        <w:t>Мобилизиране на средства от Европейския фонд за приспособяване към глобализацията: Заявление EGF/2024/000 TA 2024 — Техническа помощ по инициатива на Комисията</w:t>
      </w:r>
      <w:bookmarkEnd w:id="1"/>
    </w:p>
    <w:p w14:paraId="16402153" w14:textId="77777777" w:rsidR="00992131" w:rsidRPr="0057008C" w:rsidRDefault="00992131" w:rsidP="00992131">
      <w:pPr>
        <w:rPr>
          <w:i/>
          <w:vanish/>
        </w:rPr>
      </w:pPr>
      <w:r w:rsidRPr="0057008C">
        <w:rPr>
          <w:i/>
        </w:rPr>
        <w:fldChar w:fldCharType="begin"/>
      </w:r>
      <w:r w:rsidRPr="0057008C">
        <w:rPr>
          <w:i/>
        </w:rPr>
        <w:instrText xml:space="preserve"> TC"(</w:instrText>
      </w:r>
      <w:bookmarkStart w:id="2" w:name="DocNumber"/>
      <w:r w:rsidRPr="0057008C">
        <w:rPr>
          <w:i/>
        </w:rPr>
        <w:instrText>A9-0173/2024</w:instrText>
      </w:r>
      <w:bookmarkEnd w:id="2"/>
      <w:r w:rsidRPr="0057008C">
        <w:rPr>
          <w:i/>
        </w:rPr>
        <w:instrText xml:space="preserve"> - Докладчик: </w:instrText>
      </w:r>
      <w:proofErr w:type="spellStart"/>
      <w:r w:rsidRPr="0057008C">
        <w:rPr>
          <w:i/>
        </w:rPr>
        <w:instrText>Маргарида</w:instrText>
      </w:r>
      <w:proofErr w:type="spellEnd"/>
      <w:r w:rsidRPr="0057008C">
        <w:rPr>
          <w:i/>
        </w:rPr>
        <w:instrText xml:space="preserve"> </w:instrText>
      </w:r>
      <w:proofErr w:type="spellStart"/>
      <w:r w:rsidRPr="0057008C">
        <w:rPr>
          <w:i/>
        </w:rPr>
        <w:instrText>Маркеш</w:instrText>
      </w:r>
      <w:proofErr w:type="spellEnd"/>
      <w:r w:rsidRPr="0057008C">
        <w:rPr>
          <w:i/>
        </w:rPr>
        <w:instrText xml:space="preserve">)"\l3 \n&gt; \* MERGEFORMAT </w:instrText>
      </w:r>
      <w:r w:rsidRPr="0057008C">
        <w:rPr>
          <w:i/>
        </w:rPr>
        <w:fldChar w:fldCharType="end"/>
      </w:r>
    </w:p>
    <w:p w14:paraId="354B2FEA" w14:textId="77777777" w:rsidR="00992131" w:rsidRPr="0057008C" w:rsidRDefault="00992131" w:rsidP="00992131">
      <w:pPr>
        <w:rPr>
          <w:vanish/>
        </w:rPr>
      </w:pPr>
      <w:bookmarkStart w:id="3" w:name="Commission"/>
      <w:r w:rsidRPr="0057008C">
        <w:rPr>
          <w:vanish/>
        </w:rPr>
        <w:t>Комисия по бюджети</w:t>
      </w:r>
      <w:bookmarkEnd w:id="3"/>
    </w:p>
    <w:p w14:paraId="2079F7C8" w14:textId="77777777" w:rsidR="00992131" w:rsidRPr="0057008C" w:rsidRDefault="00992131" w:rsidP="00992131">
      <w:pPr>
        <w:rPr>
          <w:vanish/>
        </w:rPr>
      </w:pPr>
      <w:bookmarkStart w:id="4" w:name="PE"/>
      <w:r w:rsidRPr="0057008C">
        <w:rPr>
          <w:vanish/>
        </w:rPr>
        <w:t>PE759.750</w:t>
      </w:r>
      <w:bookmarkEnd w:id="4"/>
    </w:p>
    <w:p w14:paraId="022369FC" w14:textId="07916B6D" w:rsidR="00992131" w:rsidRPr="0057008C" w:rsidRDefault="00992131" w:rsidP="00992131">
      <w:pPr>
        <w:pStyle w:val="ATHeading3"/>
      </w:pPr>
      <w:bookmarkStart w:id="5" w:name="Sujet"/>
      <w:r w:rsidRPr="0057008C">
        <w:t xml:space="preserve">Резолюция на Европейския парламент от </w:t>
      </w:r>
      <w:r w:rsidR="0002224B">
        <w:t>24</w:t>
      </w:r>
      <w:r w:rsidR="00795D86">
        <w:t xml:space="preserve"> април</w:t>
      </w:r>
      <w:r w:rsidR="00795D86" w:rsidRPr="0057008C">
        <w:t xml:space="preserve"> </w:t>
      </w:r>
      <w:r w:rsidRPr="0057008C">
        <w:t>2024 г.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(EGF/2024/000 TA 2024 – Техническа помощ по инициатива на Комисията)</w:t>
      </w:r>
      <w:bookmarkEnd w:id="5"/>
      <w:r w:rsidRPr="0057008C">
        <w:t xml:space="preserve"> </w:t>
      </w:r>
      <w:bookmarkStart w:id="6" w:name="References"/>
      <w:r w:rsidRPr="0057008C">
        <w:t>(COM(2024)0084 – C9-0042/2024 – 2024/0003(BUD))</w:t>
      </w:r>
      <w:bookmarkEnd w:id="6"/>
    </w:p>
    <w:p w14:paraId="23A5901C" w14:textId="77777777" w:rsidR="00923FEF" w:rsidRPr="0057008C" w:rsidRDefault="00923FEF" w:rsidP="00923FEF">
      <w:pPr>
        <w:pStyle w:val="EPComma"/>
        <w:rPr>
          <w:noProof/>
        </w:rPr>
      </w:pPr>
      <w:bookmarkStart w:id="7" w:name="TextBodyBegin"/>
      <w:bookmarkEnd w:id="7"/>
      <w:r w:rsidRPr="0057008C">
        <w:rPr>
          <w:i/>
        </w:rPr>
        <w:t>Европейският парламент</w:t>
      </w:r>
      <w:r w:rsidRPr="0057008C">
        <w:t>,</w:t>
      </w:r>
    </w:p>
    <w:p w14:paraId="2196586B" w14:textId="77777777" w:rsidR="00923FEF" w:rsidRPr="0057008C" w:rsidRDefault="00923FEF" w:rsidP="00923FEF">
      <w:pPr>
        <w:pStyle w:val="NormalHanging12a"/>
        <w:rPr>
          <w:noProof/>
        </w:rPr>
      </w:pPr>
      <w:r w:rsidRPr="0057008C">
        <w:t>–</w:t>
      </w:r>
      <w:r w:rsidRPr="0057008C">
        <w:tab/>
        <w:t>като взе предвид предложението на Комисията до Европейския парламент и Съвета (COM(2024)0084 – C9</w:t>
      </w:r>
      <w:r w:rsidRPr="0057008C">
        <w:noBreakHyphen/>
        <w:t>0042/2024),</w:t>
      </w:r>
    </w:p>
    <w:p w14:paraId="1FCACDF9" w14:textId="77777777" w:rsidR="00923FEF" w:rsidRPr="0057008C" w:rsidRDefault="00923FEF" w:rsidP="00923FEF">
      <w:pPr>
        <w:pStyle w:val="NormalHanging12a"/>
        <w:rPr>
          <w:noProof/>
        </w:rPr>
      </w:pPr>
      <w:r w:rsidRPr="0057008C">
        <w:t>–</w:t>
      </w:r>
      <w:r w:rsidRPr="0057008C">
        <w:tab/>
        <w:t>като взе предвид Регламент (EС) 2021/691 на Европейския парламент и на Съвета от 28 април 2021 г. относно Европейския фонд за приспособяване към глобализацията за съкратени работници (ЕФПГ) и за отмяна на Регламент (ЕС) № 1309/2013</w:t>
      </w:r>
      <w:r w:rsidRPr="0057008C">
        <w:rPr>
          <w:rStyle w:val="FootnoteReference"/>
        </w:rPr>
        <w:footnoteReference w:id="1"/>
      </w:r>
      <w:r w:rsidRPr="0057008C">
        <w:t xml:space="preserve"> („Регламент за ЕФПГ“),</w:t>
      </w:r>
    </w:p>
    <w:p w14:paraId="424C9FC6" w14:textId="77777777" w:rsidR="00923FEF" w:rsidRPr="0057008C" w:rsidRDefault="00923FEF" w:rsidP="00923FEF">
      <w:pPr>
        <w:pStyle w:val="NormalHanging12a"/>
      </w:pPr>
      <w:r w:rsidRPr="0057008C">
        <w:t>–</w:t>
      </w:r>
      <w:r w:rsidRPr="0057008C">
        <w:tab/>
        <w:t>като взе предвид Регламент (EC, Евратом) 2020/2093 на Съвета от 17 декември 2020 г. за определяне на многогодишната финансова рамка за годините 2021 – 2027</w:t>
      </w:r>
      <w:r w:rsidRPr="0057008C">
        <w:rPr>
          <w:rStyle w:val="FootnoteReference"/>
        </w:rPr>
        <w:footnoteReference w:id="2"/>
      </w:r>
      <w:r w:rsidRPr="0057008C">
        <w:t>, изменен с Регламент (ЕС, Евратом) 2024/765</w:t>
      </w:r>
      <w:r w:rsidRPr="0057008C">
        <w:rPr>
          <w:rStyle w:val="FootnoteReference"/>
          <w:bdr w:val="none" w:sz="0" w:space="0" w:color="auto" w:frame="1"/>
        </w:rPr>
        <w:footnoteReference w:id="3"/>
      </w:r>
      <w:r w:rsidRPr="0057008C">
        <w:t>, и по-специално член 8 от него,</w:t>
      </w:r>
    </w:p>
    <w:p w14:paraId="109A525D" w14:textId="77777777" w:rsidR="00923FEF" w:rsidRPr="0057008C" w:rsidRDefault="00923FEF" w:rsidP="00923FEF">
      <w:pPr>
        <w:pStyle w:val="NormalHanging12a"/>
      </w:pPr>
      <w:r w:rsidRPr="0057008C">
        <w:t>–</w:t>
      </w:r>
      <w:r w:rsidRPr="0057008C">
        <w:tab/>
        <w:t xml:space="preserve">като взе предвид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 </w:t>
      </w:r>
      <w:r w:rsidRPr="0057008C">
        <w:lastRenderedPageBreak/>
        <w:t>включително пътна карта за въвеждането на нови собствени ресурси</w:t>
      </w:r>
      <w:r w:rsidRPr="0057008C">
        <w:rPr>
          <w:rStyle w:val="FootnoteReference"/>
        </w:rPr>
        <w:footnoteReference w:id="4"/>
      </w:r>
      <w:r w:rsidRPr="0057008C">
        <w:t>, и по-специално точка 9 от него,</w:t>
      </w:r>
    </w:p>
    <w:p w14:paraId="0B566EB0" w14:textId="77777777" w:rsidR="00923FEF" w:rsidRPr="0057008C" w:rsidRDefault="00923FEF" w:rsidP="00923FEF">
      <w:pPr>
        <w:pStyle w:val="NormalHanging12a"/>
      </w:pPr>
      <w:r w:rsidRPr="0057008C">
        <w:t>–</w:t>
      </w:r>
      <w:r w:rsidRPr="0057008C">
        <w:tab/>
        <w:t>като взе предвид доклада на комисията по бюджети (A9-0173/2024),</w:t>
      </w:r>
    </w:p>
    <w:p w14:paraId="0DE1128F" w14:textId="77777777" w:rsidR="00923FEF" w:rsidRPr="0057008C" w:rsidRDefault="00923FEF" w:rsidP="00923FEF">
      <w:pPr>
        <w:spacing w:after="240"/>
        <w:ind w:left="567" w:hanging="567"/>
      </w:pPr>
      <w:r w:rsidRPr="0057008C">
        <w:t>А.</w:t>
      </w:r>
      <w:r w:rsidRPr="0057008C">
        <w:tab/>
        <w:t>като има предвид, че Съюзът създаде законодателни и бюджетни инструменти за предоставяне на допълнителна подкрепа на работниците, които са засегнати от последиците от глобализацията и от технологичните и екологичните промени, като например промени в моделите на световната търговия, търговски спорове, значителни промени в търговските отношения на Съюза или в състава на вътрешния пазар, финансови или икономически кризи, както и от прехода към нисковъглеродна икономика или вследствие на цифровизацията или автоматизацията;</w:t>
      </w:r>
    </w:p>
    <w:p w14:paraId="0E91A968" w14:textId="509313C9" w:rsidR="00923FEF" w:rsidRPr="0057008C" w:rsidRDefault="00923FEF" w:rsidP="00923FEF">
      <w:pPr>
        <w:spacing w:after="240"/>
        <w:ind w:left="567" w:hanging="567"/>
        <w:rPr>
          <w:bdr w:val="none" w:sz="0" w:space="0" w:color="auto" w:frame="1"/>
        </w:rPr>
      </w:pPr>
      <w:r w:rsidRPr="0057008C">
        <w:rPr>
          <w:bdr w:val="none" w:sz="0" w:space="0" w:color="auto" w:frame="1"/>
        </w:rPr>
        <w:t>Б.</w:t>
      </w:r>
      <w:r w:rsidRPr="0057008C">
        <w:rPr>
          <w:bdr w:val="none" w:sz="0" w:space="0" w:color="auto" w:frame="1"/>
        </w:rPr>
        <w:tab/>
      </w:r>
      <w:r w:rsidRPr="0057008C">
        <w:t>като има предвид, че помощта на Съюза за съкратените работници следва да бъде насочена предимно към активни мерки на политиката на пазара на труда и персонализирани услуги, които имат за цел бързото повторно интегриране на бенефициерите в достойна и устойчива заетост, като същевременно ги подготвят за по-екологична и по-цифровизирана европейска икономика, при надлежно спазване на Междуинституционалното споразумение от 16 декември 2020 г. по отношение на приемането на решения за мобилизиране на ЕФПГ;</w:t>
      </w:r>
    </w:p>
    <w:p w14:paraId="051CA9C4" w14:textId="77777777" w:rsidR="00923FEF" w:rsidRPr="0057008C" w:rsidRDefault="00923FEF" w:rsidP="00923FEF">
      <w:pPr>
        <w:spacing w:after="240"/>
        <w:ind w:left="567" w:hanging="567"/>
      </w:pPr>
      <w:r w:rsidRPr="0057008C">
        <w:t>В.</w:t>
      </w:r>
      <w:r w:rsidRPr="0057008C">
        <w:tab/>
        <w:t>като има предвид, че Съюзът първо разшири обхвата на ЕФПГ, за да може да предоставя финансова подкрепа в случай на големи преструктурирания, като по този начин обхвана икономическите последици от кризата с COVID-19;</w:t>
      </w:r>
    </w:p>
    <w:p w14:paraId="37A97369" w14:textId="77777777" w:rsidR="00923FEF" w:rsidRPr="0057008C" w:rsidRDefault="00923FEF" w:rsidP="00923FEF">
      <w:pPr>
        <w:spacing w:after="240"/>
        <w:ind w:left="567" w:hanging="567"/>
        <w:rPr>
          <w:bdr w:val="none" w:sz="0" w:space="0" w:color="auto" w:frame="1"/>
        </w:rPr>
      </w:pPr>
      <w:r w:rsidRPr="0057008C">
        <w:rPr>
          <w:bdr w:val="none" w:sz="0" w:space="0" w:color="auto" w:frame="1"/>
        </w:rPr>
        <w:t>Г.</w:t>
      </w:r>
      <w:r w:rsidRPr="0057008C">
        <w:rPr>
          <w:bdr w:val="none" w:sz="0" w:space="0" w:color="auto" w:frame="1"/>
        </w:rPr>
        <w:tab/>
      </w:r>
      <w:r w:rsidRPr="0057008C">
        <w:t>като има предвид, че приемането на новия Регламент за ЕФПГ през 2021 г. допълнително разшири обхвата на ЕФПГ, като включи в него големи преструктурирания, причинени от прехода към нисковъглеродна икономика или вследствие на цифровизацията или автоматизацията, като същевременно намали необходимия праг за активиране на ЕФПГ от 500 на 200 съкратени работници;</w:t>
      </w:r>
    </w:p>
    <w:p w14:paraId="7ABD4740" w14:textId="77777777" w:rsidR="00923FEF" w:rsidRPr="0057008C" w:rsidRDefault="00923FEF" w:rsidP="00923FEF">
      <w:pPr>
        <w:spacing w:after="240"/>
        <w:ind w:left="567" w:hanging="567"/>
        <w:rPr>
          <w:bdr w:val="none" w:sz="0" w:space="0" w:color="auto" w:frame="1"/>
        </w:rPr>
      </w:pPr>
      <w:r w:rsidRPr="0057008C">
        <w:rPr>
          <w:bdr w:val="none" w:sz="0" w:space="0" w:color="auto" w:frame="1"/>
        </w:rPr>
        <w:t>Д.</w:t>
      </w:r>
      <w:r w:rsidRPr="0057008C">
        <w:rPr>
          <w:bdr w:val="none" w:sz="0" w:space="0" w:color="auto" w:frame="1"/>
        </w:rPr>
        <w:tab/>
        <w:t xml:space="preserve">като има предвид, че с преразглеждането на МФР максималният годишен размер на ЕФПГ е съкратен от 186 милиона евро на 30 милиона евро (по цени от 2018 г.), както е посочено в член 8 от Регламент (ЕС, Евратом) 2020/2093 на Съвета, изменен с Регламент (ЕС, Евратом) 2024/765; </w:t>
      </w:r>
      <w:r w:rsidRPr="0057008C">
        <w:t>като има предвид, че Комисията следва да наблюдава прилагането на ЕФПГ и че всички институции следва да предприемат необходимите мерки, за да се гарантира, че всички основателни искания за подкрепа от ЕФПГ като проява на солидарност от страна на Съюза, могат да бъдат удовлетворени;</w:t>
      </w:r>
    </w:p>
    <w:p w14:paraId="4A6366B9" w14:textId="77777777" w:rsidR="00923FEF" w:rsidRPr="0057008C" w:rsidRDefault="00923FEF" w:rsidP="00923FEF">
      <w:pPr>
        <w:spacing w:after="240"/>
        <w:ind w:left="567" w:hanging="567"/>
        <w:rPr>
          <w:bdr w:val="none" w:sz="0" w:space="0" w:color="auto" w:frame="1"/>
        </w:rPr>
      </w:pPr>
      <w:r w:rsidRPr="0057008C">
        <w:rPr>
          <w:bdr w:val="none" w:sz="0" w:space="0" w:color="auto" w:frame="1"/>
        </w:rPr>
        <w:t>Е.</w:t>
      </w:r>
      <w:r w:rsidRPr="0057008C">
        <w:rPr>
          <w:bdr w:val="none" w:sz="0" w:space="0" w:color="auto" w:frame="1"/>
        </w:rPr>
        <w:tab/>
      </w:r>
      <w:r w:rsidRPr="0057008C">
        <w:t>като има предвид, че съгласно член 11, параграф 1 от Регламента за ЕФПГ 0,5% от тази сума могат да бъдат предоставени за техническа помощ по инициатива на Комисията;</w:t>
      </w:r>
    </w:p>
    <w:p w14:paraId="6268A670" w14:textId="77777777" w:rsidR="00923FEF" w:rsidRPr="0057008C" w:rsidRDefault="00923FEF" w:rsidP="00923FEF">
      <w:pPr>
        <w:spacing w:after="240"/>
        <w:ind w:left="567" w:hanging="567"/>
        <w:rPr>
          <w:bdr w:val="none" w:sz="0" w:space="0" w:color="auto" w:frame="1"/>
        </w:rPr>
      </w:pPr>
      <w:r w:rsidRPr="0057008C">
        <w:rPr>
          <w:bdr w:val="none" w:sz="0" w:space="0" w:color="auto" w:frame="1"/>
        </w:rPr>
        <w:t>Ж.</w:t>
      </w:r>
      <w:r w:rsidRPr="0057008C">
        <w:rPr>
          <w:bdr w:val="none" w:sz="0" w:space="0" w:color="auto" w:frame="1"/>
        </w:rPr>
        <w:tab/>
        <w:t xml:space="preserve">като има предвид, че техническата помощ може да се поиска за технически и административни разходи за прилагането на ЕФПГ, като например дейности за подготовка, мониторинг, контрол, одит и оценка, както и събиране на данни, включително във връзка с корпоративни информационни системи, комуникационни дейности и дейности за повишаване на видимостта на ЕФПГ – </w:t>
      </w:r>
      <w:r w:rsidRPr="0057008C">
        <w:rPr>
          <w:bdr w:val="none" w:sz="0" w:space="0" w:color="auto" w:frame="1"/>
        </w:rPr>
        <w:lastRenderedPageBreak/>
        <w:t>като фонд или във връзка със специфични проекти и други мерки за техническа помощ;</w:t>
      </w:r>
    </w:p>
    <w:p w14:paraId="63C611B8" w14:textId="77777777" w:rsidR="00923FEF" w:rsidRPr="0057008C" w:rsidRDefault="00923FEF" w:rsidP="00923FEF">
      <w:pPr>
        <w:spacing w:after="240"/>
        <w:ind w:left="567" w:hanging="567"/>
        <w:rPr>
          <w:bdr w:val="none" w:sz="0" w:space="0" w:color="auto" w:frame="1"/>
        </w:rPr>
      </w:pPr>
      <w:r w:rsidRPr="0057008C">
        <w:rPr>
          <w:bdr w:val="none" w:sz="0" w:space="0" w:color="auto" w:frame="1"/>
        </w:rPr>
        <w:t>З.</w:t>
      </w:r>
      <w:r w:rsidRPr="0057008C">
        <w:rPr>
          <w:bdr w:val="none" w:sz="0" w:space="0" w:color="auto" w:frame="1"/>
        </w:rPr>
        <w:tab/>
      </w:r>
      <w:r w:rsidRPr="0057008C">
        <w:t>като има предвид, че предложената сума в размер на 165 000 EUR съответства на около 0,49% от максималния годишен бюджет, предвиден за ЕФПГ за 2024 г.;</w:t>
      </w:r>
    </w:p>
    <w:p w14:paraId="40A2A36C" w14:textId="77777777" w:rsidR="00923FEF" w:rsidRPr="0057008C" w:rsidRDefault="00923FEF" w:rsidP="00923FEF">
      <w:pPr>
        <w:spacing w:after="240"/>
        <w:ind w:left="567" w:hanging="567"/>
        <w:rPr>
          <w:bdr w:val="none" w:sz="0" w:space="0" w:color="auto" w:frame="1"/>
        </w:rPr>
      </w:pPr>
      <w:r w:rsidRPr="0057008C">
        <w:rPr>
          <w:bdr w:val="none" w:sz="0" w:space="0" w:color="auto" w:frame="1"/>
        </w:rPr>
        <w:t>1.</w:t>
      </w:r>
      <w:r w:rsidRPr="0057008C">
        <w:rPr>
          <w:bdr w:val="none" w:sz="0" w:space="0" w:color="auto" w:frame="1"/>
        </w:rPr>
        <w:tab/>
        <w:t>изразява съгласие за мобилизирането на 165 000 EUR и предложените от Комисията мерки да бъдат финансирани като техническа помощ в съответствие с член 11, параграфи 1 и 4, както и с член 12, параграфи 2, 3 и 4 от Регламента за ЕФПГ;</w:t>
      </w:r>
    </w:p>
    <w:p w14:paraId="3A644F6F" w14:textId="77777777" w:rsidR="00923FEF" w:rsidRPr="0057008C" w:rsidRDefault="00923FEF" w:rsidP="00923FEF">
      <w:pPr>
        <w:spacing w:after="240"/>
        <w:ind w:left="567" w:hanging="567"/>
      </w:pPr>
      <w:r w:rsidRPr="0057008C">
        <w:t>2.</w:t>
      </w:r>
      <w:r w:rsidRPr="0057008C">
        <w:tab/>
        <w:t>приветства продължаващата работа по въвеждането на стандартизирани процедури за управление на ЕФПГ и за обработване на заявленията по ЕФПГ чрез използване на функционалните възможности на общата система за споделено управление на фондове (</w:t>
      </w:r>
      <w:proofErr w:type="spellStart"/>
      <w:r w:rsidRPr="0057008C">
        <w:t>Shared</w:t>
      </w:r>
      <w:proofErr w:type="spellEnd"/>
      <w:r w:rsidRPr="0057008C">
        <w:t xml:space="preserve"> </w:t>
      </w:r>
      <w:proofErr w:type="spellStart"/>
      <w:r w:rsidRPr="0057008C">
        <w:t>Fund</w:t>
      </w:r>
      <w:proofErr w:type="spellEnd"/>
      <w:r w:rsidRPr="0057008C">
        <w:t xml:space="preserve"> Management </w:t>
      </w:r>
      <w:proofErr w:type="spellStart"/>
      <w:r w:rsidRPr="0057008C">
        <w:t>Common</w:t>
      </w:r>
      <w:proofErr w:type="spellEnd"/>
      <w:r w:rsidRPr="0057008C">
        <w:t xml:space="preserve"> </w:t>
      </w:r>
      <w:proofErr w:type="spellStart"/>
      <w:r w:rsidRPr="0057008C">
        <w:t>System</w:t>
      </w:r>
      <w:proofErr w:type="spellEnd"/>
      <w:r w:rsidRPr="0057008C">
        <w:t> – SFC), което дава възможност за опростяване и по-бърза обработка на заявленията, както и за по-добро докладване;</w:t>
      </w:r>
    </w:p>
    <w:p w14:paraId="35483010" w14:textId="77777777" w:rsidR="00923FEF" w:rsidRPr="0057008C" w:rsidRDefault="00923FEF" w:rsidP="00923FEF">
      <w:pPr>
        <w:spacing w:after="240"/>
        <w:ind w:left="567" w:hanging="567"/>
      </w:pPr>
      <w:r w:rsidRPr="0057008C">
        <w:t>3.</w:t>
      </w:r>
      <w:r w:rsidRPr="0057008C">
        <w:tab/>
        <w:t>отбелязва, че Комисията ще използва предназначения за административна подкрепа бюджет за провеждане на заседания на експертната група на лицата за контакт за ЕФПГ (по двама членове от всяка държава членка) и на един семинар с участието на изпълнителните органи по ЕФПГ и социалните партньори, с цел да насърчи работата в мрежа между държавите членки; призовава Комисията да продължи систематично да кани Парламента на тези заседания и семинари съгласно съответните разпоредби на Рамковото споразумение за отношенията между Парламента и Комисията;</w:t>
      </w:r>
    </w:p>
    <w:p w14:paraId="2D68AE61" w14:textId="77777777" w:rsidR="00923FEF" w:rsidRPr="0057008C" w:rsidRDefault="00923FEF" w:rsidP="00923FEF">
      <w:pPr>
        <w:spacing w:after="240"/>
        <w:ind w:left="567" w:hanging="567"/>
      </w:pPr>
      <w:r w:rsidRPr="0057008C">
        <w:t>4.</w:t>
      </w:r>
      <w:r w:rsidRPr="0057008C">
        <w:tab/>
        <w:t>призовава Комисията да адаптира най-добрите практики, разработени по време на пандемията от COVID-19, по-специално мерките, които могат да спомогнат за ускоряване на един приобщаващ екологичен и цифров преход и да подкрепят основни приоритети на Съюза, като например равенството между половете;</w:t>
      </w:r>
    </w:p>
    <w:p w14:paraId="23F68D8A" w14:textId="77777777" w:rsidR="00923FEF" w:rsidRPr="0057008C" w:rsidRDefault="00923FEF" w:rsidP="00923FEF">
      <w:pPr>
        <w:spacing w:after="240"/>
        <w:ind w:left="567" w:hanging="567"/>
      </w:pPr>
      <w:r w:rsidRPr="0057008C">
        <w:t>5.</w:t>
      </w:r>
      <w:r w:rsidRPr="0057008C">
        <w:tab/>
        <w:t xml:space="preserve">подчертава, че е необходимо по-нататъшно укрепване на общата осведоменост и видимостта на ЕФПГ; посочва, че за тази цел информация за ЕФПГ може да бъде включена в различни публикации и аудио-визуални дейности на Комисията, както е предвидено в член 11, параграф 1 от Регламента за ЕФПГ; </w:t>
      </w:r>
      <w:r w:rsidRPr="0057008C">
        <w:rPr>
          <w:bdr w:val="none" w:sz="0" w:space="0" w:color="auto" w:frame="1"/>
        </w:rPr>
        <w:t>приветства в този контекст поддържането на специален уебсайт за ЕФПГ и призовава Комисията редовно да го актуализира и разширява, за да се повиши видимостта за широката общественост на проявената от ЕФПГ европейска солидарност и да се увеличи прозрачността на действията на Съюза;</w:t>
      </w:r>
    </w:p>
    <w:p w14:paraId="44A0B9DB" w14:textId="77777777" w:rsidR="00923FEF" w:rsidRPr="0057008C" w:rsidRDefault="00923FEF" w:rsidP="00923FEF">
      <w:pPr>
        <w:spacing w:after="240"/>
        <w:ind w:left="567" w:hanging="567"/>
      </w:pPr>
      <w:r w:rsidRPr="0057008C">
        <w:t>6.</w:t>
      </w:r>
      <w:r w:rsidRPr="0057008C">
        <w:tab/>
        <w:t>припомня на кандидатстващите държави членки тяхната ключова роля за широкото разпространение на информация за финансираните от ЕФПГ действия сред бенефициерите от целевата група, местните и регионалните органи, социалните партньори, медиите и широката общественост, както е посочено в член 12 от Регламента за ЕФПГ;</w:t>
      </w:r>
    </w:p>
    <w:p w14:paraId="6506CE6A" w14:textId="77777777" w:rsidR="00923FEF" w:rsidRPr="0057008C" w:rsidRDefault="00923FEF" w:rsidP="00923FEF">
      <w:pPr>
        <w:spacing w:after="240"/>
        <w:ind w:left="567" w:hanging="567"/>
      </w:pPr>
      <w:r w:rsidRPr="0057008C">
        <w:t>7.</w:t>
      </w:r>
      <w:r w:rsidRPr="0057008C">
        <w:tab/>
        <w:t>одобрява приложеното към настоящата резолюция решение;</w:t>
      </w:r>
    </w:p>
    <w:p w14:paraId="512999C4" w14:textId="77777777" w:rsidR="00923FEF" w:rsidRPr="0057008C" w:rsidRDefault="00923FEF" w:rsidP="00923FEF">
      <w:pPr>
        <w:spacing w:after="240"/>
        <w:ind w:left="567" w:hanging="567"/>
        <w:rPr>
          <w:rFonts w:ascii="Arial Unicode MS" w:hAnsi="Arial Unicode MS"/>
          <w:bdr w:val="none" w:sz="0" w:space="0" w:color="auto" w:frame="1"/>
        </w:rPr>
      </w:pPr>
      <w:r w:rsidRPr="0057008C">
        <w:t>8.</w:t>
      </w:r>
      <w:r w:rsidRPr="0057008C">
        <w:tab/>
      </w:r>
      <w:r w:rsidRPr="0057008C">
        <w:rPr>
          <w:bdr w:val="none" w:sz="0" w:space="0" w:color="auto" w:frame="1"/>
        </w:rPr>
        <w:t xml:space="preserve">възлага на своя председател да подпише настоящото решение заедно с председателя на Съвета и да осигури публикуването му в </w:t>
      </w:r>
      <w:r w:rsidRPr="0057008C">
        <w:rPr>
          <w:i/>
          <w:iCs/>
          <w:bdr w:val="none" w:sz="0" w:space="0" w:color="auto" w:frame="1"/>
        </w:rPr>
        <w:t>Официален вестник на Европейския съюз</w:t>
      </w:r>
      <w:r w:rsidRPr="0057008C">
        <w:rPr>
          <w:bdr w:val="none" w:sz="0" w:space="0" w:color="auto" w:frame="1"/>
        </w:rPr>
        <w:t>;</w:t>
      </w:r>
    </w:p>
    <w:p w14:paraId="43FCC533" w14:textId="77777777" w:rsidR="00923FEF" w:rsidRPr="0057008C" w:rsidRDefault="00923FEF" w:rsidP="00795D86">
      <w:pPr>
        <w:spacing w:after="240"/>
        <w:ind w:left="567" w:hanging="567"/>
        <w:rPr>
          <w:noProof/>
        </w:rPr>
      </w:pPr>
      <w:r w:rsidRPr="0057008C">
        <w:rPr>
          <w:bdr w:val="none" w:sz="0" w:space="0" w:color="auto" w:frame="1"/>
        </w:rPr>
        <w:lastRenderedPageBreak/>
        <w:t>9.</w:t>
      </w:r>
      <w:r w:rsidRPr="0057008C">
        <w:rPr>
          <w:bdr w:val="none" w:sz="0" w:space="0" w:color="auto" w:frame="1"/>
        </w:rPr>
        <w:tab/>
        <w:t>възлага на своя председател да предаде настоящата резолюция, включително и приложението към нея, съответно на Съвета и на Комисията.</w:t>
      </w:r>
    </w:p>
    <w:p w14:paraId="53261CED" w14:textId="77777777" w:rsidR="00923FEF" w:rsidRPr="0057008C" w:rsidRDefault="00923FEF" w:rsidP="00923FEF">
      <w:pPr>
        <w:pStyle w:val="PageHeading"/>
        <w:rPr>
          <w:noProof/>
        </w:rPr>
        <w:sectPr w:rsidR="00923FEF" w:rsidRPr="0057008C" w:rsidSect="0057008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B2D61EE" w14:textId="77777777" w:rsidR="00BA7B3E" w:rsidRPr="00BA7B3E" w:rsidRDefault="00923FEF" w:rsidP="00923FEF">
      <w:pPr>
        <w:pStyle w:val="PageHeading"/>
        <w:rPr>
          <w:rFonts w:ascii="Times New Roman" w:hAnsi="Times New Roman" w:cs="Times New Roman"/>
        </w:rPr>
      </w:pPr>
      <w:bookmarkStart w:id="9" w:name="_Toc164342399"/>
      <w:r w:rsidRPr="00BA7B3E">
        <w:rPr>
          <w:rFonts w:ascii="Times New Roman" w:hAnsi="Times New Roman" w:cs="Times New Roman"/>
        </w:rPr>
        <w:lastRenderedPageBreak/>
        <w:t>ПРИЛОЖЕНИЕ</w:t>
      </w:r>
    </w:p>
    <w:p w14:paraId="7830A369" w14:textId="392C14F9" w:rsidR="00923FEF" w:rsidRPr="00BA7B3E" w:rsidRDefault="00923FEF" w:rsidP="00923FEF">
      <w:pPr>
        <w:pStyle w:val="PageHeading"/>
        <w:rPr>
          <w:rFonts w:ascii="Times New Roman" w:hAnsi="Times New Roman" w:cs="Times New Roman"/>
          <w:noProof/>
        </w:rPr>
      </w:pPr>
      <w:r w:rsidRPr="00BA7B3E">
        <w:rPr>
          <w:rFonts w:ascii="Times New Roman" w:hAnsi="Times New Roman" w:cs="Times New Roman"/>
        </w:rPr>
        <w:t>РЕШЕНИЕ НА ЕВРОПЕЙСКИЯ ПАРЛАМЕНТ И НА СЪВЕТА</w:t>
      </w:r>
      <w:bookmarkEnd w:id="9"/>
    </w:p>
    <w:p w14:paraId="7CF9E1E3" w14:textId="3E4FF2DE" w:rsidR="00923FEF" w:rsidRDefault="00923FEF" w:rsidP="00923FEF">
      <w:pPr>
        <w:pStyle w:val="Titreobjet"/>
      </w:pPr>
      <w:r w:rsidRPr="0057008C">
        <w:t>за мобилизиране на средства от Европейския фонд за приспособяване към глобализацията за съкратени работници (EGF/2024/000 TA 2024 – Техническа помощ по инициатива на Комисията)</w:t>
      </w:r>
    </w:p>
    <w:p w14:paraId="147DDE42" w14:textId="79847A3C" w:rsidR="00923FEF" w:rsidRPr="0057008C" w:rsidRDefault="00BA7B3E" w:rsidP="00BA7B3E">
      <w:r w:rsidRPr="0051470D">
        <w:rPr>
          <w:i/>
          <w:szCs w:val="24"/>
          <w:lang w:eastAsia="de-DE"/>
        </w:rPr>
        <w:t>(Текстът на това приложение не е възпроизведен тук, тъй като той съответства на окончател</w:t>
      </w:r>
      <w:r w:rsidRPr="00BA7B3E">
        <w:rPr>
          <w:i/>
          <w:szCs w:val="24"/>
          <w:lang w:eastAsia="de-DE"/>
        </w:rPr>
        <w:t xml:space="preserve">ния акт, Решение </w:t>
      </w:r>
      <w:r w:rsidRPr="00BA7B3E">
        <w:rPr>
          <w:i/>
          <w:szCs w:val="24"/>
          <w:lang w:val="lt-LT" w:eastAsia="de-DE"/>
        </w:rPr>
        <w:t>(</w:t>
      </w:r>
      <w:r w:rsidRPr="00BA7B3E">
        <w:rPr>
          <w:i/>
          <w:szCs w:val="24"/>
          <w:lang w:eastAsia="de-DE"/>
        </w:rPr>
        <w:t>ЕС</w:t>
      </w:r>
      <w:r w:rsidRPr="00BA7B3E">
        <w:rPr>
          <w:i/>
          <w:szCs w:val="24"/>
          <w:lang w:val="lt-LT" w:eastAsia="de-DE"/>
        </w:rPr>
        <w:t xml:space="preserve">) </w:t>
      </w:r>
      <w:r w:rsidRPr="00BA7B3E">
        <w:rPr>
          <w:i/>
          <w:iCs/>
          <w:szCs w:val="24"/>
          <w:lang w:val="lt-LT"/>
        </w:rPr>
        <w:t>2024/1300</w:t>
      </w:r>
      <w:r w:rsidRPr="00BA7B3E">
        <w:rPr>
          <w:i/>
          <w:szCs w:val="24"/>
          <w:lang w:eastAsia="de-DE"/>
        </w:rPr>
        <w:t>.)</w:t>
      </w:r>
    </w:p>
    <w:sectPr w:rsidR="00923FEF" w:rsidRPr="0057008C" w:rsidSect="0057008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55C8C1" w14:textId="77777777" w:rsidR="00992131" w:rsidRPr="0057008C" w:rsidRDefault="00992131">
      <w:r w:rsidRPr="0057008C">
        <w:separator/>
      </w:r>
    </w:p>
  </w:endnote>
  <w:endnote w:type="continuationSeparator" w:id="0">
    <w:p w14:paraId="64A44BF3" w14:textId="77777777" w:rsidR="00992131" w:rsidRPr="0057008C" w:rsidRDefault="00992131">
      <w:r w:rsidRPr="005700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08423" w14:textId="77777777" w:rsidR="00923FEF" w:rsidRPr="0057008C" w:rsidRDefault="00923FEF" w:rsidP="00472387">
    <w:pPr>
      <w:pStyle w:val="EPFooter"/>
    </w:pPr>
    <w:r w:rsidRPr="0057008C">
      <w:t>PE</w:t>
    </w:r>
    <w:r w:rsidRPr="0057008C">
      <w:rPr>
        <w:rStyle w:val="HideTWBExt"/>
      </w:rPr>
      <w:t>&lt;</w:t>
    </w:r>
    <w:proofErr w:type="spellStart"/>
    <w:r w:rsidRPr="0057008C">
      <w:rPr>
        <w:rStyle w:val="HideTWBExt"/>
      </w:rPr>
      <w:t>NoPE</w:t>
    </w:r>
    <w:proofErr w:type="spellEnd"/>
    <w:r w:rsidRPr="0057008C">
      <w:rPr>
        <w:rStyle w:val="HideTWBExt"/>
      </w:rPr>
      <w:t>&gt;</w:t>
    </w:r>
    <w:r w:rsidRPr="0057008C">
      <w:t>759.750</w:t>
    </w:r>
    <w:r w:rsidRPr="0057008C">
      <w:rPr>
        <w:rStyle w:val="HideTWBExt"/>
      </w:rPr>
      <w:t>&lt;/</w:t>
    </w:r>
    <w:proofErr w:type="spellStart"/>
    <w:r w:rsidRPr="0057008C">
      <w:rPr>
        <w:rStyle w:val="HideTWBExt"/>
      </w:rPr>
      <w:t>NoPE</w:t>
    </w:r>
    <w:proofErr w:type="spellEnd"/>
    <w:r w:rsidRPr="0057008C">
      <w:rPr>
        <w:rStyle w:val="HideTWBExt"/>
      </w:rPr>
      <w:t>&gt;&lt;Version&gt;</w:t>
    </w:r>
    <w:r w:rsidRPr="0057008C">
      <w:t>v02-00</w:t>
    </w:r>
    <w:r w:rsidRPr="0057008C">
      <w:rPr>
        <w:rStyle w:val="HideTWBExt"/>
      </w:rPr>
      <w:t>&lt;/</w:t>
    </w:r>
    <w:proofErr w:type="spellStart"/>
    <w:r w:rsidRPr="0057008C">
      <w:rPr>
        <w:rStyle w:val="HideTWBExt"/>
      </w:rPr>
      <w:t>Version</w:t>
    </w:r>
    <w:proofErr w:type="spellEnd"/>
    <w:r w:rsidRPr="0057008C">
      <w:rPr>
        <w:rStyle w:val="HideTWBExt"/>
      </w:rPr>
      <w:t>&gt;</w:t>
    </w:r>
    <w:r w:rsidRPr="0057008C">
      <w:tab/>
    </w:r>
    <w:r w:rsidRPr="0057008C">
      <w:fldChar w:fldCharType="begin"/>
    </w:r>
    <w:r w:rsidRPr="0057008C">
      <w:instrText xml:space="preserve"> PAGE  \* MERGEFORMAT </w:instrText>
    </w:r>
    <w:r w:rsidRPr="0057008C">
      <w:fldChar w:fldCharType="separate"/>
    </w:r>
    <w:r w:rsidR="0057008C" w:rsidRPr="0057008C">
      <w:rPr>
        <w:noProof/>
      </w:rPr>
      <w:t>2</w:t>
    </w:r>
    <w:r w:rsidRPr="0057008C">
      <w:fldChar w:fldCharType="end"/>
    </w:r>
    <w:r w:rsidRPr="0057008C">
      <w:t>/</w:t>
    </w:r>
    <w:fldSimple w:instr=" NUMPAGES  \* MERGEFORMAT ">
      <w:r w:rsidR="0057008C" w:rsidRPr="0057008C">
        <w:rPr>
          <w:noProof/>
        </w:rPr>
        <w:t>7</w:t>
      </w:r>
    </w:fldSimple>
    <w:r w:rsidRPr="0057008C">
      <w:tab/>
    </w:r>
    <w:r w:rsidRPr="0057008C">
      <w:rPr>
        <w:rStyle w:val="HideTWBExt"/>
      </w:rPr>
      <w:t>&lt;PathFdR&gt;</w:t>
    </w:r>
    <w:r w:rsidRPr="0057008C">
      <w:t>RR\1300716BG.docx</w:t>
    </w:r>
    <w:r w:rsidRPr="0057008C">
      <w:rPr>
        <w:rStyle w:val="HideTWBExt"/>
      </w:rPr>
      <w:t>&lt;/</w:t>
    </w:r>
    <w:proofErr w:type="spellStart"/>
    <w:r w:rsidRPr="0057008C">
      <w:rPr>
        <w:rStyle w:val="HideTWBExt"/>
      </w:rPr>
      <w:t>PathFdR</w:t>
    </w:r>
    <w:proofErr w:type="spellEnd"/>
    <w:r w:rsidRPr="0057008C">
      <w:rPr>
        <w:rStyle w:val="HideTWBExt"/>
      </w:rPr>
      <w:t>&gt;</w:t>
    </w:r>
  </w:p>
  <w:p w14:paraId="2159FB79" w14:textId="77777777" w:rsidR="00923FEF" w:rsidRPr="0057008C" w:rsidRDefault="00923FEF" w:rsidP="00472387">
    <w:pPr>
      <w:pStyle w:val="EPFooter2"/>
    </w:pPr>
    <w:r w:rsidRPr="0057008C">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8EF4B" w14:textId="77777777" w:rsidR="00923FEF" w:rsidRPr="0057008C" w:rsidRDefault="00923FEF" w:rsidP="00472387">
    <w:pPr>
      <w:pStyle w:val="EPFooter"/>
    </w:pPr>
    <w:r w:rsidRPr="0057008C">
      <w:rPr>
        <w:rStyle w:val="HideTWBExt"/>
      </w:rPr>
      <w:t>&lt;PathFdR&gt;</w:t>
    </w:r>
    <w:r w:rsidRPr="0057008C">
      <w:t>RR\1300716BG.docx</w:t>
    </w:r>
    <w:r w:rsidRPr="0057008C">
      <w:rPr>
        <w:rStyle w:val="HideTWBExt"/>
      </w:rPr>
      <w:t>&lt;/</w:t>
    </w:r>
    <w:proofErr w:type="spellStart"/>
    <w:r w:rsidRPr="0057008C">
      <w:rPr>
        <w:rStyle w:val="HideTWBExt"/>
      </w:rPr>
      <w:t>PathFdR</w:t>
    </w:r>
    <w:proofErr w:type="spellEnd"/>
    <w:r w:rsidRPr="0057008C">
      <w:rPr>
        <w:rStyle w:val="HideTWBExt"/>
      </w:rPr>
      <w:t>&gt;</w:t>
    </w:r>
    <w:r w:rsidRPr="0057008C">
      <w:tab/>
    </w:r>
    <w:r w:rsidRPr="0057008C">
      <w:tab/>
      <w:t>PE</w:t>
    </w:r>
    <w:r w:rsidRPr="0057008C">
      <w:rPr>
        <w:rStyle w:val="HideTWBExt"/>
      </w:rPr>
      <w:t>&lt;</w:t>
    </w:r>
    <w:proofErr w:type="spellStart"/>
    <w:r w:rsidRPr="0057008C">
      <w:rPr>
        <w:rStyle w:val="HideTWBExt"/>
      </w:rPr>
      <w:t>NoPE</w:t>
    </w:r>
    <w:proofErr w:type="spellEnd"/>
    <w:r w:rsidRPr="0057008C">
      <w:rPr>
        <w:rStyle w:val="HideTWBExt"/>
      </w:rPr>
      <w:t>&gt;</w:t>
    </w:r>
    <w:r w:rsidRPr="0057008C">
      <w:t>759.750</w:t>
    </w:r>
    <w:r w:rsidRPr="0057008C">
      <w:rPr>
        <w:rStyle w:val="HideTWBExt"/>
      </w:rPr>
      <w:t>&lt;/</w:t>
    </w:r>
    <w:proofErr w:type="spellStart"/>
    <w:r w:rsidRPr="0057008C">
      <w:rPr>
        <w:rStyle w:val="HideTWBExt"/>
      </w:rPr>
      <w:t>NoPE</w:t>
    </w:r>
    <w:proofErr w:type="spellEnd"/>
    <w:r w:rsidRPr="0057008C">
      <w:rPr>
        <w:rStyle w:val="HideTWBExt"/>
      </w:rPr>
      <w:t>&gt;&lt;Version&gt;</w:t>
    </w:r>
    <w:r w:rsidRPr="0057008C">
      <w:t>v02-00</w:t>
    </w:r>
    <w:r w:rsidRPr="0057008C">
      <w:rPr>
        <w:rStyle w:val="HideTWBExt"/>
      </w:rPr>
      <w:t>&lt;/</w:t>
    </w:r>
    <w:proofErr w:type="spellStart"/>
    <w:r w:rsidRPr="0057008C">
      <w:rPr>
        <w:rStyle w:val="HideTWBExt"/>
      </w:rPr>
      <w:t>Version</w:t>
    </w:r>
    <w:proofErr w:type="spellEnd"/>
    <w:r w:rsidRPr="0057008C">
      <w:rPr>
        <w:rStyle w:val="HideTWBExt"/>
      </w:rPr>
      <w:t>&gt;</w:t>
    </w:r>
  </w:p>
  <w:p w14:paraId="67D0FC24" w14:textId="77777777" w:rsidR="00923FEF" w:rsidRPr="0057008C" w:rsidRDefault="00923FEF" w:rsidP="00472387">
    <w:pPr>
      <w:pStyle w:val="EPFooter2"/>
    </w:pPr>
    <w:r w:rsidRPr="0057008C">
      <w:t>BG</w:t>
    </w:r>
    <w:r w:rsidRPr="0057008C">
      <w:tab/>
    </w:r>
    <w:r w:rsidRPr="0057008C">
      <w:rPr>
        <w:b w:val="0"/>
        <w:i/>
        <w:color w:val="C0C0C0"/>
        <w:sz w:val="22"/>
      </w:rPr>
      <w:t>Единство в многообразието</w:t>
    </w:r>
    <w:r w:rsidRPr="0057008C">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91381" w14:textId="77777777" w:rsidR="00064002" w:rsidRPr="0057008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BB90D" w14:textId="77777777" w:rsidR="00064002" w:rsidRPr="0057008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9ABE1" w14:textId="77777777" w:rsidR="00064002" w:rsidRPr="005700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E2134A" w14:textId="77777777" w:rsidR="00992131" w:rsidRPr="0057008C" w:rsidRDefault="00992131">
      <w:r w:rsidRPr="0057008C">
        <w:separator/>
      </w:r>
    </w:p>
  </w:footnote>
  <w:footnote w:type="continuationSeparator" w:id="0">
    <w:p w14:paraId="70080EAC" w14:textId="77777777" w:rsidR="00992131" w:rsidRPr="0057008C" w:rsidRDefault="00992131">
      <w:r w:rsidRPr="0057008C">
        <w:continuationSeparator/>
      </w:r>
    </w:p>
  </w:footnote>
  <w:footnote w:id="1">
    <w:p w14:paraId="55FC31A9" w14:textId="77777777" w:rsidR="00923FEF" w:rsidRPr="0057008C" w:rsidRDefault="00923FEF" w:rsidP="0057008C">
      <w:pPr>
        <w:pStyle w:val="FootnoteText"/>
        <w:ind w:left="567" w:hanging="567"/>
        <w:rPr>
          <w:sz w:val="24"/>
          <w:lang w:val="bg-BG"/>
        </w:rPr>
      </w:pPr>
      <w:r w:rsidRPr="0057008C">
        <w:rPr>
          <w:rStyle w:val="FootnoteReference"/>
          <w:sz w:val="24"/>
          <w:lang w:val="bg-BG"/>
        </w:rPr>
        <w:footnoteRef/>
      </w:r>
      <w:r w:rsidR="0057008C" w:rsidRPr="0057008C">
        <w:rPr>
          <w:sz w:val="24"/>
          <w:lang w:val="bg-BG"/>
        </w:rPr>
        <w:t xml:space="preserve"> </w:t>
      </w:r>
      <w:r w:rsidR="0057008C" w:rsidRPr="0057008C">
        <w:rPr>
          <w:sz w:val="24"/>
          <w:lang w:val="bg-BG"/>
        </w:rPr>
        <w:tab/>
      </w:r>
      <w:r w:rsidRPr="0057008C">
        <w:rPr>
          <w:sz w:val="24"/>
          <w:lang w:val="bg-BG"/>
        </w:rPr>
        <w:t>ОВ L 153, 3.5.2021 г., стр. 48.</w:t>
      </w:r>
    </w:p>
  </w:footnote>
  <w:footnote w:id="2">
    <w:p w14:paraId="4709F211" w14:textId="77777777" w:rsidR="00923FEF" w:rsidRPr="0057008C" w:rsidRDefault="00923FEF" w:rsidP="0057008C">
      <w:pPr>
        <w:pStyle w:val="FootnoteText"/>
        <w:ind w:left="567" w:hanging="567"/>
        <w:rPr>
          <w:sz w:val="24"/>
          <w:lang w:val="bg-BG"/>
        </w:rPr>
      </w:pPr>
      <w:r w:rsidRPr="0057008C">
        <w:rPr>
          <w:rStyle w:val="FootnoteReference"/>
          <w:sz w:val="24"/>
          <w:lang w:val="bg-BG"/>
        </w:rPr>
        <w:footnoteRef/>
      </w:r>
      <w:r w:rsidR="0057008C" w:rsidRPr="0057008C">
        <w:rPr>
          <w:sz w:val="24"/>
          <w:lang w:val="bg-BG"/>
        </w:rPr>
        <w:t xml:space="preserve"> </w:t>
      </w:r>
      <w:r w:rsidR="0057008C" w:rsidRPr="0057008C">
        <w:rPr>
          <w:sz w:val="24"/>
          <w:lang w:val="bg-BG"/>
        </w:rPr>
        <w:tab/>
      </w:r>
      <w:r w:rsidRPr="0057008C">
        <w:rPr>
          <w:sz w:val="24"/>
          <w:lang w:val="bg-BG"/>
        </w:rPr>
        <w:t>OВ L 433 I, 22.12.2020 г., стр. 11.</w:t>
      </w:r>
    </w:p>
  </w:footnote>
  <w:footnote w:id="3">
    <w:p w14:paraId="63984F90" w14:textId="4D2D6C13" w:rsidR="00923FEF" w:rsidRPr="0057008C" w:rsidRDefault="00923FEF" w:rsidP="0057008C">
      <w:pPr>
        <w:pStyle w:val="FootnoteText"/>
        <w:ind w:left="567" w:hanging="567"/>
        <w:rPr>
          <w:sz w:val="24"/>
          <w:lang w:val="bg-BG"/>
        </w:rPr>
      </w:pPr>
      <w:r w:rsidRPr="0057008C">
        <w:rPr>
          <w:rStyle w:val="FootnoteReference"/>
          <w:sz w:val="24"/>
          <w:lang w:val="bg-BG"/>
        </w:rPr>
        <w:footnoteRef/>
      </w:r>
      <w:r w:rsidR="0057008C" w:rsidRPr="0057008C">
        <w:rPr>
          <w:color w:val="333333"/>
          <w:sz w:val="24"/>
          <w:shd w:val="clear" w:color="auto" w:fill="FFFFFF"/>
          <w:lang w:val="bg-BG"/>
        </w:rPr>
        <w:t xml:space="preserve"> </w:t>
      </w:r>
      <w:r w:rsidR="0057008C" w:rsidRPr="0057008C">
        <w:rPr>
          <w:color w:val="333333"/>
          <w:sz w:val="24"/>
          <w:shd w:val="clear" w:color="auto" w:fill="FFFFFF"/>
          <w:lang w:val="bg-BG"/>
        </w:rPr>
        <w:tab/>
      </w:r>
      <w:r w:rsidRPr="0057008C">
        <w:rPr>
          <w:color w:val="333333"/>
          <w:sz w:val="24"/>
          <w:shd w:val="clear" w:color="auto" w:fill="FFFFFF"/>
          <w:lang w:val="bg-BG"/>
        </w:rPr>
        <w:t>Регламент (ЕС, Евратом) 2024/765 на Съвета от 29 февруари 2024 г</w:t>
      </w:r>
      <w:r w:rsidR="00795D86" w:rsidRPr="0002224B">
        <w:rPr>
          <w:color w:val="333333"/>
          <w:sz w:val="24"/>
          <w:shd w:val="clear" w:color="auto" w:fill="FFFFFF"/>
          <w:lang w:val="bg-BG"/>
        </w:rPr>
        <w:t>.</w:t>
      </w:r>
      <w:r w:rsidRPr="0057008C">
        <w:rPr>
          <w:color w:val="333333"/>
          <w:sz w:val="24"/>
          <w:shd w:val="clear" w:color="auto" w:fill="FFFFFF"/>
          <w:lang w:val="bg-BG"/>
        </w:rPr>
        <w:t xml:space="preserve"> </w:t>
      </w:r>
      <w:r w:rsidRPr="0057008C">
        <w:rPr>
          <w:color w:val="333333"/>
          <w:sz w:val="24"/>
          <w:shd w:val="clear" w:color="auto" w:fill="FFFFFF"/>
          <w:lang w:val="bg-BG"/>
        </w:rPr>
        <w:t>за изменение на Регламент (ЕС, Евратом) 2020/2093 за определяне на многогодишната финансова рамка за годините 2021 – 2027 (</w:t>
      </w:r>
      <w:r w:rsidRPr="0057008C">
        <w:rPr>
          <w:sz w:val="24"/>
          <w:lang w:val="bg-BG"/>
        </w:rPr>
        <w:t xml:space="preserve">ОВ </w:t>
      </w:r>
      <w:r w:rsidRPr="0057008C">
        <w:rPr>
          <w:sz w:val="24"/>
          <w:lang w:val="bg-BG"/>
        </w:rPr>
        <w:t>L</w:t>
      </w:r>
      <w:r w:rsidR="00F43226">
        <w:rPr>
          <w:sz w:val="24"/>
          <w:lang w:val="lt-LT"/>
        </w:rPr>
        <w:t>,</w:t>
      </w:r>
      <w:bookmarkStart w:id="8" w:name="_GoBack"/>
      <w:bookmarkEnd w:id="8"/>
      <w:r w:rsidRPr="0057008C">
        <w:rPr>
          <w:sz w:val="24"/>
          <w:lang w:val="bg-BG"/>
        </w:rPr>
        <w:t xml:space="preserve"> 2024/765, 29.2.2024 г., </w:t>
      </w:r>
      <w:r w:rsidRPr="0002224B">
        <w:rPr>
          <w:rStyle w:val="Emphasis"/>
          <w:i w:val="0"/>
          <w:color w:val="333333"/>
          <w:sz w:val="24"/>
          <w:shd w:val="clear" w:color="auto" w:fill="FFFFFF"/>
          <w:lang w:val="bg-BG"/>
        </w:rPr>
        <w:t>ELI: http://data.europa.eu/eli/reg/2024/765/oj).</w:t>
      </w:r>
    </w:p>
  </w:footnote>
  <w:footnote w:id="4">
    <w:p w14:paraId="65313BE6" w14:textId="77777777" w:rsidR="00923FEF" w:rsidRPr="0057008C" w:rsidRDefault="00923FEF" w:rsidP="0057008C">
      <w:pPr>
        <w:pStyle w:val="FootnoteText"/>
        <w:ind w:left="567" w:hanging="567"/>
        <w:rPr>
          <w:sz w:val="24"/>
          <w:lang w:val="bg-BG"/>
        </w:rPr>
      </w:pPr>
      <w:r w:rsidRPr="0057008C">
        <w:rPr>
          <w:rStyle w:val="FootnoteReference"/>
          <w:sz w:val="24"/>
          <w:lang w:val="bg-BG"/>
        </w:rPr>
        <w:footnoteRef/>
      </w:r>
      <w:r w:rsidR="0057008C" w:rsidRPr="0057008C">
        <w:rPr>
          <w:sz w:val="24"/>
          <w:lang w:val="bg-BG"/>
        </w:rPr>
        <w:t xml:space="preserve"> </w:t>
      </w:r>
      <w:r w:rsidR="0057008C" w:rsidRPr="0057008C">
        <w:rPr>
          <w:sz w:val="24"/>
          <w:lang w:val="bg-BG"/>
        </w:rPr>
        <w:tab/>
      </w:r>
      <w:r w:rsidRPr="0057008C">
        <w:rPr>
          <w:sz w:val="24"/>
          <w:lang w:val="bg-BG"/>
        </w:rPr>
        <w:t>ОВ L 433 I, 22.12.2020 г., стр.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245CB" w14:textId="77777777" w:rsidR="00064002" w:rsidRPr="0057008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D04AA" w14:textId="77777777" w:rsidR="00064002" w:rsidRPr="0057008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E8E6D" w14:textId="77777777" w:rsidR="00064002" w:rsidRPr="005700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3/2024"/>
    <w:docVar w:name="dvlangue" w:val="BG"/>
    <w:docVar w:name="dvnumam" w:val="0"/>
    <w:docVar w:name="dvpe" w:val="759.750"/>
    <w:docVar w:name="dvrapporteur" w:val="Докладчик: "/>
    <w:docVar w:name="dvtitre" w:val="Резолюция на Европейския парламент от ... 2024 г.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EGF/2024/000 TA 2024 – Техническа помощ по инициатива на Комисията)(COM(2024)0084 – C9-0042/2024 – 2024/0003(BUD))"/>
  </w:docVars>
  <w:rsids>
    <w:rsidRoot w:val="00992131"/>
    <w:rsid w:val="00002272"/>
    <w:rsid w:val="0002224B"/>
    <w:rsid w:val="00064002"/>
    <w:rsid w:val="000677B9"/>
    <w:rsid w:val="000831BA"/>
    <w:rsid w:val="000A42CC"/>
    <w:rsid w:val="000B6FA9"/>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17A44"/>
    <w:rsid w:val="00421060"/>
    <w:rsid w:val="00471C19"/>
    <w:rsid w:val="004867E3"/>
    <w:rsid w:val="00494A28"/>
    <w:rsid w:val="004C0004"/>
    <w:rsid w:val="004C5D52"/>
    <w:rsid w:val="0050519A"/>
    <w:rsid w:val="005072A1"/>
    <w:rsid w:val="00514517"/>
    <w:rsid w:val="00545827"/>
    <w:rsid w:val="00560270"/>
    <w:rsid w:val="0057008C"/>
    <w:rsid w:val="005C2568"/>
    <w:rsid w:val="006037C0"/>
    <w:rsid w:val="006631B6"/>
    <w:rsid w:val="00680577"/>
    <w:rsid w:val="006F74FA"/>
    <w:rsid w:val="00731ADD"/>
    <w:rsid w:val="00734777"/>
    <w:rsid w:val="00747932"/>
    <w:rsid w:val="00751A4A"/>
    <w:rsid w:val="00756632"/>
    <w:rsid w:val="00762C74"/>
    <w:rsid w:val="00786EC0"/>
    <w:rsid w:val="00795D86"/>
    <w:rsid w:val="007D1690"/>
    <w:rsid w:val="007E22AD"/>
    <w:rsid w:val="00817416"/>
    <w:rsid w:val="00842779"/>
    <w:rsid w:val="00865F67"/>
    <w:rsid w:val="00881A7B"/>
    <w:rsid w:val="008840E5"/>
    <w:rsid w:val="00887B3E"/>
    <w:rsid w:val="008C2AC6"/>
    <w:rsid w:val="00923FEF"/>
    <w:rsid w:val="00930C23"/>
    <w:rsid w:val="0093193B"/>
    <w:rsid w:val="009509D8"/>
    <w:rsid w:val="00950B64"/>
    <w:rsid w:val="00981893"/>
    <w:rsid w:val="00992131"/>
    <w:rsid w:val="00A1687D"/>
    <w:rsid w:val="00A43E52"/>
    <w:rsid w:val="00A4678D"/>
    <w:rsid w:val="00A778C7"/>
    <w:rsid w:val="00AB441E"/>
    <w:rsid w:val="00AB6293"/>
    <w:rsid w:val="00AD0B83"/>
    <w:rsid w:val="00AE0928"/>
    <w:rsid w:val="00AF3B82"/>
    <w:rsid w:val="00B12E95"/>
    <w:rsid w:val="00B22876"/>
    <w:rsid w:val="00B558F0"/>
    <w:rsid w:val="00B7141D"/>
    <w:rsid w:val="00BA7B3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322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618612"/>
  <w15:chartTrackingRefBased/>
  <w15:docId w15:val="{C57A10A7-8295-4B3A-90E4-74D8924BA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23FE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923FEF"/>
    <w:pPr>
      <w:keepNext/>
      <w:spacing w:after="480"/>
      <w:jc w:val="center"/>
    </w:pPr>
    <w:rPr>
      <w:rFonts w:ascii="Arial" w:hAnsi="Arial" w:cs="Arial"/>
      <w:b/>
    </w:rPr>
  </w:style>
  <w:style w:type="paragraph" w:customStyle="1" w:styleId="NormalHanging12a">
    <w:name w:val="NormalHanging12a"/>
    <w:basedOn w:val="Normal"/>
    <w:rsid w:val="00923FEF"/>
    <w:pPr>
      <w:spacing w:after="240"/>
      <w:ind w:left="567" w:hanging="567"/>
    </w:pPr>
  </w:style>
  <w:style w:type="paragraph" w:styleId="Header">
    <w:name w:val="header"/>
    <w:basedOn w:val="Normal"/>
    <w:link w:val="HeaderChar"/>
    <w:rsid w:val="00923FEF"/>
    <w:pPr>
      <w:tabs>
        <w:tab w:val="center" w:pos="4513"/>
        <w:tab w:val="right" w:pos="9026"/>
      </w:tabs>
    </w:pPr>
  </w:style>
  <w:style w:type="character" w:customStyle="1" w:styleId="HeaderChar">
    <w:name w:val="Header Char"/>
    <w:basedOn w:val="DefaultParagraphFont"/>
    <w:link w:val="Header"/>
    <w:rsid w:val="00923FEF"/>
    <w:rPr>
      <w:sz w:val="24"/>
      <w:lang w:val="bg-BG"/>
    </w:rPr>
  </w:style>
  <w:style w:type="paragraph" w:customStyle="1" w:styleId="EPFooter">
    <w:name w:val="EPFooter"/>
    <w:basedOn w:val="Normal"/>
    <w:rsid w:val="00923FEF"/>
    <w:pPr>
      <w:tabs>
        <w:tab w:val="center" w:pos="4535"/>
        <w:tab w:val="right" w:pos="9071"/>
      </w:tabs>
      <w:spacing w:before="240" w:after="240"/>
    </w:pPr>
    <w:rPr>
      <w:color w:val="010000"/>
      <w:sz w:val="22"/>
    </w:rPr>
  </w:style>
  <w:style w:type="paragraph" w:customStyle="1" w:styleId="EPComma">
    <w:name w:val="EPComma"/>
    <w:basedOn w:val="Normal"/>
    <w:rsid w:val="00923FEF"/>
    <w:pPr>
      <w:spacing w:before="480" w:after="240"/>
    </w:pPr>
  </w:style>
  <w:style w:type="paragraph" w:customStyle="1" w:styleId="Institutionquiagit">
    <w:name w:val="Institution qui agit"/>
    <w:basedOn w:val="Normal"/>
    <w:next w:val="Normal"/>
    <w:rsid w:val="00923FEF"/>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923FEF"/>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923FEF"/>
    <w:pPr>
      <w:widowControl/>
      <w:tabs>
        <w:tab w:val="left" w:pos="4252"/>
      </w:tabs>
    </w:pPr>
    <w:rPr>
      <w:rFonts w:eastAsiaTheme="minorHAnsi"/>
      <w:i/>
      <w:szCs w:val="22"/>
      <w:lang w:eastAsia="en-US"/>
    </w:rPr>
  </w:style>
  <w:style w:type="paragraph" w:customStyle="1" w:styleId="Fait">
    <w:name w:val="Fait à"/>
    <w:basedOn w:val="Normal"/>
    <w:next w:val="Institutionquisigne"/>
    <w:rsid w:val="00923FEF"/>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923FE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23FEF"/>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923FEF"/>
    <w:pPr>
      <w:widowControl/>
      <w:spacing w:before="120" w:after="120"/>
      <w:ind w:left="709" w:hanging="709"/>
      <w:jc w:val="both"/>
    </w:pPr>
    <w:rPr>
      <w:rFonts w:eastAsiaTheme="minorHAnsi"/>
      <w:szCs w:val="22"/>
      <w:lang w:eastAsia="en-US"/>
    </w:rPr>
  </w:style>
  <w:style w:type="paragraph" w:customStyle="1" w:styleId="Titreobjet">
    <w:name w:val="Titre objet"/>
    <w:basedOn w:val="Normal"/>
    <w:next w:val="Normal"/>
    <w:rsid w:val="00923FEF"/>
    <w:pPr>
      <w:widowControl/>
      <w:spacing w:before="360" w:after="360"/>
      <w:jc w:val="center"/>
    </w:pPr>
    <w:rPr>
      <w:rFonts w:eastAsiaTheme="minorHAnsi"/>
      <w:b/>
      <w:szCs w:val="22"/>
      <w:lang w:eastAsia="en-US"/>
    </w:rPr>
  </w:style>
  <w:style w:type="character" w:styleId="Emphasis">
    <w:name w:val="Emphasis"/>
    <w:basedOn w:val="DefaultParagraphFont"/>
    <w:uiPriority w:val="20"/>
    <w:qFormat/>
    <w:rsid w:val="00923FEF"/>
    <w:rPr>
      <w:i/>
      <w:iCs/>
    </w:rPr>
  </w:style>
  <w:style w:type="paragraph" w:styleId="BalloonText">
    <w:name w:val="Balloon Text"/>
    <w:basedOn w:val="Normal"/>
    <w:link w:val="BalloonTextChar"/>
    <w:rsid w:val="00795D86"/>
    <w:rPr>
      <w:rFonts w:ascii="Segoe UI" w:hAnsi="Segoe UI" w:cs="Segoe UI"/>
      <w:sz w:val="18"/>
      <w:szCs w:val="18"/>
    </w:rPr>
  </w:style>
  <w:style w:type="character" w:customStyle="1" w:styleId="BalloonTextChar">
    <w:name w:val="Balloon Text Char"/>
    <w:basedOn w:val="DefaultParagraphFont"/>
    <w:link w:val="BalloonText"/>
    <w:rsid w:val="00795D86"/>
    <w:rPr>
      <w:rFonts w:ascii="Segoe UI" w:hAnsi="Segoe UI" w:cs="Segoe UI"/>
      <w:sz w:val="18"/>
      <w:szCs w:val="18"/>
      <w:lang w:val="bg-BG"/>
    </w:rPr>
  </w:style>
  <w:style w:type="character" w:styleId="CommentReference">
    <w:name w:val="annotation reference"/>
    <w:basedOn w:val="DefaultParagraphFont"/>
    <w:rsid w:val="00795D86"/>
    <w:rPr>
      <w:sz w:val="16"/>
      <w:szCs w:val="16"/>
    </w:rPr>
  </w:style>
  <w:style w:type="paragraph" w:styleId="CommentText">
    <w:name w:val="annotation text"/>
    <w:basedOn w:val="Normal"/>
    <w:link w:val="CommentTextChar"/>
    <w:rsid w:val="00795D86"/>
    <w:rPr>
      <w:sz w:val="20"/>
    </w:rPr>
  </w:style>
  <w:style w:type="character" w:customStyle="1" w:styleId="CommentTextChar">
    <w:name w:val="Comment Text Char"/>
    <w:basedOn w:val="DefaultParagraphFont"/>
    <w:link w:val="CommentText"/>
    <w:rsid w:val="00795D86"/>
    <w:rPr>
      <w:lang w:val="bg-BG"/>
    </w:rPr>
  </w:style>
  <w:style w:type="paragraph" w:styleId="CommentSubject">
    <w:name w:val="annotation subject"/>
    <w:basedOn w:val="CommentText"/>
    <w:next w:val="CommentText"/>
    <w:link w:val="CommentSubjectChar"/>
    <w:rsid w:val="00795D86"/>
    <w:rPr>
      <w:b/>
      <w:bCs/>
    </w:rPr>
  </w:style>
  <w:style w:type="character" w:customStyle="1" w:styleId="CommentSubjectChar">
    <w:name w:val="Comment Subject Char"/>
    <w:basedOn w:val="CommentTextChar"/>
    <w:link w:val="CommentSubject"/>
    <w:rsid w:val="00795D86"/>
    <w:rPr>
      <w:b/>
      <w:bCs/>
      <w:lang w:val="bg-BG"/>
    </w:rPr>
  </w:style>
  <w:style w:type="character" w:styleId="Hyperlink">
    <w:name w:val="Hyperlink"/>
    <w:basedOn w:val="DefaultParagraphFont"/>
    <w:rsid w:val="00795D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EB213-ED29-4BDB-BEE0-5128A6C6B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1120</Words>
  <Characters>6675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BINKEVICIUTE Aurelija</cp:lastModifiedBy>
  <cp:revision>3</cp:revision>
  <cp:lastPrinted>2004-11-19T15:42:00Z</cp:lastPrinted>
  <dcterms:created xsi:type="dcterms:W3CDTF">2024-09-05T09:31:00Z</dcterms:created>
  <dcterms:modified xsi:type="dcterms:W3CDTF">2024-10-16T11:35:00Z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P9_TA(2024)0334_</vt:lpwstr>
  </property>
  <property fmtid="{D5CDD505-2E9C-101B-9397-08002B2CF9AE}" pid="4" name="&lt;Type&gt;">
    <vt:lpwstr>RR</vt:lpwstr>
  </property>
</Properties>
</file>