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24B2" w14:paraId="212F9E7D" w14:textId="77777777" w:rsidTr="0010095E">
        <w:trPr>
          <w:trHeight w:hRule="exact" w:val="1418"/>
        </w:trPr>
        <w:tc>
          <w:tcPr>
            <w:tcW w:w="6804" w:type="dxa"/>
            <w:shd w:val="clear" w:color="auto" w:fill="auto"/>
            <w:vAlign w:val="center"/>
          </w:tcPr>
          <w:p w14:paraId="60D73B0E" w14:textId="77777777" w:rsidR="00751A4A" w:rsidRPr="004D24B2" w:rsidRDefault="009700CC" w:rsidP="0010095E">
            <w:pPr>
              <w:pStyle w:val="EPName"/>
            </w:pPr>
            <w:r w:rsidRPr="004D24B2">
              <w:t>Euroopan parlamentti</w:t>
            </w:r>
          </w:p>
          <w:p w14:paraId="3C0160E0" w14:textId="77777777" w:rsidR="00751A4A" w:rsidRPr="004D24B2" w:rsidRDefault="00817416" w:rsidP="00756632">
            <w:pPr>
              <w:pStyle w:val="EPTerm"/>
              <w:rPr>
                <w:rStyle w:val="HideTWBExt"/>
                <w:noProof w:val="0"/>
                <w:vanish w:val="0"/>
                <w:color w:val="auto"/>
              </w:rPr>
            </w:pPr>
            <w:r w:rsidRPr="004D24B2">
              <w:t>2019-2024</w:t>
            </w:r>
          </w:p>
        </w:tc>
        <w:tc>
          <w:tcPr>
            <w:tcW w:w="2268" w:type="dxa"/>
            <w:shd w:val="clear" w:color="auto" w:fill="auto"/>
          </w:tcPr>
          <w:p w14:paraId="1BEE5495" w14:textId="77777777" w:rsidR="00751A4A" w:rsidRPr="004D24B2" w:rsidRDefault="00187494" w:rsidP="0010095E">
            <w:pPr>
              <w:pStyle w:val="EPLogo"/>
            </w:pPr>
            <w:r w:rsidRPr="004D24B2">
              <w:rPr>
                <w:noProof/>
                <w:lang w:val="en-GB"/>
              </w:rPr>
              <w:drawing>
                <wp:inline distT="0" distB="0" distL="0" distR="0" wp14:anchorId="310EBDBC" wp14:editId="1D91A3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DFEA64" w14:textId="77777777" w:rsidR="00D058B8" w:rsidRPr="004D24B2" w:rsidRDefault="00D058B8" w:rsidP="004C5D52">
      <w:pPr>
        <w:pStyle w:val="LineTop"/>
      </w:pPr>
    </w:p>
    <w:p w14:paraId="3B2FD505" w14:textId="77777777" w:rsidR="00680577" w:rsidRPr="004D24B2" w:rsidRDefault="009700CC" w:rsidP="00680577">
      <w:pPr>
        <w:pStyle w:val="EPBodyTA1"/>
      </w:pPr>
      <w:r w:rsidRPr="004D24B2">
        <w:t>HYVÄKSYTYT TEKSTIT</w:t>
      </w:r>
    </w:p>
    <w:p w14:paraId="350C00BA" w14:textId="77777777" w:rsidR="00D058B8" w:rsidRPr="004D24B2" w:rsidRDefault="00D058B8" w:rsidP="00D058B8">
      <w:pPr>
        <w:pStyle w:val="LineBottom"/>
      </w:pPr>
    </w:p>
    <w:p w14:paraId="2884A63B" w14:textId="563D80A4" w:rsidR="009700CC" w:rsidRPr="004D24B2" w:rsidRDefault="009700CC" w:rsidP="009700CC">
      <w:pPr>
        <w:pStyle w:val="ATHeading1"/>
      </w:pPr>
      <w:bookmarkStart w:id="0" w:name="TANumber"/>
      <w:r w:rsidRPr="004D24B2">
        <w:t>P9_</w:t>
      </w:r>
      <w:proofErr w:type="gramStart"/>
      <w:r w:rsidRPr="004D24B2">
        <w:t>TA(</w:t>
      </w:r>
      <w:proofErr w:type="gramEnd"/>
      <w:r w:rsidRPr="004D24B2">
        <w:t>2024)0</w:t>
      </w:r>
      <w:r w:rsidR="00384C0E">
        <w:t>33</w:t>
      </w:r>
      <w:bookmarkEnd w:id="0"/>
      <w:r w:rsidR="00144C42">
        <w:t>4</w:t>
      </w:r>
    </w:p>
    <w:p w14:paraId="03E9E3EE" w14:textId="381F587D" w:rsidR="009700CC" w:rsidRPr="004D24B2" w:rsidRDefault="00ED0F91" w:rsidP="00ED0F91">
      <w:pPr>
        <w:pStyle w:val="ATHeading2"/>
      </w:pPr>
      <w:bookmarkStart w:id="1" w:name="title"/>
      <w:r>
        <w:t>Euroopan globalisaatiorahaston varojen käyttöönotto: hakemus EGF/2024/000 TA 2024 – komission aloitteesta annettava tekninen apu</w:t>
      </w:r>
      <w:bookmarkEnd w:id="1"/>
    </w:p>
    <w:p w14:paraId="3ED9C14E" w14:textId="77777777" w:rsidR="009700CC" w:rsidRPr="004D24B2" w:rsidRDefault="009700CC" w:rsidP="009700CC">
      <w:pPr>
        <w:rPr>
          <w:i/>
          <w:vanish/>
        </w:rPr>
      </w:pPr>
      <w:r w:rsidRPr="004D24B2">
        <w:rPr>
          <w:i/>
        </w:rPr>
        <w:fldChar w:fldCharType="begin"/>
      </w:r>
      <w:r w:rsidRPr="004D24B2">
        <w:rPr>
          <w:i/>
        </w:rPr>
        <w:instrText xml:space="preserve"> TC"(</w:instrText>
      </w:r>
      <w:bookmarkStart w:id="2" w:name="DocNumber"/>
      <w:r w:rsidRPr="004D24B2">
        <w:rPr>
          <w:i/>
        </w:rPr>
        <w:instrText>A9-0173/2024</w:instrText>
      </w:r>
      <w:bookmarkEnd w:id="2"/>
      <w:r w:rsidRPr="004D24B2">
        <w:rPr>
          <w:i/>
        </w:rPr>
        <w:instrText xml:space="preserve"> - Esittelijä: Margarida Marques)"\l3 \n&gt; \* MERGEFORMAT </w:instrText>
      </w:r>
      <w:r w:rsidRPr="004D24B2">
        <w:rPr>
          <w:i/>
        </w:rPr>
        <w:fldChar w:fldCharType="end"/>
      </w:r>
    </w:p>
    <w:p w14:paraId="42D9AEBE" w14:textId="77777777" w:rsidR="009700CC" w:rsidRPr="004D24B2" w:rsidRDefault="009700CC" w:rsidP="009700CC">
      <w:pPr>
        <w:rPr>
          <w:vanish/>
        </w:rPr>
      </w:pPr>
      <w:bookmarkStart w:id="3" w:name="Commission"/>
      <w:r w:rsidRPr="004D24B2">
        <w:rPr>
          <w:vanish/>
        </w:rPr>
        <w:t>Budjettivaliokunta</w:t>
      </w:r>
      <w:bookmarkEnd w:id="3"/>
    </w:p>
    <w:p w14:paraId="34118DF5" w14:textId="77777777" w:rsidR="009700CC" w:rsidRPr="004D24B2" w:rsidRDefault="009700CC" w:rsidP="009700CC">
      <w:pPr>
        <w:rPr>
          <w:vanish/>
        </w:rPr>
      </w:pPr>
      <w:bookmarkStart w:id="4" w:name="PE"/>
      <w:r w:rsidRPr="004D24B2">
        <w:rPr>
          <w:vanish/>
        </w:rPr>
        <w:t>PE759.750</w:t>
      </w:r>
      <w:bookmarkEnd w:id="4"/>
    </w:p>
    <w:p w14:paraId="207FCF2A" w14:textId="0DDAFF4A" w:rsidR="009700CC" w:rsidRPr="004D24B2" w:rsidRDefault="009700CC" w:rsidP="009700CC">
      <w:pPr>
        <w:pStyle w:val="ATHeading3"/>
      </w:pPr>
      <w:bookmarkStart w:id="5" w:name="Sujet"/>
      <w:r w:rsidRPr="004D24B2">
        <w:t xml:space="preserve">Euroopan parlamentin päätöslauselma </w:t>
      </w:r>
      <w:r w:rsidR="00384C0E">
        <w:t>24</w:t>
      </w:r>
      <w:r w:rsidRPr="004D24B2">
        <w:t>. huhtikuuta 2024 ehdotuksesta Euroopan parlamentin ja neuvoston päätökseksi työttömiksi jääneitä työntekijöitä tukevan Euroopan globalisaatiorahaston varojen käyttöönotosta – EGF/2024/000 TA 2024 – komission aloitteesta annettava tekninen apu</w:t>
      </w:r>
      <w:bookmarkEnd w:id="5"/>
      <w:r w:rsidRPr="004D24B2">
        <w:t xml:space="preserve"> </w:t>
      </w:r>
      <w:bookmarkStart w:id="6" w:name="References"/>
      <w:r w:rsidRPr="004D24B2">
        <w:t>(</w:t>
      </w:r>
      <w:proofErr w:type="gramStart"/>
      <w:r w:rsidRPr="004D24B2">
        <w:t>COM(</w:t>
      </w:r>
      <w:proofErr w:type="gramEnd"/>
      <w:r w:rsidRPr="004D24B2">
        <w:t>2024)0084 – C9-0042/2024 – 2024/0003(BUD))</w:t>
      </w:r>
      <w:bookmarkEnd w:id="6"/>
    </w:p>
    <w:p w14:paraId="623B4BF5" w14:textId="77777777" w:rsidR="0066262E" w:rsidRPr="004D24B2" w:rsidRDefault="0066262E" w:rsidP="00512C9B">
      <w:pPr>
        <w:pStyle w:val="EPComma"/>
        <w:widowControl/>
        <w:rPr>
          <w:noProof/>
        </w:rPr>
      </w:pPr>
      <w:bookmarkStart w:id="7" w:name="TextBodyBegin"/>
      <w:bookmarkEnd w:id="7"/>
      <w:r w:rsidRPr="004D24B2">
        <w:rPr>
          <w:i/>
        </w:rPr>
        <w:t>Euroopan parlamentti</w:t>
      </w:r>
      <w:r w:rsidRPr="004D24B2">
        <w:t>, joka</w:t>
      </w:r>
    </w:p>
    <w:p w14:paraId="17DDDDB5" w14:textId="77777777" w:rsidR="0066262E" w:rsidRPr="004D24B2" w:rsidRDefault="0066262E" w:rsidP="00512C9B">
      <w:pPr>
        <w:pStyle w:val="NormalHanging12a"/>
        <w:widowControl/>
        <w:rPr>
          <w:noProof/>
        </w:rPr>
      </w:pPr>
      <w:r w:rsidRPr="004D24B2">
        <w:t>–</w:t>
      </w:r>
      <w:r w:rsidRPr="004D24B2">
        <w:tab/>
        <w:t>ottaa huomioon komission ehdotuksen Euroopan parlamentille ja neuvostolle (</w:t>
      </w:r>
      <w:proofErr w:type="gramStart"/>
      <w:r w:rsidRPr="004D24B2">
        <w:t>COM(</w:t>
      </w:r>
      <w:proofErr w:type="gramEnd"/>
      <w:r w:rsidRPr="004D24B2">
        <w:t>2024)0084 – C9</w:t>
      </w:r>
      <w:r w:rsidRPr="004D24B2">
        <w:noBreakHyphen/>
        <w:t>0042/2024),</w:t>
      </w:r>
    </w:p>
    <w:p w14:paraId="358F2B37" w14:textId="77777777" w:rsidR="0066262E" w:rsidRPr="004D24B2" w:rsidRDefault="0066262E" w:rsidP="00512C9B">
      <w:pPr>
        <w:pStyle w:val="NormalHanging12a"/>
        <w:widowControl/>
        <w:rPr>
          <w:noProof/>
        </w:rPr>
      </w:pPr>
      <w:r w:rsidRPr="004D24B2">
        <w:t>–</w:t>
      </w:r>
      <w:r w:rsidRPr="004D24B2">
        <w:tab/>
        <w:t>ottaa huomioon Euroopan globalisaatiorahastosta (EGR) työttömiksi jääneille työntekijöille ja asetuksen (EU) N:o 1309/2013 kumoamisesta 28. huhtikuuta 2021 annetun Euroopan parlamentin ja neuvoston asetuksen (EU) 2021/691</w:t>
      </w:r>
      <w:r w:rsidRPr="004D24B2">
        <w:rPr>
          <w:rStyle w:val="FootnoteReference"/>
        </w:rPr>
        <w:footnoteReference w:id="1"/>
      </w:r>
      <w:r w:rsidRPr="004D24B2">
        <w:t>, jäljempänä ’EGR-asetus’,</w:t>
      </w:r>
    </w:p>
    <w:p w14:paraId="5079BB3D" w14:textId="77777777" w:rsidR="0066262E" w:rsidRPr="004D24B2" w:rsidRDefault="0066262E" w:rsidP="00512C9B">
      <w:pPr>
        <w:pStyle w:val="NormalHanging12a"/>
        <w:widowControl/>
      </w:pPr>
      <w:r w:rsidRPr="004D24B2">
        <w:t>–</w:t>
      </w:r>
      <w:r w:rsidRPr="004D24B2">
        <w:tab/>
        <w:t>ottaa huomioon vuosia 2021–2027 koskevan monivuotisen rahoituskehyksen vahvistamisesta 17. joulukuuta 2020 annetun neuvoston asetuksen (EU, Euratom) 2020/2093</w:t>
      </w:r>
      <w:r w:rsidRPr="004D24B2">
        <w:rPr>
          <w:rStyle w:val="FootnoteReference"/>
        </w:rPr>
        <w:footnoteReference w:id="2"/>
      </w:r>
      <w:r w:rsidRPr="004D24B2">
        <w:t>, sellaisena kun se on muutettuna asetuksella (EU, Euratom) 2024/765</w:t>
      </w:r>
      <w:r w:rsidRPr="004D24B2">
        <w:rPr>
          <w:rStyle w:val="FootnoteReference"/>
          <w:bdr w:val="none" w:sz="0" w:space="0" w:color="auto" w:frame="1"/>
        </w:rPr>
        <w:footnoteReference w:id="3"/>
      </w:r>
      <w:r w:rsidRPr="004D24B2">
        <w:t>, ja erityisesti sen 8 artiklan,</w:t>
      </w:r>
    </w:p>
    <w:p w14:paraId="69110054" w14:textId="77777777" w:rsidR="0066262E" w:rsidRPr="004D24B2" w:rsidRDefault="0066262E" w:rsidP="00512C9B">
      <w:pPr>
        <w:pStyle w:val="NormalHanging12a"/>
        <w:widowControl/>
      </w:pPr>
      <w:r w:rsidRPr="004D24B2">
        <w:t>–</w:t>
      </w:r>
      <w:r w:rsidRPr="004D24B2">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4D24B2">
        <w:rPr>
          <w:rStyle w:val="FootnoteReference"/>
        </w:rPr>
        <w:footnoteReference w:id="4"/>
      </w:r>
      <w:r w:rsidRPr="004D24B2">
        <w:t xml:space="preserve"> ja erityisesti sen 9 kohdan,</w:t>
      </w:r>
    </w:p>
    <w:p w14:paraId="4C46894E" w14:textId="77777777" w:rsidR="0066262E" w:rsidRPr="004D24B2" w:rsidRDefault="0066262E" w:rsidP="00512C9B">
      <w:pPr>
        <w:pStyle w:val="NormalHanging12a"/>
        <w:widowControl/>
      </w:pPr>
      <w:r w:rsidRPr="004D24B2">
        <w:t>–</w:t>
      </w:r>
      <w:r w:rsidRPr="004D24B2">
        <w:tab/>
        <w:t>ottaa huomioon budjettivaliokunnan mietinnön (A9-0173/2024),</w:t>
      </w:r>
    </w:p>
    <w:p w14:paraId="490E59AA" w14:textId="77777777" w:rsidR="0066262E" w:rsidRPr="004D24B2" w:rsidRDefault="0066262E" w:rsidP="00512C9B">
      <w:pPr>
        <w:widowControl/>
        <w:spacing w:after="240"/>
        <w:ind w:left="567" w:hanging="567"/>
      </w:pPr>
      <w:r w:rsidRPr="004D24B2">
        <w:lastRenderedPageBreak/>
        <w:t>A.</w:t>
      </w:r>
      <w:r w:rsidRPr="004D24B2">
        <w:tab/>
        <w:t xml:space="preserve">ottaa huomioon, että unioni on ottanut käyttöön lainsäädäntö- ja budjettivälineitä voidakseen tarjota lisätukea työntekijöille, jotka kärsivät globalisaation ja teknologisten ja ympäristöön liittyvien muutosten seurauksista, kuten maailmankaupan muutoksista, kauppariidoista, unionin kauppasuhteissa tai sisämarkkinoiden kokoonpanossa tapahtuneista merkittävistä muutoksista ja rahoitus- tai talouskriiseistä sekä vähähiiliseen talouteen siirtymisestä, tai </w:t>
      </w:r>
      <w:proofErr w:type="spellStart"/>
      <w:r w:rsidRPr="004D24B2">
        <w:t>digitalisaation</w:t>
      </w:r>
      <w:proofErr w:type="spellEnd"/>
      <w:r w:rsidRPr="004D24B2">
        <w:t xml:space="preserve"> ja automaation seurauksista;</w:t>
      </w:r>
    </w:p>
    <w:p w14:paraId="4692B0EA" w14:textId="07BDF597" w:rsidR="0066262E" w:rsidRPr="004D24B2" w:rsidRDefault="0066262E" w:rsidP="00512C9B">
      <w:pPr>
        <w:widowControl/>
        <w:spacing w:after="240"/>
        <w:ind w:left="567" w:hanging="567"/>
        <w:rPr>
          <w:bdr w:val="none" w:sz="0" w:space="0" w:color="auto" w:frame="1"/>
        </w:rPr>
      </w:pPr>
      <w:r w:rsidRPr="004D24B2">
        <w:rPr>
          <w:bdr w:val="none" w:sz="0" w:space="0" w:color="auto" w:frame="1"/>
        </w:rPr>
        <w:t>B.</w:t>
      </w:r>
      <w:r w:rsidRPr="004D24B2">
        <w:rPr>
          <w:bdr w:val="none" w:sz="0" w:space="0" w:color="auto" w:frame="1"/>
        </w:rPr>
        <w:tab/>
      </w:r>
      <w:r w:rsidRPr="004D24B2">
        <w:t xml:space="preserve">katsoo, että unionin tuki työttömiksi jääneille työntekijöille olisi keskitettävä ensisijaisesti aktiivisiin työvoimapoliittisiin toimenpiteisiin ja yksilöllisiin palveluihin, joilla pyritään integroimaan edunsaajat nopeasti takaisin ihmisarvoisiin ja kestäviin työpaikkoihin ja valmistellaan heitä samalla vihreämpään ja digitaalisempaan Euroopan talouteen, ottaen asianmukaisesti huomioon 16. joulukuuta 2020 tehdyn toimielinten välisen sopimuksen </w:t>
      </w:r>
      <w:proofErr w:type="spellStart"/>
      <w:r w:rsidRPr="004D24B2">
        <w:t>EGR</w:t>
      </w:r>
      <w:r w:rsidR="00ED0F91">
        <w:t>:n</w:t>
      </w:r>
      <w:proofErr w:type="spellEnd"/>
      <w:r w:rsidRPr="004D24B2">
        <w:t xml:space="preserve"> varojen käyttöönottoa koskevien päätösten osalta;</w:t>
      </w:r>
    </w:p>
    <w:p w14:paraId="0499D8E7" w14:textId="77777777" w:rsidR="0066262E" w:rsidRPr="004D24B2" w:rsidRDefault="0066262E" w:rsidP="00512C9B">
      <w:pPr>
        <w:widowControl/>
        <w:spacing w:after="240"/>
        <w:ind w:left="567" w:hanging="567"/>
      </w:pPr>
      <w:r w:rsidRPr="004D24B2">
        <w:t>C.</w:t>
      </w:r>
      <w:r w:rsidRPr="004D24B2">
        <w:tab/>
        <w:t xml:space="preserve">ottaa huomioon, että unioni oli ensin laajentanut </w:t>
      </w:r>
      <w:proofErr w:type="spellStart"/>
      <w:r w:rsidRPr="004D24B2">
        <w:t>EGR:n</w:t>
      </w:r>
      <w:proofErr w:type="spellEnd"/>
      <w:r w:rsidRPr="004D24B2">
        <w:t xml:space="preserve"> soveltamisalaa siten, että taloudellista tukea tarjotaan minkä tahansa merkittävän rakenneuudistuksen yhteydessä, joten se kattaa covid-19-kriisin taloudelliset vaikutukset:</w:t>
      </w:r>
    </w:p>
    <w:p w14:paraId="1D22CBDE" w14:textId="77777777" w:rsidR="0066262E" w:rsidRPr="004D24B2" w:rsidRDefault="0066262E" w:rsidP="00512C9B">
      <w:pPr>
        <w:widowControl/>
        <w:spacing w:after="240"/>
        <w:ind w:left="567" w:hanging="567"/>
        <w:rPr>
          <w:bdr w:val="none" w:sz="0" w:space="0" w:color="auto" w:frame="1"/>
        </w:rPr>
      </w:pPr>
      <w:r w:rsidRPr="004D24B2">
        <w:rPr>
          <w:bdr w:val="none" w:sz="0" w:space="0" w:color="auto" w:frame="1"/>
        </w:rPr>
        <w:t>D.</w:t>
      </w:r>
      <w:r w:rsidRPr="004D24B2">
        <w:rPr>
          <w:bdr w:val="none" w:sz="0" w:space="0" w:color="auto" w:frame="1"/>
        </w:rPr>
        <w:tab/>
      </w:r>
      <w:r w:rsidRPr="004D24B2">
        <w:t xml:space="preserve">ottaa huomioon, että kun uusi EGR-asetus hyväksyttiin vuonna 2021, </w:t>
      </w:r>
      <w:proofErr w:type="spellStart"/>
      <w:r w:rsidRPr="004D24B2">
        <w:t>EGR:n</w:t>
      </w:r>
      <w:proofErr w:type="spellEnd"/>
      <w:r w:rsidRPr="004D24B2">
        <w:t xml:space="preserve"> soveltamisalaa laajennettiin edelleen koskemaan merkittäviä rakenneuudistuksia, jotka aiheutuvat vähähiiliseen talouteen siirtymisestä tai jotka ovat seurausta </w:t>
      </w:r>
      <w:proofErr w:type="spellStart"/>
      <w:r w:rsidRPr="004D24B2">
        <w:t>digitalisaatiosta</w:t>
      </w:r>
      <w:proofErr w:type="spellEnd"/>
      <w:r w:rsidRPr="004D24B2">
        <w:t xml:space="preserve"> tai automaatiosta, ja samalla </w:t>
      </w:r>
      <w:proofErr w:type="spellStart"/>
      <w:r w:rsidRPr="004D24B2">
        <w:t>EGR:n</w:t>
      </w:r>
      <w:proofErr w:type="spellEnd"/>
      <w:r w:rsidRPr="004D24B2">
        <w:t xml:space="preserve"> varojen käyttöönottoon vaadittava kynnysarvo laskettiin 500 irtisanotusta työntekijästä </w:t>
      </w:r>
      <w:proofErr w:type="gramStart"/>
      <w:r w:rsidRPr="004D24B2">
        <w:t>200:aan</w:t>
      </w:r>
      <w:proofErr w:type="gramEnd"/>
      <w:r w:rsidRPr="004D24B2">
        <w:t>;</w:t>
      </w:r>
    </w:p>
    <w:p w14:paraId="5AF3D518" w14:textId="77777777" w:rsidR="0066262E" w:rsidRPr="004D24B2" w:rsidRDefault="0066262E" w:rsidP="00512C9B">
      <w:pPr>
        <w:widowControl/>
        <w:spacing w:after="240"/>
        <w:ind w:left="567" w:hanging="567"/>
        <w:rPr>
          <w:bdr w:val="none" w:sz="0" w:space="0" w:color="auto" w:frame="1"/>
        </w:rPr>
      </w:pPr>
      <w:r w:rsidRPr="004D24B2">
        <w:rPr>
          <w:bdr w:val="none" w:sz="0" w:space="0" w:color="auto" w:frame="1"/>
        </w:rPr>
        <w:t>E.</w:t>
      </w:r>
      <w:r w:rsidRPr="004D24B2">
        <w:rPr>
          <w:bdr w:val="none" w:sz="0" w:space="0" w:color="auto" w:frame="1"/>
        </w:rPr>
        <w:tab/>
        <w:t xml:space="preserve">ottaa huomioon, että monivuotisen rahoituskehyksen tarkistuksessa </w:t>
      </w:r>
      <w:proofErr w:type="spellStart"/>
      <w:r w:rsidRPr="004D24B2">
        <w:rPr>
          <w:bdr w:val="none" w:sz="0" w:space="0" w:color="auto" w:frame="1"/>
        </w:rPr>
        <w:t>EGR:n</w:t>
      </w:r>
      <w:proofErr w:type="spellEnd"/>
      <w:r w:rsidRPr="004D24B2">
        <w:rPr>
          <w:bdr w:val="none" w:sz="0" w:space="0" w:color="auto" w:frame="1"/>
        </w:rPr>
        <w:t xml:space="preserve"> vuotuista enimmäismäärää vähennetään 186 miljoonasta eurosta 30 miljoonaan euroon (vuoden 2018 hintoina), kuten neuvoston asetuksen (EU, Euratom) 2020/2093 8 artiklassa, sellaisena kuin se on muutettuna asetuksella (EU, Euratom) 2024/765, säädetään; </w:t>
      </w:r>
      <w:r w:rsidRPr="004D24B2">
        <w:t xml:space="preserve">toteaa, että komission olisi seurattava </w:t>
      </w:r>
      <w:proofErr w:type="spellStart"/>
      <w:r w:rsidRPr="004D24B2">
        <w:t>EGR:n</w:t>
      </w:r>
      <w:proofErr w:type="spellEnd"/>
      <w:r w:rsidRPr="004D24B2">
        <w:t xml:space="preserve"> toteuttamista ja että kaikkien toimielinten olisi toteutettava kaikki tarvittavat toimenpiteet sen varmistamiseksi, että kaikki perustellut EGR-tukipyynnöt voidaan täyttää osoituksena unionin yhteisvastuusta;</w:t>
      </w:r>
    </w:p>
    <w:p w14:paraId="5742E491" w14:textId="77777777" w:rsidR="0066262E" w:rsidRPr="004D24B2" w:rsidRDefault="0066262E" w:rsidP="00512C9B">
      <w:pPr>
        <w:widowControl/>
        <w:spacing w:after="240"/>
        <w:ind w:left="567" w:hanging="567"/>
        <w:rPr>
          <w:bdr w:val="none" w:sz="0" w:space="0" w:color="auto" w:frame="1"/>
        </w:rPr>
      </w:pPr>
      <w:r w:rsidRPr="004D24B2">
        <w:rPr>
          <w:bdr w:val="none" w:sz="0" w:space="0" w:color="auto" w:frame="1"/>
        </w:rPr>
        <w:t>F.</w:t>
      </w:r>
      <w:r w:rsidRPr="004D24B2">
        <w:rPr>
          <w:bdr w:val="none" w:sz="0" w:space="0" w:color="auto" w:frame="1"/>
        </w:rPr>
        <w:tab/>
      </w:r>
      <w:r w:rsidRPr="004D24B2">
        <w:t>ottaa huomioon, että EGR-asetuksen 11 artiklan 1 kohdassa säädetään, että enintään 0,5 prosenttia tästä enimmäismäärästä voidaan käyttää komission aloitteesta annettavaan tekniseen apuun;</w:t>
      </w:r>
    </w:p>
    <w:p w14:paraId="3C476944" w14:textId="77777777" w:rsidR="0066262E" w:rsidRPr="004D24B2" w:rsidRDefault="0066262E" w:rsidP="00512C9B">
      <w:pPr>
        <w:widowControl/>
        <w:spacing w:after="240"/>
        <w:ind w:left="567" w:hanging="567"/>
        <w:rPr>
          <w:bdr w:val="none" w:sz="0" w:space="0" w:color="auto" w:frame="1"/>
        </w:rPr>
      </w:pPr>
      <w:r w:rsidRPr="004D24B2">
        <w:rPr>
          <w:bdr w:val="none" w:sz="0" w:space="0" w:color="auto" w:frame="1"/>
        </w:rPr>
        <w:t>G.</w:t>
      </w:r>
      <w:r w:rsidRPr="004D24B2">
        <w:rPr>
          <w:bdr w:val="none" w:sz="0" w:space="0" w:color="auto" w:frame="1"/>
        </w:rPr>
        <w:tab/>
        <w:t xml:space="preserve">ottaa huomioon, että tekninen apu voi koostua </w:t>
      </w:r>
      <w:proofErr w:type="spellStart"/>
      <w:r w:rsidRPr="004D24B2">
        <w:rPr>
          <w:bdr w:val="none" w:sz="0" w:space="0" w:color="auto" w:frame="1"/>
        </w:rPr>
        <w:t>EGR:n</w:t>
      </w:r>
      <w:proofErr w:type="spellEnd"/>
      <w:r w:rsidRPr="004D24B2">
        <w:rPr>
          <w:bdr w:val="none" w:sz="0" w:space="0" w:color="auto" w:frame="1"/>
        </w:rPr>
        <w:t xml:space="preserve"> tuen toteuttamiseen liittyvistä teknisistä ja hallinnollisista menoista, kuten valmistelu-, seuranta-, valvonta-, tarkastus- ja arviointitoimista sekä tiedonkeruusta, myös yritysten tietotekniikkajärjestelmiin liittyvästä tiedonkeruusta, viestintätoimista ja </w:t>
      </w:r>
      <w:proofErr w:type="spellStart"/>
      <w:r w:rsidRPr="004D24B2">
        <w:rPr>
          <w:bdr w:val="none" w:sz="0" w:space="0" w:color="auto" w:frame="1"/>
        </w:rPr>
        <w:t>EGR:n</w:t>
      </w:r>
      <w:proofErr w:type="spellEnd"/>
      <w:r w:rsidRPr="004D24B2">
        <w:rPr>
          <w:bdr w:val="none" w:sz="0" w:space="0" w:color="auto" w:frame="1"/>
        </w:rPr>
        <w:t xml:space="preserve"> näkyvyyttä rahastona tai yksittäisten hankkeiden yhteydessä lisäävistä toimista tai muista teknisen avun toimenpiteistä;</w:t>
      </w:r>
    </w:p>
    <w:p w14:paraId="1A9E2056" w14:textId="77777777" w:rsidR="0066262E" w:rsidRPr="004D24B2" w:rsidRDefault="0066262E" w:rsidP="00512C9B">
      <w:pPr>
        <w:widowControl/>
        <w:spacing w:after="240"/>
        <w:ind w:left="567" w:hanging="567"/>
        <w:rPr>
          <w:bdr w:val="none" w:sz="0" w:space="0" w:color="auto" w:frame="1"/>
        </w:rPr>
      </w:pPr>
      <w:r w:rsidRPr="004D24B2">
        <w:rPr>
          <w:bdr w:val="none" w:sz="0" w:space="0" w:color="auto" w:frame="1"/>
        </w:rPr>
        <w:t>H.</w:t>
      </w:r>
      <w:r w:rsidRPr="004D24B2">
        <w:rPr>
          <w:bdr w:val="none" w:sz="0" w:space="0" w:color="auto" w:frame="1"/>
        </w:rPr>
        <w:tab/>
      </w:r>
      <w:r w:rsidRPr="004D24B2">
        <w:t xml:space="preserve">ottaa huomioon, että ehdotettu 165 000 euron määrä on noin 0,49 prosenttia </w:t>
      </w:r>
      <w:proofErr w:type="spellStart"/>
      <w:r w:rsidRPr="004D24B2">
        <w:t>EGR:n</w:t>
      </w:r>
      <w:proofErr w:type="spellEnd"/>
      <w:r w:rsidRPr="004D24B2">
        <w:t xml:space="preserve"> määrärahojen vuotuisesta enimmäismäärästä vuonna 2024;</w:t>
      </w:r>
    </w:p>
    <w:p w14:paraId="3F4B336C" w14:textId="77777777" w:rsidR="0066262E" w:rsidRPr="004D24B2" w:rsidRDefault="0066262E" w:rsidP="00512C9B">
      <w:pPr>
        <w:widowControl/>
        <w:spacing w:after="240"/>
        <w:ind w:left="567" w:hanging="567"/>
        <w:rPr>
          <w:bdr w:val="none" w:sz="0" w:space="0" w:color="auto" w:frame="1"/>
        </w:rPr>
      </w:pPr>
      <w:r w:rsidRPr="004D24B2">
        <w:rPr>
          <w:bdr w:val="none" w:sz="0" w:space="0" w:color="auto" w:frame="1"/>
        </w:rPr>
        <w:t>1.</w:t>
      </w:r>
      <w:r w:rsidRPr="004D24B2">
        <w:rPr>
          <w:bdr w:val="none" w:sz="0" w:space="0" w:color="auto" w:frame="1"/>
        </w:rPr>
        <w:tab/>
        <w:t>hyväksyy 165 000 euron käyttöönoton ja komission ehdottamien toimenpiteiden rahoittamisen teknisen avun varoista EGR-asetuksen 11 artiklan 1 ja 4 kohdan sekä 12 artiklan 2, 3 ja 4 kohdan mukaisesti;</w:t>
      </w:r>
    </w:p>
    <w:p w14:paraId="43008835" w14:textId="77777777" w:rsidR="0066262E" w:rsidRPr="004D24B2" w:rsidRDefault="0066262E" w:rsidP="00512C9B">
      <w:pPr>
        <w:widowControl/>
        <w:spacing w:after="240"/>
        <w:ind w:left="567" w:hanging="567"/>
      </w:pPr>
      <w:r w:rsidRPr="004D24B2">
        <w:t>2.</w:t>
      </w:r>
      <w:r w:rsidRPr="004D24B2">
        <w:tab/>
        <w:t xml:space="preserve">suhtautuu myönteisesti jatkuvaan työhön, jonka tarkoituksena on saada aikaan vakiomenettelyt EGR-hakemuksia ja hallintoa varten käyttäen sähköisen </w:t>
      </w:r>
      <w:r w:rsidRPr="004D24B2">
        <w:lastRenderedPageBreak/>
        <w:t>tiedonvaihtojärjestelmän (rahastojen yhteishallinnointijärjestelmä, SFC) toimintoja, koska järjestelmän avulla voidaan yksinkertaistaa ja nopeuttaa hakemusten käsittelyä ja parantaa niistä raportointia;</w:t>
      </w:r>
    </w:p>
    <w:p w14:paraId="06762828" w14:textId="77777777" w:rsidR="0066262E" w:rsidRPr="004D24B2" w:rsidRDefault="0066262E" w:rsidP="00512C9B">
      <w:pPr>
        <w:widowControl/>
        <w:spacing w:after="240"/>
        <w:ind w:left="567" w:hanging="567"/>
      </w:pPr>
      <w:r w:rsidRPr="004D24B2">
        <w:t>3.</w:t>
      </w:r>
      <w:r w:rsidRPr="004D24B2">
        <w:tab/>
        <w:t xml:space="preserve">panee merkille, että komissio aikoo hallinnolliseen tukeen käytettävissä olevilla määrärahoilla järjestää EGR-yhteyshenkilöiden asiantuntijaryhmän (kaksi jäsentä kustakin jäsenvaltiosta) kokouksia sekä jäsenvaltioiden verkostoitumisen edistämiseksi yhden seminaarin, johon osallistuvat </w:t>
      </w:r>
      <w:proofErr w:type="spellStart"/>
      <w:r w:rsidRPr="004D24B2">
        <w:t>EGR:n</w:t>
      </w:r>
      <w:proofErr w:type="spellEnd"/>
      <w:r w:rsidRPr="004D24B2">
        <w:t xml:space="preserve"> täytäntöönpanosta vastaavat elimet ja työmarkkinaosapuolet; kehottaa komissiota kutsumaan jatkossakin parlamentin säännöllisesti mukaan näihin kokouksiin ja seminaareihin parlamentin ja komission välisiä suhteita koskevan puitesopimuksen asiaa koskevien määräysten mukaisesti;</w:t>
      </w:r>
    </w:p>
    <w:p w14:paraId="7DEF4445" w14:textId="77777777" w:rsidR="0066262E" w:rsidRPr="004D24B2" w:rsidRDefault="0066262E" w:rsidP="00512C9B">
      <w:pPr>
        <w:widowControl/>
        <w:spacing w:after="240"/>
        <w:ind w:left="567" w:hanging="567"/>
      </w:pPr>
      <w:r w:rsidRPr="004D24B2">
        <w:t>4.</w:t>
      </w:r>
      <w:r w:rsidRPr="004D24B2">
        <w:tab/>
        <w:t>kehottaa komissiota mukauttamaan covid-19-pandemian aikana kehitettyjä parhaita käytäntöjä, erityisesti toimenpiteitä, joilla voidaan nopeuttaa osallistavaa vihreää siirtymää ja digitaalista siirtymää sekä tukea unionin keskeisiä painopisteitä, kuten sukupuolten tasa-arvoa;</w:t>
      </w:r>
    </w:p>
    <w:p w14:paraId="5F1AFEAE" w14:textId="77777777" w:rsidR="0066262E" w:rsidRPr="004D24B2" w:rsidRDefault="0066262E" w:rsidP="00512C9B">
      <w:pPr>
        <w:widowControl/>
        <w:spacing w:after="240"/>
        <w:ind w:left="567" w:hanging="567"/>
      </w:pPr>
      <w:r w:rsidRPr="004D24B2">
        <w:t>5.</w:t>
      </w:r>
      <w:r w:rsidRPr="004D24B2">
        <w:tab/>
        <w:t xml:space="preserve">korostaa, että yleistä tietoisuutta </w:t>
      </w:r>
      <w:proofErr w:type="spellStart"/>
      <w:r w:rsidRPr="004D24B2">
        <w:t>EGR:stä</w:t>
      </w:r>
      <w:proofErr w:type="spellEnd"/>
      <w:r w:rsidRPr="004D24B2">
        <w:t xml:space="preserve"> ja sen näkyvyyttä on vahvistettava edelleen; huomauttaa, että tällaiseen tavoitteeseen voidaan pyrkiä esittelemällä </w:t>
      </w:r>
      <w:proofErr w:type="spellStart"/>
      <w:r w:rsidRPr="004D24B2">
        <w:t>EGR:ää</w:t>
      </w:r>
      <w:proofErr w:type="spellEnd"/>
      <w:r w:rsidRPr="004D24B2">
        <w:t xml:space="preserve"> erilaisissa komission julkaisuissa ja audiovisuaalisissa esityksissä EGR-asetuksen 11 artiklan 1 kohdan mukaisesti; </w:t>
      </w:r>
      <w:r w:rsidRPr="004D24B2">
        <w:rPr>
          <w:bdr w:val="none" w:sz="0" w:space="0" w:color="auto" w:frame="1"/>
        </w:rPr>
        <w:t xml:space="preserve">panee tässä yhteydessä tyytyväisenä merkille </w:t>
      </w:r>
      <w:proofErr w:type="spellStart"/>
      <w:r w:rsidRPr="004D24B2">
        <w:rPr>
          <w:bdr w:val="none" w:sz="0" w:space="0" w:color="auto" w:frame="1"/>
        </w:rPr>
        <w:t>EGR:ää</w:t>
      </w:r>
      <w:proofErr w:type="spellEnd"/>
      <w:r w:rsidRPr="004D24B2">
        <w:rPr>
          <w:bdr w:val="none" w:sz="0" w:space="0" w:color="auto" w:frame="1"/>
        </w:rPr>
        <w:t xml:space="preserve"> varten ylläpidetyn verkkosivuston ja kehottaa komissiota päivittämään ja laajentamaan sitä säännöllisesti, jotta voidaan lisätä </w:t>
      </w:r>
      <w:proofErr w:type="spellStart"/>
      <w:r w:rsidRPr="004D24B2">
        <w:rPr>
          <w:bdr w:val="none" w:sz="0" w:space="0" w:color="auto" w:frame="1"/>
        </w:rPr>
        <w:t>EGR:n</w:t>
      </w:r>
      <w:proofErr w:type="spellEnd"/>
      <w:r w:rsidRPr="004D24B2">
        <w:rPr>
          <w:bdr w:val="none" w:sz="0" w:space="0" w:color="auto" w:frame="1"/>
        </w:rPr>
        <w:t xml:space="preserve"> osoittaman eurooppalaisen solidaarisuuden näkyvyyttä yleisölle ja parantaa unionin toimien avoimuutta;</w:t>
      </w:r>
    </w:p>
    <w:p w14:paraId="29A93D8B" w14:textId="77777777" w:rsidR="0066262E" w:rsidRPr="004D24B2" w:rsidRDefault="0066262E" w:rsidP="00512C9B">
      <w:pPr>
        <w:widowControl/>
        <w:spacing w:after="240"/>
        <w:ind w:left="567" w:hanging="567"/>
      </w:pPr>
      <w:r w:rsidRPr="004D24B2">
        <w:t>6.</w:t>
      </w:r>
      <w:r w:rsidRPr="004D24B2">
        <w:tab/>
        <w:t xml:space="preserve">muistuttaa, että tukea hakevien jäsenvaltioiden keskeisenä tehtävänä on saattaa </w:t>
      </w:r>
      <w:proofErr w:type="spellStart"/>
      <w:r w:rsidRPr="004D24B2">
        <w:t>EGR:stä</w:t>
      </w:r>
      <w:proofErr w:type="spellEnd"/>
      <w:r w:rsidRPr="004D24B2">
        <w:t xml:space="preserve"> rahoitettavat toimet laajalti kohteena olevien edunsaajien, </w:t>
      </w:r>
      <w:proofErr w:type="spellStart"/>
      <w:r w:rsidRPr="004D24B2">
        <w:t>paikallis</w:t>
      </w:r>
      <w:proofErr w:type="spellEnd"/>
      <w:r w:rsidRPr="004D24B2">
        <w:t>- ja alueviranomaisten, työmarkkinaosapuolten, tiedotusvälineiden ja suuren yleisön tietoon EGR-asetuksen 12 artiklassa vaaditulla tavalla;</w:t>
      </w:r>
    </w:p>
    <w:p w14:paraId="5CAAB94A" w14:textId="77777777" w:rsidR="0066262E" w:rsidRPr="004D24B2" w:rsidRDefault="0066262E" w:rsidP="00512C9B">
      <w:pPr>
        <w:widowControl/>
        <w:spacing w:after="240"/>
        <w:ind w:left="567" w:hanging="567"/>
      </w:pPr>
      <w:r w:rsidRPr="004D24B2">
        <w:t>7.</w:t>
      </w:r>
      <w:r w:rsidRPr="004D24B2">
        <w:tab/>
        <w:t>hyväksyy tämän päätöslauselman liitteenä olevan päätöksen;</w:t>
      </w:r>
    </w:p>
    <w:p w14:paraId="1C9323C7" w14:textId="77777777" w:rsidR="0066262E" w:rsidRPr="004D24B2" w:rsidRDefault="0066262E" w:rsidP="00512C9B">
      <w:pPr>
        <w:widowControl/>
        <w:spacing w:after="240"/>
        <w:ind w:left="567" w:hanging="567"/>
        <w:rPr>
          <w:rFonts w:ascii="Arial Unicode MS" w:hAnsi="Arial Unicode MS"/>
          <w:bdr w:val="none" w:sz="0" w:space="0" w:color="auto" w:frame="1"/>
        </w:rPr>
      </w:pPr>
      <w:r w:rsidRPr="004D24B2">
        <w:t>8.</w:t>
      </w:r>
      <w:r w:rsidRPr="004D24B2">
        <w:tab/>
      </w:r>
      <w:r w:rsidRPr="004D24B2">
        <w:rPr>
          <w:bdr w:val="none" w:sz="0" w:space="0" w:color="auto" w:frame="1"/>
        </w:rPr>
        <w:t>kehottaa puhemiestä allekirjoittamaan päätöksen neuvoston puheenjohtajan kanssa ja huolehtimaan sen julkaisemisesta</w:t>
      </w:r>
      <w:r w:rsidRPr="004D24B2">
        <w:rPr>
          <w:i/>
          <w:bdr w:val="none" w:sz="0" w:space="0" w:color="auto" w:frame="1"/>
        </w:rPr>
        <w:t xml:space="preserve"> Euroopan unionin virallisessa lehdessä</w:t>
      </w:r>
      <w:r w:rsidRPr="004D24B2">
        <w:rPr>
          <w:bdr w:val="none" w:sz="0" w:space="0" w:color="auto" w:frame="1"/>
        </w:rPr>
        <w:t>;</w:t>
      </w:r>
    </w:p>
    <w:p w14:paraId="53D03F3E" w14:textId="77777777" w:rsidR="0066262E" w:rsidRPr="004D24B2" w:rsidRDefault="0066262E" w:rsidP="00512C9B">
      <w:pPr>
        <w:widowControl/>
        <w:spacing w:after="240"/>
        <w:ind w:left="567" w:hanging="567"/>
        <w:rPr>
          <w:noProof/>
        </w:rPr>
      </w:pPr>
      <w:r w:rsidRPr="004D24B2">
        <w:rPr>
          <w:bdr w:val="none" w:sz="0" w:space="0" w:color="auto" w:frame="1"/>
        </w:rPr>
        <w:t>9.</w:t>
      </w:r>
      <w:r w:rsidRPr="004D24B2">
        <w:rPr>
          <w:bdr w:val="none" w:sz="0" w:space="0" w:color="auto" w:frame="1"/>
        </w:rPr>
        <w:tab/>
        <w:t>kehottaa puhemiestä välittämään tämän päätöslauselman liitteineen neuvostolle ja komissiolle.</w:t>
      </w:r>
    </w:p>
    <w:p w14:paraId="7716FEF8" w14:textId="77777777" w:rsidR="0066262E" w:rsidRPr="004D24B2" w:rsidRDefault="0066262E" w:rsidP="00512C9B">
      <w:pPr>
        <w:widowControl/>
        <w:rPr>
          <w:noProof/>
        </w:rPr>
      </w:pPr>
    </w:p>
    <w:p w14:paraId="48405AF1" w14:textId="77777777" w:rsidR="0066262E" w:rsidRPr="004D24B2" w:rsidRDefault="0066262E" w:rsidP="00512C9B">
      <w:pPr>
        <w:pStyle w:val="PageHeading"/>
        <w:widowControl/>
        <w:rPr>
          <w:noProof/>
        </w:rPr>
        <w:sectPr w:rsidR="0066262E" w:rsidRPr="004D24B2" w:rsidSect="004D24B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ADD5111" w14:textId="77777777" w:rsidR="00183761" w:rsidRPr="001C0704" w:rsidRDefault="0066262E" w:rsidP="00512C9B">
      <w:pPr>
        <w:pStyle w:val="PageHeading"/>
        <w:widowControl/>
        <w:rPr>
          <w:rFonts w:ascii="Times New Roman" w:hAnsi="Times New Roman" w:cs="Times New Roman"/>
        </w:rPr>
      </w:pPr>
      <w:bookmarkStart w:id="8" w:name="_Toc163809332"/>
      <w:r w:rsidRPr="001C0704">
        <w:rPr>
          <w:rFonts w:ascii="Times New Roman" w:hAnsi="Times New Roman" w:cs="Times New Roman"/>
        </w:rPr>
        <w:lastRenderedPageBreak/>
        <w:t>LIITE</w:t>
      </w:r>
    </w:p>
    <w:p w14:paraId="67EDAA49" w14:textId="677BB7D0" w:rsidR="0066262E" w:rsidRPr="001C0704" w:rsidRDefault="0066262E" w:rsidP="00512C9B">
      <w:pPr>
        <w:pStyle w:val="PageHeading"/>
        <w:widowControl/>
        <w:rPr>
          <w:rFonts w:ascii="Times New Roman" w:hAnsi="Times New Roman" w:cs="Times New Roman"/>
          <w:noProof/>
        </w:rPr>
      </w:pPr>
      <w:r w:rsidRPr="001C0704">
        <w:rPr>
          <w:rFonts w:ascii="Times New Roman" w:hAnsi="Times New Roman" w:cs="Times New Roman"/>
        </w:rPr>
        <w:t>EUROOPAN PARLAMENTIN JA NEUVOSTON PÄÄTÖS</w:t>
      </w:r>
      <w:bookmarkEnd w:id="8"/>
    </w:p>
    <w:p w14:paraId="23AAB173" w14:textId="30834DA3" w:rsidR="0066262E" w:rsidRDefault="0066262E" w:rsidP="00512C9B">
      <w:pPr>
        <w:pStyle w:val="Titreobjet"/>
      </w:pPr>
      <w:r w:rsidRPr="004D24B2">
        <w:t>työttömiksi jääneitä työntekijöitä tukevan Euroopan globalisaatiorahaston varojen käyttöönotosta (EGF/2024/000 TA 2024 – komission aloitteesta annettava tekninen apu)</w:t>
      </w:r>
    </w:p>
    <w:p w14:paraId="780062AE" w14:textId="3C01CD0A" w:rsidR="00183761" w:rsidRPr="006E0791" w:rsidRDefault="00183761" w:rsidP="00183761">
      <w:pPr>
        <w:rPr>
          <w:i/>
          <w:szCs w:val="24"/>
        </w:rPr>
      </w:pPr>
      <w:r w:rsidRPr="006E0791">
        <w:rPr>
          <w:i/>
          <w:szCs w:val="24"/>
        </w:rPr>
        <w:t xml:space="preserve">(Tätä liitettä ei esitetä tässä, koska se vastaa lopullista säädöstä, päätöstä </w:t>
      </w:r>
      <w:r>
        <w:rPr>
          <w:i/>
          <w:szCs w:val="24"/>
        </w:rPr>
        <w:t>(</w:t>
      </w:r>
      <w:r w:rsidRPr="006E0791">
        <w:rPr>
          <w:i/>
          <w:szCs w:val="24"/>
        </w:rPr>
        <w:t>EU</w:t>
      </w:r>
      <w:r>
        <w:rPr>
          <w:i/>
          <w:szCs w:val="24"/>
        </w:rPr>
        <w:t xml:space="preserve">) </w:t>
      </w:r>
      <w:r w:rsidRPr="00783CD0">
        <w:rPr>
          <w:rStyle w:val="Emphasis"/>
        </w:rPr>
        <w:t>2024/</w:t>
      </w:r>
      <w:r>
        <w:rPr>
          <w:rStyle w:val="Emphasis"/>
        </w:rPr>
        <w:t>1300</w:t>
      </w:r>
      <w:r w:rsidRPr="00783CD0">
        <w:rPr>
          <w:i/>
          <w:szCs w:val="24"/>
        </w:rPr>
        <w:t>.)</w:t>
      </w:r>
    </w:p>
    <w:p w14:paraId="38463231" w14:textId="77777777" w:rsidR="00183761" w:rsidRPr="00183761" w:rsidRDefault="00183761" w:rsidP="00183761">
      <w:pPr>
        <w:rPr>
          <w:lang w:eastAsia="en-US"/>
        </w:rPr>
      </w:pPr>
      <w:bookmarkStart w:id="9" w:name="_GoBack"/>
      <w:bookmarkEnd w:id="9"/>
    </w:p>
    <w:sectPr w:rsidR="00183761" w:rsidRPr="00183761" w:rsidSect="004D24B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295074" w14:textId="77777777" w:rsidR="009700CC" w:rsidRPr="004D24B2" w:rsidRDefault="009700CC">
      <w:r w:rsidRPr="004D24B2">
        <w:separator/>
      </w:r>
    </w:p>
  </w:endnote>
  <w:endnote w:type="continuationSeparator" w:id="0">
    <w:p w14:paraId="5A9257D0" w14:textId="77777777" w:rsidR="009700CC" w:rsidRPr="004D24B2" w:rsidRDefault="009700CC">
      <w:r w:rsidRPr="004D24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7AFE4" w14:textId="77777777" w:rsidR="0066262E" w:rsidRPr="004D24B2" w:rsidRDefault="0066262E" w:rsidP="00086F4D">
    <w:pPr>
      <w:pStyle w:val="EPFooter"/>
    </w:pPr>
    <w:r w:rsidRPr="004D24B2">
      <w:t>PE</w:t>
    </w:r>
    <w:r w:rsidRPr="004D24B2">
      <w:rPr>
        <w:rStyle w:val="HideTWBExt"/>
      </w:rPr>
      <w:t>&lt;NoPE&gt;</w:t>
    </w:r>
    <w:r w:rsidRPr="004D24B2">
      <w:t>759.750</w:t>
    </w:r>
    <w:r w:rsidRPr="004D24B2">
      <w:rPr>
        <w:rStyle w:val="HideTWBExt"/>
      </w:rPr>
      <w:t>&lt;/NoPE&gt;&lt;Version&gt;</w:t>
    </w:r>
    <w:r w:rsidRPr="004D24B2">
      <w:t>v02-00</w:t>
    </w:r>
    <w:r w:rsidRPr="004D24B2">
      <w:rPr>
        <w:rStyle w:val="HideTWBExt"/>
      </w:rPr>
      <w:t>&lt;/Version&gt;</w:t>
    </w:r>
    <w:r w:rsidRPr="004D24B2">
      <w:tab/>
    </w:r>
    <w:r w:rsidRPr="004D24B2">
      <w:fldChar w:fldCharType="begin"/>
    </w:r>
    <w:r w:rsidRPr="004D24B2">
      <w:instrText xml:space="preserve"> PAGE  \* MERGEFORMAT </w:instrText>
    </w:r>
    <w:r w:rsidRPr="004D24B2">
      <w:fldChar w:fldCharType="separate"/>
    </w:r>
    <w:r w:rsidR="004D24B2" w:rsidRPr="004D24B2">
      <w:rPr>
        <w:noProof/>
      </w:rPr>
      <w:t>2</w:t>
    </w:r>
    <w:r w:rsidRPr="004D24B2">
      <w:fldChar w:fldCharType="end"/>
    </w:r>
    <w:r w:rsidRPr="004D24B2">
      <w:t>/</w:t>
    </w:r>
    <w:r w:rsidR="001C0704">
      <w:fldChar w:fldCharType="begin"/>
    </w:r>
    <w:r w:rsidR="001C0704">
      <w:instrText xml:space="preserve"> NUMPAGES  \* MERGEFORMAT </w:instrText>
    </w:r>
    <w:r w:rsidR="001C0704">
      <w:fldChar w:fldCharType="separate"/>
    </w:r>
    <w:r w:rsidR="004D24B2" w:rsidRPr="004D24B2">
      <w:rPr>
        <w:noProof/>
      </w:rPr>
      <w:t>6</w:t>
    </w:r>
    <w:r w:rsidR="001C0704">
      <w:rPr>
        <w:noProof/>
      </w:rPr>
      <w:fldChar w:fldCharType="end"/>
    </w:r>
    <w:r w:rsidRPr="004D24B2">
      <w:tab/>
    </w:r>
    <w:r w:rsidRPr="004D24B2">
      <w:rPr>
        <w:rStyle w:val="HideTWBExt"/>
      </w:rPr>
      <w:t>&lt;PathFdR&gt;</w:t>
    </w:r>
    <w:r w:rsidRPr="004D24B2">
      <w:t>RR\1300716FI.docx</w:t>
    </w:r>
    <w:r w:rsidRPr="004D24B2">
      <w:rPr>
        <w:rStyle w:val="HideTWBExt"/>
      </w:rPr>
      <w:t>&lt;/PathFdR&gt;</w:t>
    </w:r>
  </w:p>
  <w:p w14:paraId="4EA38C34" w14:textId="77777777" w:rsidR="0066262E" w:rsidRPr="004D24B2" w:rsidRDefault="0066262E" w:rsidP="00086F4D">
    <w:pPr>
      <w:pStyle w:val="EPFooter2"/>
    </w:pPr>
    <w:r w:rsidRPr="004D24B2">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F97DC" w14:textId="77777777" w:rsidR="0066262E" w:rsidRPr="004D24B2" w:rsidRDefault="0066262E" w:rsidP="00086F4D">
    <w:pPr>
      <w:pStyle w:val="EPFooter"/>
    </w:pPr>
    <w:r w:rsidRPr="004D24B2">
      <w:rPr>
        <w:rStyle w:val="HideTWBExt"/>
      </w:rPr>
      <w:t>&lt;PathFdR&gt;</w:t>
    </w:r>
    <w:r w:rsidRPr="004D24B2">
      <w:t>RR\1300716FI.docx</w:t>
    </w:r>
    <w:r w:rsidRPr="004D24B2">
      <w:rPr>
        <w:rStyle w:val="HideTWBExt"/>
      </w:rPr>
      <w:t>&lt;/PathFdR&gt;</w:t>
    </w:r>
    <w:r w:rsidRPr="004D24B2">
      <w:tab/>
    </w:r>
    <w:r w:rsidRPr="004D24B2">
      <w:tab/>
      <w:t>PE</w:t>
    </w:r>
    <w:r w:rsidRPr="004D24B2">
      <w:rPr>
        <w:rStyle w:val="HideTWBExt"/>
      </w:rPr>
      <w:t>&lt;NoPE&gt;</w:t>
    </w:r>
    <w:r w:rsidRPr="004D24B2">
      <w:t>759.750</w:t>
    </w:r>
    <w:r w:rsidRPr="004D24B2">
      <w:rPr>
        <w:rStyle w:val="HideTWBExt"/>
      </w:rPr>
      <w:t>&lt;/NoPE&gt;&lt;Version&gt;</w:t>
    </w:r>
    <w:r w:rsidRPr="004D24B2">
      <w:t>v02-00</w:t>
    </w:r>
    <w:r w:rsidRPr="004D24B2">
      <w:rPr>
        <w:rStyle w:val="HideTWBExt"/>
      </w:rPr>
      <w:t>&lt;/Version&gt;</w:t>
    </w:r>
  </w:p>
  <w:p w14:paraId="3B31DAEB" w14:textId="77777777" w:rsidR="0066262E" w:rsidRPr="004D24B2" w:rsidRDefault="0066262E" w:rsidP="00086F4D">
    <w:pPr>
      <w:pStyle w:val="EPFooter2"/>
    </w:pPr>
    <w:r w:rsidRPr="004D24B2">
      <w:t>FI</w:t>
    </w:r>
    <w:r w:rsidRPr="004D24B2">
      <w:tab/>
    </w:r>
    <w:r w:rsidRPr="004D24B2">
      <w:rPr>
        <w:b w:val="0"/>
        <w:i/>
        <w:color w:val="C0C0C0"/>
        <w:sz w:val="22"/>
      </w:rPr>
      <w:t>Moninaisuudessaan yhtenäinen</w:t>
    </w:r>
    <w:r w:rsidRPr="004D24B2">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78486" w14:textId="77777777" w:rsidR="00064002" w:rsidRPr="004D24B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6D8E7" w14:textId="77777777" w:rsidR="00064002" w:rsidRPr="00512C9B" w:rsidRDefault="00064002" w:rsidP="00512C9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82FC7" w14:textId="77777777" w:rsidR="00064002" w:rsidRPr="004D24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230165" w14:textId="77777777" w:rsidR="009700CC" w:rsidRPr="004D24B2" w:rsidRDefault="009700CC">
      <w:r w:rsidRPr="004D24B2">
        <w:separator/>
      </w:r>
    </w:p>
  </w:footnote>
  <w:footnote w:type="continuationSeparator" w:id="0">
    <w:p w14:paraId="46B9FAFA" w14:textId="77777777" w:rsidR="009700CC" w:rsidRPr="004D24B2" w:rsidRDefault="009700CC">
      <w:r w:rsidRPr="004D24B2">
        <w:continuationSeparator/>
      </w:r>
    </w:p>
  </w:footnote>
  <w:footnote w:id="1">
    <w:p w14:paraId="12FFF8C0" w14:textId="77777777" w:rsidR="0066262E" w:rsidRPr="00384C0E" w:rsidRDefault="0066262E" w:rsidP="004D24B2">
      <w:pPr>
        <w:pStyle w:val="FootnoteText"/>
        <w:ind w:left="567" w:hanging="567"/>
        <w:rPr>
          <w:sz w:val="24"/>
          <w:lang w:val="da-DK"/>
        </w:rPr>
      </w:pPr>
      <w:r w:rsidRPr="00384C0E">
        <w:rPr>
          <w:rStyle w:val="FootnoteReference"/>
          <w:sz w:val="24"/>
          <w:lang w:val="fi-FI"/>
        </w:rPr>
        <w:footnoteRef/>
      </w:r>
      <w:r w:rsidR="004D24B2" w:rsidRPr="00384C0E">
        <w:rPr>
          <w:sz w:val="24"/>
          <w:lang w:val="da-DK"/>
        </w:rPr>
        <w:t xml:space="preserve"> </w:t>
      </w:r>
      <w:r w:rsidR="004D24B2" w:rsidRPr="00384C0E">
        <w:rPr>
          <w:sz w:val="24"/>
          <w:lang w:val="da-DK"/>
        </w:rPr>
        <w:tab/>
      </w:r>
      <w:r w:rsidRPr="00384C0E">
        <w:rPr>
          <w:sz w:val="24"/>
          <w:lang w:val="da-DK"/>
        </w:rPr>
        <w:t>EUVL L 153, 3.5.2021, s. 48.</w:t>
      </w:r>
    </w:p>
  </w:footnote>
  <w:footnote w:id="2">
    <w:p w14:paraId="00F68671" w14:textId="77777777" w:rsidR="0066262E" w:rsidRPr="00384C0E" w:rsidRDefault="0066262E" w:rsidP="004D24B2">
      <w:pPr>
        <w:pStyle w:val="FootnoteText"/>
        <w:ind w:left="567" w:hanging="567"/>
        <w:rPr>
          <w:sz w:val="24"/>
          <w:lang w:val="da-DK"/>
        </w:rPr>
      </w:pPr>
      <w:r w:rsidRPr="00384C0E">
        <w:rPr>
          <w:rStyle w:val="FootnoteReference"/>
          <w:sz w:val="24"/>
          <w:lang w:val="fi-FI"/>
        </w:rPr>
        <w:footnoteRef/>
      </w:r>
      <w:r w:rsidR="004D24B2" w:rsidRPr="00384C0E">
        <w:rPr>
          <w:sz w:val="24"/>
          <w:lang w:val="da-DK"/>
        </w:rPr>
        <w:t xml:space="preserve"> </w:t>
      </w:r>
      <w:r w:rsidR="004D24B2" w:rsidRPr="00384C0E">
        <w:rPr>
          <w:sz w:val="24"/>
          <w:lang w:val="da-DK"/>
        </w:rPr>
        <w:tab/>
      </w:r>
      <w:r w:rsidRPr="00384C0E">
        <w:rPr>
          <w:sz w:val="24"/>
          <w:lang w:val="da-DK"/>
        </w:rPr>
        <w:t>EUVL L 433 I, 22.12.2020, s. 11.</w:t>
      </w:r>
    </w:p>
  </w:footnote>
  <w:footnote w:id="3">
    <w:p w14:paraId="0C90425E" w14:textId="77777777" w:rsidR="0066262E" w:rsidRPr="00384C0E" w:rsidRDefault="0066262E" w:rsidP="004D24B2">
      <w:pPr>
        <w:pStyle w:val="FootnoteText"/>
        <w:ind w:left="567" w:hanging="567"/>
        <w:rPr>
          <w:sz w:val="24"/>
          <w:lang w:val="fi-FI"/>
        </w:rPr>
      </w:pPr>
      <w:r w:rsidRPr="00384C0E">
        <w:rPr>
          <w:rStyle w:val="FootnoteReference"/>
          <w:sz w:val="24"/>
          <w:lang w:val="fi-FI"/>
        </w:rPr>
        <w:footnoteRef/>
      </w:r>
      <w:r w:rsidR="004D24B2" w:rsidRPr="00384C0E">
        <w:rPr>
          <w:color w:val="333333"/>
          <w:sz w:val="24"/>
          <w:shd w:val="clear" w:color="auto" w:fill="FFFFFF"/>
          <w:lang w:val="fi-FI"/>
        </w:rPr>
        <w:t xml:space="preserve"> </w:t>
      </w:r>
      <w:r w:rsidR="004D24B2" w:rsidRPr="00384C0E">
        <w:rPr>
          <w:color w:val="333333"/>
          <w:sz w:val="24"/>
          <w:shd w:val="clear" w:color="auto" w:fill="FFFFFF"/>
          <w:lang w:val="fi-FI"/>
        </w:rPr>
        <w:tab/>
      </w:r>
      <w:r w:rsidRPr="00384C0E">
        <w:rPr>
          <w:sz w:val="24"/>
          <w:shd w:val="clear" w:color="auto" w:fill="FFFFFF"/>
          <w:lang w:val="fi-FI"/>
        </w:rPr>
        <w:t>Neuvoston asetus (EU, Euratom) 2024/765, annettu 29. helmikuuta 2024, vuosia 2021–2027 koskevan monivuotisen rahoituskehyksen vahvistamisesta annetun asetuksen (EU, Euratom) 2020/2093 muuttamisesta (</w:t>
      </w:r>
      <w:r w:rsidRPr="00384C0E">
        <w:rPr>
          <w:sz w:val="24"/>
          <w:lang w:val="fi-FI"/>
        </w:rPr>
        <w:t xml:space="preserve">EUVL L, 2024/765, 29.2.2024, </w:t>
      </w:r>
      <w:r w:rsidRPr="00384C0E">
        <w:rPr>
          <w:rStyle w:val="Emphasis"/>
          <w:sz w:val="24"/>
          <w:shd w:val="clear" w:color="auto" w:fill="FFFFFF"/>
          <w:lang w:val="fi-FI"/>
        </w:rPr>
        <w:t>ELI: http://data.europa.eu/eli/reg/2024/765/oj).</w:t>
      </w:r>
    </w:p>
  </w:footnote>
  <w:footnote w:id="4">
    <w:p w14:paraId="154ED529" w14:textId="2C23C9C8" w:rsidR="0066262E" w:rsidRPr="00384C0E" w:rsidRDefault="0066262E" w:rsidP="004D24B2">
      <w:pPr>
        <w:pStyle w:val="FootnoteText"/>
        <w:ind w:left="567" w:hanging="567"/>
        <w:rPr>
          <w:sz w:val="24"/>
          <w:lang w:val="pt-PT"/>
        </w:rPr>
      </w:pPr>
      <w:r w:rsidRPr="00384C0E">
        <w:rPr>
          <w:rStyle w:val="FootnoteReference"/>
          <w:sz w:val="24"/>
          <w:lang w:val="fi-FI"/>
        </w:rPr>
        <w:footnoteRef/>
      </w:r>
      <w:r w:rsidR="004D24B2" w:rsidRPr="00384C0E">
        <w:rPr>
          <w:sz w:val="24"/>
          <w:lang w:val="pt-PT"/>
        </w:rPr>
        <w:t xml:space="preserve"> </w:t>
      </w:r>
      <w:r w:rsidR="004D24B2" w:rsidRPr="00384C0E">
        <w:rPr>
          <w:sz w:val="24"/>
          <w:lang w:val="pt-PT"/>
        </w:rPr>
        <w:tab/>
      </w:r>
      <w:r w:rsidRPr="00384C0E">
        <w:rPr>
          <w:sz w:val="24"/>
          <w:lang w:val="pt-PT"/>
        </w:rPr>
        <w:t>EUVL L 433 I, 22.12.2020, s</w:t>
      </w:r>
      <w:r w:rsidR="00183761">
        <w:rPr>
          <w:sz w:val="24"/>
          <w:lang w:val="pt-PT"/>
        </w:rPr>
        <w:t>.</w:t>
      </w:r>
      <w:r w:rsidRPr="00384C0E">
        <w:rPr>
          <w:sz w:val="24"/>
          <w:lang w:val="pt-PT"/>
        </w:rPr>
        <w:t xml:space="preserve">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D581" w14:textId="77777777" w:rsidR="00064002" w:rsidRPr="004D24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77166" w14:textId="77777777" w:rsidR="00064002" w:rsidRPr="004D24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B8F9B" w14:textId="77777777" w:rsidR="00064002" w:rsidRPr="004D24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3/2024"/>
    <w:docVar w:name="dvlangue" w:val="FI"/>
    <w:docVar w:name="dvnumam" w:val="0"/>
    <w:docVar w:name="dvpe" w:val="759.750"/>
    <w:docVar w:name="dvrapporteur" w:val="Esittelijä: "/>
    <w:docVar w:name="dvtitre" w:val="Euroopan parlamentin päätöslauselma xx. huhtikuuta 2024 ehdotuksesta Euroopan parlamentin ja neuvoston päätökseksi työttömiksi jääneitä työntekijöitä tukevan Euroopan globalisaatiorahaston varojen käyttöönotosta – EGF/2024/000 TA 2024 – komission aloitteesta annettava tekninen apu(COM(2024)0084 – C9-0042/2024 – 2024/0003(BUD))"/>
  </w:docVars>
  <w:rsids>
    <w:rsidRoot w:val="009700CC"/>
    <w:rsid w:val="00002272"/>
    <w:rsid w:val="00064002"/>
    <w:rsid w:val="000677B9"/>
    <w:rsid w:val="000831BA"/>
    <w:rsid w:val="000A42CC"/>
    <w:rsid w:val="000E7DD9"/>
    <w:rsid w:val="0010095E"/>
    <w:rsid w:val="00125B37"/>
    <w:rsid w:val="00144C42"/>
    <w:rsid w:val="00183761"/>
    <w:rsid w:val="00187494"/>
    <w:rsid w:val="001C0704"/>
    <w:rsid w:val="001F32AE"/>
    <w:rsid w:val="002767FF"/>
    <w:rsid w:val="002B18FE"/>
    <w:rsid w:val="002B5493"/>
    <w:rsid w:val="00343214"/>
    <w:rsid w:val="00361C00"/>
    <w:rsid w:val="00384C0E"/>
    <w:rsid w:val="00395FA1"/>
    <w:rsid w:val="003E15D4"/>
    <w:rsid w:val="00411CCE"/>
    <w:rsid w:val="0041666E"/>
    <w:rsid w:val="00421060"/>
    <w:rsid w:val="00471C19"/>
    <w:rsid w:val="004867E3"/>
    <w:rsid w:val="00494A28"/>
    <w:rsid w:val="004C0004"/>
    <w:rsid w:val="004C5D52"/>
    <w:rsid w:val="004D24B2"/>
    <w:rsid w:val="0050519A"/>
    <w:rsid w:val="005072A1"/>
    <w:rsid w:val="00512C9B"/>
    <w:rsid w:val="00514517"/>
    <w:rsid w:val="00545827"/>
    <w:rsid w:val="00560270"/>
    <w:rsid w:val="005C2568"/>
    <w:rsid w:val="006037C0"/>
    <w:rsid w:val="0066262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00CC"/>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0F18"/>
    <w:rsid w:val="00D56C11"/>
    <w:rsid w:val="00D834A0"/>
    <w:rsid w:val="00D872DF"/>
    <w:rsid w:val="00D91E21"/>
    <w:rsid w:val="00DA7FCD"/>
    <w:rsid w:val="00E365E1"/>
    <w:rsid w:val="00E820A4"/>
    <w:rsid w:val="00EB006A"/>
    <w:rsid w:val="00EB4772"/>
    <w:rsid w:val="00ED0F9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DEE51D"/>
  <w15:chartTrackingRefBased/>
  <w15:docId w15:val="{E2FACA5B-15EA-4213-86C0-F99202066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6262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66262E"/>
    <w:pPr>
      <w:keepNext/>
      <w:spacing w:after="480"/>
      <w:jc w:val="center"/>
    </w:pPr>
    <w:rPr>
      <w:rFonts w:ascii="Arial" w:hAnsi="Arial" w:cs="Arial"/>
      <w:b/>
    </w:rPr>
  </w:style>
  <w:style w:type="paragraph" w:customStyle="1" w:styleId="NormalHanging12a">
    <w:name w:val="NormalHanging12a"/>
    <w:basedOn w:val="Normal"/>
    <w:rsid w:val="0066262E"/>
    <w:pPr>
      <w:spacing w:after="240"/>
      <w:ind w:left="567" w:hanging="567"/>
    </w:pPr>
  </w:style>
  <w:style w:type="paragraph" w:styleId="Header">
    <w:name w:val="header"/>
    <w:basedOn w:val="Normal"/>
    <w:link w:val="HeaderChar"/>
    <w:rsid w:val="0066262E"/>
    <w:pPr>
      <w:tabs>
        <w:tab w:val="center" w:pos="4513"/>
        <w:tab w:val="right" w:pos="9026"/>
      </w:tabs>
    </w:pPr>
  </w:style>
  <w:style w:type="character" w:customStyle="1" w:styleId="HeaderChar">
    <w:name w:val="Header Char"/>
    <w:basedOn w:val="DefaultParagraphFont"/>
    <w:link w:val="Header"/>
    <w:rsid w:val="0066262E"/>
    <w:rPr>
      <w:sz w:val="24"/>
      <w:lang w:val="fi-FI"/>
    </w:rPr>
  </w:style>
  <w:style w:type="paragraph" w:customStyle="1" w:styleId="EPFooter">
    <w:name w:val="EPFooter"/>
    <w:basedOn w:val="Normal"/>
    <w:rsid w:val="0066262E"/>
    <w:pPr>
      <w:tabs>
        <w:tab w:val="center" w:pos="4535"/>
        <w:tab w:val="right" w:pos="9071"/>
      </w:tabs>
      <w:spacing w:before="240" w:after="240"/>
    </w:pPr>
    <w:rPr>
      <w:color w:val="010000"/>
      <w:sz w:val="22"/>
    </w:rPr>
  </w:style>
  <w:style w:type="paragraph" w:customStyle="1" w:styleId="EPComma">
    <w:name w:val="EPComma"/>
    <w:basedOn w:val="Normal"/>
    <w:rsid w:val="0066262E"/>
    <w:pPr>
      <w:spacing w:before="480" w:after="240"/>
    </w:pPr>
  </w:style>
  <w:style w:type="paragraph" w:customStyle="1" w:styleId="Institutionquiagit">
    <w:name w:val="Institution qui agit"/>
    <w:basedOn w:val="Normal"/>
    <w:next w:val="Normal"/>
    <w:rsid w:val="0066262E"/>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66262E"/>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66262E"/>
    <w:pPr>
      <w:widowControl/>
      <w:tabs>
        <w:tab w:val="left" w:pos="4252"/>
      </w:tabs>
    </w:pPr>
    <w:rPr>
      <w:rFonts w:eastAsiaTheme="minorHAnsi"/>
      <w:i/>
      <w:szCs w:val="22"/>
      <w:lang w:eastAsia="en-US"/>
    </w:rPr>
  </w:style>
  <w:style w:type="paragraph" w:customStyle="1" w:styleId="Fait">
    <w:name w:val="Fait à"/>
    <w:basedOn w:val="Normal"/>
    <w:next w:val="Institutionquisigne"/>
    <w:rsid w:val="0066262E"/>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66262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6262E"/>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66262E"/>
    <w:pPr>
      <w:widowControl/>
      <w:spacing w:before="120" w:after="120"/>
      <w:ind w:left="709" w:hanging="709"/>
      <w:jc w:val="both"/>
    </w:pPr>
    <w:rPr>
      <w:rFonts w:eastAsiaTheme="minorHAnsi"/>
      <w:szCs w:val="22"/>
      <w:lang w:eastAsia="en-US"/>
    </w:rPr>
  </w:style>
  <w:style w:type="paragraph" w:customStyle="1" w:styleId="Titreobjet">
    <w:name w:val="Titre objet"/>
    <w:basedOn w:val="Normal"/>
    <w:next w:val="Normal"/>
    <w:rsid w:val="0066262E"/>
    <w:pPr>
      <w:widowControl/>
      <w:spacing w:before="360" w:after="360"/>
      <w:jc w:val="center"/>
    </w:pPr>
    <w:rPr>
      <w:rFonts w:eastAsiaTheme="minorHAnsi"/>
      <w:b/>
      <w:szCs w:val="22"/>
      <w:lang w:eastAsia="en-US"/>
    </w:rPr>
  </w:style>
  <w:style w:type="character" w:styleId="Emphasis">
    <w:name w:val="Emphasis"/>
    <w:basedOn w:val="DefaultParagraphFont"/>
    <w:qFormat/>
    <w:rsid w:val="0066262E"/>
    <w:rPr>
      <w:i/>
      <w:iCs/>
    </w:rPr>
  </w:style>
  <w:style w:type="paragraph" w:styleId="Footer">
    <w:name w:val="footer"/>
    <w:basedOn w:val="Normal"/>
    <w:link w:val="FooterChar"/>
    <w:rsid w:val="00512C9B"/>
    <w:pPr>
      <w:tabs>
        <w:tab w:val="center" w:pos="4513"/>
        <w:tab w:val="right" w:pos="9026"/>
      </w:tabs>
    </w:pPr>
  </w:style>
  <w:style w:type="character" w:customStyle="1" w:styleId="FooterChar">
    <w:name w:val="Footer Char"/>
    <w:basedOn w:val="DefaultParagraphFont"/>
    <w:link w:val="Footer"/>
    <w:rsid w:val="00512C9B"/>
    <w:rPr>
      <w:sz w:val="24"/>
      <w:lang w:val="fi-FI"/>
    </w:rPr>
  </w:style>
  <w:style w:type="paragraph" w:styleId="BalloonText">
    <w:name w:val="Balloon Text"/>
    <w:basedOn w:val="Normal"/>
    <w:link w:val="BalloonTextChar"/>
    <w:rsid w:val="00512C9B"/>
    <w:rPr>
      <w:rFonts w:ascii="Segoe UI" w:hAnsi="Segoe UI" w:cs="Segoe UI"/>
      <w:sz w:val="18"/>
      <w:szCs w:val="18"/>
    </w:rPr>
  </w:style>
  <w:style w:type="character" w:customStyle="1" w:styleId="BalloonTextChar">
    <w:name w:val="Balloon Text Char"/>
    <w:basedOn w:val="DefaultParagraphFont"/>
    <w:link w:val="BalloonText"/>
    <w:rsid w:val="00512C9B"/>
    <w:rPr>
      <w:rFonts w:ascii="Segoe UI" w:hAnsi="Segoe UI" w:cs="Segoe UI"/>
      <w:sz w:val="18"/>
      <w:szCs w:val="18"/>
      <w:lang w:val="fi-FI"/>
    </w:rPr>
  </w:style>
  <w:style w:type="character" w:styleId="CommentReference">
    <w:name w:val="annotation reference"/>
    <w:basedOn w:val="DefaultParagraphFont"/>
    <w:rsid w:val="00D50F18"/>
    <w:rPr>
      <w:sz w:val="16"/>
      <w:szCs w:val="16"/>
    </w:rPr>
  </w:style>
  <w:style w:type="paragraph" w:styleId="CommentText">
    <w:name w:val="annotation text"/>
    <w:basedOn w:val="Normal"/>
    <w:link w:val="CommentTextChar"/>
    <w:rsid w:val="00D50F18"/>
    <w:rPr>
      <w:sz w:val="20"/>
    </w:rPr>
  </w:style>
  <w:style w:type="character" w:customStyle="1" w:styleId="CommentTextChar">
    <w:name w:val="Comment Text Char"/>
    <w:basedOn w:val="DefaultParagraphFont"/>
    <w:link w:val="CommentText"/>
    <w:rsid w:val="00D50F18"/>
    <w:rPr>
      <w:lang w:val="fi-FI"/>
    </w:rPr>
  </w:style>
  <w:style w:type="paragraph" w:styleId="CommentSubject">
    <w:name w:val="annotation subject"/>
    <w:basedOn w:val="CommentText"/>
    <w:next w:val="CommentText"/>
    <w:link w:val="CommentSubjectChar"/>
    <w:rsid w:val="00D50F18"/>
    <w:rPr>
      <w:b/>
      <w:bCs/>
    </w:rPr>
  </w:style>
  <w:style w:type="character" w:customStyle="1" w:styleId="CommentSubjectChar">
    <w:name w:val="Comment Subject Char"/>
    <w:basedOn w:val="CommentTextChar"/>
    <w:link w:val="CommentSubject"/>
    <w:rsid w:val="00D50F18"/>
    <w:rPr>
      <w:b/>
      <w:bCs/>
      <w:lang w:val="fi-FI"/>
    </w:rPr>
  </w:style>
  <w:style w:type="character" w:customStyle="1" w:styleId="Heading2Char">
    <w:name w:val="Heading 2 Char"/>
    <w:basedOn w:val="DefaultParagraphFont"/>
    <w:link w:val="Heading2"/>
    <w:uiPriority w:val="9"/>
    <w:rsid w:val="00D50F18"/>
    <w:rPr>
      <w:sz w:val="24"/>
      <w:lang w:val="fr-FR" w:eastAsia="fr-FR"/>
    </w:rPr>
  </w:style>
  <w:style w:type="character" w:styleId="Hyperlink">
    <w:name w:val="Hyperlink"/>
    <w:basedOn w:val="DefaultParagraphFont"/>
    <w:uiPriority w:val="99"/>
    <w:unhideWhenUsed/>
    <w:rsid w:val="00D50F18"/>
    <w:rPr>
      <w:color w:val="0000FF"/>
      <w:u w:val="single"/>
    </w:rPr>
  </w:style>
  <w:style w:type="paragraph" w:customStyle="1" w:styleId="hidden-xs">
    <w:name w:val="hidden-xs"/>
    <w:basedOn w:val="Normal"/>
    <w:rsid w:val="00D50F18"/>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731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F3A69-1B31-4942-81A6-E373F3E66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814</Words>
  <Characters>6815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2024-09-19T16:11:00Z</dcterms:created>
  <dcterms:modified xsi:type="dcterms:W3CDTF">2024-09-19T16:11:00Z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P9_TA(2024)0334_</vt:lpwstr>
  </property>
  <property fmtid="{D5CDD505-2E9C-101B-9397-08002B2CF9AE}" pid="4" name="&lt;Type&gt;">
    <vt:lpwstr>RR</vt:lpwstr>
  </property>
</Properties>
</file>