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025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D0253" w:rsidRDefault="00F73C63" w:rsidP="0010095E">
            <w:pPr>
              <w:pStyle w:val="EPName"/>
            </w:pPr>
            <w:r w:rsidRPr="00AD0253">
              <w:t>Europski parlament</w:t>
            </w:r>
          </w:p>
          <w:p w:rsidR="00751A4A" w:rsidRPr="00AD025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025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D0253" w:rsidRDefault="00187494" w:rsidP="0010095E">
            <w:pPr>
              <w:pStyle w:val="EPLogo"/>
            </w:pPr>
            <w:r w:rsidRPr="00AD0253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D0253" w:rsidRDefault="00D058B8" w:rsidP="004C5D52">
      <w:pPr>
        <w:pStyle w:val="LineTop"/>
      </w:pPr>
    </w:p>
    <w:p w:rsidR="00680577" w:rsidRPr="00AD0253" w:rsidRDefault="00F73C63" w:rsidP="00680577">
      <w:pPr>
        <w:pStyle w:val="EPBodyTA1"/>
      </w:pPr>
      <w:r w:rsidRPr="00AD0253">
        <w:t>USVOJENI TEKSTOVI</w:t>
      </w:r>
    </w:p>
    <w:p w:rsidR="00D058B8" w:rsidRPr="00AD0253" w:rsidRDefault="00D058B8" w:rsidP="00D058B8">
      <w:pPr>
        <w:pStyle w:val="LineBottom"/>
      </w:pPr>
    </w:p>
    <w:p w:rsidR="00F73C63" w:rsidRPr="00AD0253" w:rsidRDefault="00F73C63" w:rsidP="00F73C63">
      <w:pPr>
        <w:pStyle w:val="ATHeading1"/>
      </w:pPr>
      <w:bookmarkStart w:id="0" w:name="TANumber"/>
      <w:r w:rsidRPr="00AD0253">
        <w:t>P9_TA(2024)0</w:t>
      </w:r>
      <w:r w:rsidR="00DD4F8B">
        <w:t>334</w:t>
      </w:r>
      <w:bookmarkEnd w:id="0"/>
    </w:p>
    <w:p w:rsidR="00F73C63" w:rsidRPr="00AD0253" w:rsidRDefault="00F73C63" w:rsidP="00F73C63">
      <w:pPr>
        <w:pStyle w:val="ATHeading2"/>
      </w:pPr>
      <w:bookmarkStart w:id="1" w:name="title"/>
      <w:r w:rsidRPr="00AD0253">
        <w:t>Mobilizacija Europskog fonda za prilagodbu globalizaciji: zahtjev EGF/2024/000 TA 2024 – Tehnička pomoć na inicijativu Komisije</w:t>
      </w:r>
      <w:bookmarkEnd w:id="1"/>
    </w:p>
    <w:p w:rsidR="00F73C63" w:rsidRPr="00AD0253" w:rsidRDefault="00F73C63" w:rsidP="00F73C63">
      <w:pPr>
        <w:rPr>
          <w:i/>
          <w:vanish/>
        </w:rPr>
      </w:pPr>
      <w:r w:rsidRPr="00AD0253">
        <w:rPr>
          <w:i/>
        </w:rPr>
        <w:fldChar w:fldCharType="begin"/>
      </w:r>
      <w:r w:rsidRPr="00AD0253">
        <w:rPr>
          <w:i/>
        </w:rPr>
        <w:instrText xml:space="preserve"> TC"(</w:instrText>
      </w:r>
      <w:bookmarkStart w:id="2" w:name="DocNumber"/>
      <w:r w:rsidRPr="00AD0253">
        <w:rPr>
          <w:i/>
        </w:rPr>
        <w:instrText>A9-0173/2024</w:instrText>
      </w:r>
      <w:bookmarkEnd w:id="2"/>
      <w:r w:rsidRPr="00AD0253">
        <w:rPr>
          <w:i/>
        </w:rPr>
        <w:instrText xml:space="preserve"> - Izvjestiteljica: </w:instrText>
      </w:r>
      <w:proofErr w:type="spellStart"/>
      <w:r w:rsidRPr="00AD0253">
        <w:rPr>
          <w:i/>
        </w:rPr>
        <w:instrText>Margarida</w:instrText>
      </w:r>
      <w:proofErr w:type="spellEnd"/>
      <w:r w:rsidRPr="00AD0253">
        <w:rPr>
          <w:i/>
        </w:rPr>
        <w:instrText xml:space="preserve"> </w:instrText>
      </w:r>
      <w:proofErr w:type="spellStart"/>
      <w:r w:rsidRPr="00AD0253">
        <w:rPr>
          <w:i/>
        </w:rPr>
        <w:instrText>Marques</w:instrText>
      </w:r>
      <w:proofErr w:type="spellEnd"/>
      <w:r w:rsidRPr="00AD0253">
        <w:rPr>
          <w:i/>
        </w:rPr>
        <w:instrText xml:space="preserve">)"\l3 \n&gt; \* MERGEFORMAT </w:instrText>
      </w:r>
      <w:r w:rsidRPr="00AD0253">
        <w:rPr>
          <w:i/>
        </w:rPr>
        <w:fldChar w:fldCharType="end"/>
      </w:r>
    </w:p>
    <w:p w:rsidR="00F73C63" w:rsidRPr="00AD0253" w:rsidRDefault="00F73C63" w:rsidP="00F73C63">
      <w:pPr>
        <w:rPr>
          <w:vanish/>
        </w:rPr>
      </w:pPr>
      <w:bookmarkStart w:id="3" w:name="Commission"/>
      <w:r w:rsidRPr="00AD0253">
        <w:rPr>
          <w:vanish/>
        </w:rPr>
        <w:t>Odbor za proračune</w:t>
      </w:r>
      <w:bookmarkEnd w:id="3"/>
    </w:p>
    <w:p w:rsidR="00F73C63" w:rsidRPr="00AD0253" w:rsidRDefault="00F73C63" w:rsidP="00F73C63">
      <w:pPr>
        <w:rPr>
          <w:vanish/>
        </w:rPr>
      </w:pPr>
      <w:bookmarkStart w:id="4" w:name="PE"/>
      <w:r w:rsidRPr="00AD0253">
        <w:rPr>
          <w:vanish/>
        </w:rPr>
        <w:t>PE759.750</w:t>
      </w:r>
      <w:bookmarkEnd w:id="4"/>
    </w:p>
    <w:p w:rsidR="00F73C63" w:rsidRPr="00AD0253" w:rsidRDefault="00F73C63" w:rsidP="00F73C63">
      <w:pPr>
        <w:pStyle w:val="ATHeading3"/>
      </w:pPr>
      <w:bookmarkStart w:id="5" w:name="Sujet"/>
      <w:r w:rsidRPr="00AD0253">
        <w:t>Rezolu</w:t>
      </w:r>
      <w:r w:rsidR="00AD0253">
        <w:t>cija Europskog parlamenta od 24</w:t>
      </w:r>
      <w:r w:rsidRPr="00AD0253">
        <w:t xml:space="preserve">. </w:t>
      </w:r>
      <w:r w:rsidR="00AD0253">
        <w:t xml:space="preserve">travnja </w:t>
      </w:r>
      <w:r w:rsidRPr="00AD0253">
        <w:t>2024. o Prijedlogu odluke Europskog parlamenta i Vijeća o mobilizaciji Europskog fonda za prilagodbu globalizaciji za radnike koji su proglašeni viškom – EGF/2024/000 TA 2024 – Tehnička pomoć na inicijativu Komisije</w:t>
      </w:r>
      <w:bookmarkEnd w:id="5"/>
      <w:r w:rsidRPr="00AD0253">
        <w:t xml:space="preserve"> </w:t>
      </w:r>
      <w:bookmarkStart w:id="6" w:name="References"/>
      <w:r w:rsidRPr="00AD0253">
        <w:t>(COM(2024)0084 – C9-0042/2024 – 2024/0003(BUD))</w:t>
      </w:r>
      <w:bookmarkEnd w:id="6"/>
    </w:p>
    <w:p w:rsidR="00E423C9" w:rsidRPr="00AD0253" w:rsidRDefault="00E423C9" w:rsidP="00E423C9">
      <w:pPr>
        <w:pStyle w:val="EPComma"/>
        <w:rPr>
          <w:noProof/>
        </w:rPr>
      </w:pPr>
      <w:bookmarkStart w:id="7" w:name="TextBodyBegin"/>
      <w:bookmarkEnd w:id="7"/>
      <w:r w:rsidRPr="00AD0253">
        <w:rPr>
          <w:i/>
        </w:rPr>
        <w:t>Europski parlament</w:t>
      </w:r>
      <w:r w:rsidRPr="00AD0253">
        <w:t>,</w:t>
      </w:r>
    </w:p>
    <w:p w:rsidR="00E423C9" w:rsidRPr="00AD0253" w:rsidRDefault="00E423C9" w:rsidP="00E423C9">
      <w:pPr>
        <w:pStyle w:val="NormalHanging12a"/>
        <w:rPr>
          <w:noProof/>
        </w:rPr>
      </w:pPr>
      <w:r w:rsidRPr="00AD0253">
        <w:t>–</w:t>
      </w:r>
      <w:r w:rsidRPr="00AD0253">
        <w:tab/>
        <w:t>uzimajući u obzir prijedlog Komisije upućen Europskom parlamentu i Vijeću (COM(2024)0084 – C9</w:t>
      </w:r>
      <w:r w:rsidRPr="00AD0253">
        <w:noBreakHyphen/>
        <w:t>0042/2024),</w:t>
      </w:r>
    </w:p>
    <w:p w:rsidR="00E423C9" w:rsidRPr="00AD0253" w:rsidRDefault="00E423C9" w:rsidP="00E423C9">
      <w:pPr>
        <w:pStyle w:val="NormalHanging12a"/>
      </w:pPr>
      <w:r w:rsidRPr="00AD0253">
        <w:t>–</w:t>
      </w:r>
      <w:r w:rsidRPr="00AD0253">
        <w:tab/>
        <w:t>uzimajući u obzir Uredbu (EU) 2021/691 Europskog parlamenta i Vijeća od 28. travnja 2021. o Europskom fondu za prilagodbu globalizaciji za radnike koji su proglašeni viškom (EGF) i stavljanju izvan snage Uredbe (EU) br. 1309/2013</w:t>
      </w:r>
      <w:r w:rsidRPr="00AD0253">
        <w:rPr>
          <w:rStyle w:val="FootnoteReference"/>
        </w:rPr>
        <w:footnoteReference w:id="1"/>
      </w:r>
      <w:r w:rsidRPr="00AD0253">
        <w:t xml:space="preserve"> („Uredba o EGF-u”),</w:t>
      </w:r>
    </w:p>
    <w:p w:rsidR="00E423C9" w:rsidRPr="00AD0253" w:rsidRDefault="00E423C9" w:rsidP="00E423C9">
      <w:pPr>
        <w:pStyle w:val="NormalHanging12a"/>
      </w:pPr>
      <w:r w:rsidRPr="00AD0253">
        <w:t>–</w:t>
      </w:r>
      <w:r w:rsidRPr="00AD0253">
        <w:tab/>
        <w:t>uzimajući u obzir Uredbu Vijeća (EU, Euratom) 2020/2093 od 17. prosinca 2020. kojom se utvrđuje višegodišnji financijski okvir za razdoblje 2021. – 2027.</w:t>
      </w:r>
      <w:r w:rsidRPr="00AD0253">
        <w:rPr>
          <w:rStyle w:val="FootnoteReference"/>
        </w:rPr>
        <w:footnoteReference w:id="2"/>
      </w:r>
      <w:r w:rsidRPr="00AD0253">
        <w:t>, kako je izmijenjena Uredbom (EU, Euratom) 2024/765</w:t>
      </w:r>
      <w:r w:rsidRPr="00AD0253">
        <w:rPr>
          <w:rStyle w:val="FootnoteReference"/>
          <w:bdr w:val="none" w:sz="0" w:space="0" w:color="auto" w:frame="1"/>
        </w:rPr>
        <w:footnoteReference w:id="3"/>
      </w:r>
      <w:r w:rsidRPr="00AD0253">
        <w:t>, a posebno njezin članak 8.,</w:t>
      </w:r>
    </w:p>
    <w:p w:rsidR="00E423C9" w:rsidRPr="00AD0253" w:rsidRDefault="00E423C9" w:rsidP="00E423C9">
      <w:pPr>
        <w:pStyle w:val="NormalHanging12a"/>
        <w:rPr>
          <w:noProof/>
        </w:rPr>
      </w:pPr>
      <w:r w:rsidRPr="00AD0253">
        <w:t>–</w:t>
      </w:r>
      <w:r w:rsidRPr="00AD0253">
        <w:tab/>
        <w:t xml:space="preserve">uzimajući u obzir </w:t>
      </w:r>
      <w:proofErr w:type="spellStart"/>
      <w:r w:rsidRPr="00AD0253">
        <w:t>Međuinstitucijski</w:t>
      </w:r>
      <w:proofErr w:type="spellEnd"/>
      <w:r w:rsidRPr="00AD0253">
        <w:t xml:space="preserve"> sporazum od 16. prosinca 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AD0253">
        <w:rPr>
          <w:rStyle w:val="FootnoteReference"/>
          <w:noProof/>
        </w:rPr>
        <w:footnoteReference w:id="4"/>
      </w:r>
      <w:r w:rsidRPr="00AD0253">
        <w:t>, a posebno njegovu točku 9.,</w:t>
      </w:r>
    </w:p>
    <w:p w:rsidR="00E423C9" w:rsidRPr="00AD0253" w:rsidRDefault="00E423C9" w:rsidP="00E423C9">
      <w:pPr>
        <w:pStyle w:val="NormalHanging12a"/>
      </w:pPr>
      <w:r w:rsidRPr="00AD0253">
        <w:t>–</w:t>
      </w:r>
      <w:r w:rsidRPr="00AD0253">
        <w:tab/>
        <w:t>uzimajući u obzir izvješće Odbora za proračune (A9</w:t>
      </w:r>
      <w:r w:rsidRPr="00AD0253">
        <w:noBreakHyphen/>
        <w:t>0173/2024),</w:t>
      </w:r>
    </w:p>
    <w:p w:rsidR="00E423C9" w:rsidRPr="00AD0253" w:rsidRDefault="00E423C9" w:rsidP="00E423C9">
      <w:pPr>
        <w:spacing w:after="240"/>
        <w:ind w:left="567" w:hanging="567"/>
      </w:pPr>
      <w:r w:rsidRPr="00AD0253">
        <w:lastRenderedPageBreak/>
        <w:t>A.</w:t>
      </w:r>
      <w:r w:rsidRPr="00AD0253">
        <w:tab/>
        <w:t xml:space="preserve">budući da je Unija uspostavila zakonodavne i proračunske instrumente kako bi pružila dodatnu potporu radnicima koji su pogođeni posljedicama globalizacije te tehnoloških i okolišnih promjena, kao što su promjene u tokovima svjetske trgovine, trgovinski sporovi, znatne promjene u trgovinskim odnosima Unije ili sastavu unutarnjeg tržišta, financijske ili gospodarske krize, kao i prijelaz na </w:t>
      </w:r>
      <w:proofErr w:type="spellStart"/>
      <w:r w:rsidRPr="00AD0253">
        <w:t>niskougljično</w:t>
      </w:r>
      <w:proofErr w:type="spellEnd"/>
      <w:r w:rsidRPr="00AD0253">
        <w:t xml:space="preserve"> gospodarstvo ili kao posljedica digitalizacije ili automatizacije;</w:t>
      </w:r>
    </w:p>
    <w:p w:rsidR="00E423C9" w:rsidRPr="00AD0253" w:rsidRDefault="00E423C9" w:rsidP="00E423C9">
      <w:pPr>
        <w:spacing w:after="240"/>
        <w:ind w:left="567" w:hanging="567"/>
        <w:rPr>
          <w:bdr w:val="none" w:sz="0" w:space="0" w:color="auto" w:frame="1"/>
        </w:rPr>
      </w:pPr>
      <w:r w:rsidRPr="00AD0253">
        <w:rPr>
          <w:bdr w:val="none" w:sz="0" w:space="0" w:color="auto" w:frame="1"/>
        </w:rPr>
        <w:t>B.</w:t>
      </w:r>
      <w:r w:rsidRPr="00AD0253">
        <w:rPr>
          <w:bdr w:val="none" w:sz="0" w:space="0" w:color="auto" w:frame="1"/>
        </w:rPr>
        <w:tab/>
      </w:r>
      <w:r w:rsidRPr="00AD0253">
        <w:t xml:space="preserve">budući da bi pomoć Unije radnicima koji su proglašeni viškom ponajprije trebala biti usmjerena na aktivne mjere politike tržišta rada i usluge prilagođene potrebama čiji je cilj brza reintegracija korisnika na dostojanstvena i održiva radna mjesta, pri čemu ih treba pripremiti na zelenije i digitalnije europsko gospodarstvo, uzimajući pritom u obzir </w:t>
      </w:r>
      <w:proofErr w:type="spellStart"/>
      <w:r w:rsidRPr="00AD0253">
        <w:t>Međuinstitucijski</w:t>
      </w:r>
      <w:proofErr w:type="spellEnd"/>
      <w:r w:rsidRPr="00AD0253">
        <w:t xml:space="preserve"> sporazum od 16. prosinca 2020. u pogledu donošenja odluka o mobilizaciji EGF</w:t>
      </w:r>
      <w:r w:rsidR="00AD0253">
        <w:t>-a</w:t>
      </w:r>
      <w:r w:rsidRPr="00AD0253">
        <w:t>;</w:t>
      </w:r>
    </w:p>
    <w:p w:rsidR="00E423C9" w:rsidRPr="00AD0253" w:rsidRDefault="00E423C9" w:rsidP="00E423C9">
      <w:pPr>
        <w:spacing w:after="240"/>
        <w:ind w:left="567" w:hanging="567"/>
      </w:pPr>
      <w:r w:rsidRPr="00AD0253">
        <w:t>C.</w:t>
      </w:r>
      <w:r w:rsidRPr="00AD0253">
        <w:tab/>
        <w:t>budući da je Unija već proširila područje primjene EGF-a kako bi pružila financijsku potporu u slučaju velikih restrukturiranja, a time obuhvaća i gospodarske učinke krize uzrokovane bolešću COVID-19;</w:t>
      </w:r>
    </w:p>
    <w:p w:rsidR="00E423C9" w:rsidRPr="00AD0253" w:rsidRDefault="00E423C9" w:rsidP="00E423C9">
      <w:pPr>
        <w:spacing w:after="240"/>
        <w:ind w:left="567" w:hanging="567"/>
        <w:rPr>
          <w:bdr w:val="none" w:sz="0" w:space="0" w:color="auto" w:frame="1"/>
        </w:rPr>
      </w:pPr>
      <w:r w:rsidRPr="00AD0253">
        <w:rPr>
          <w:bdr w:val="none" w:sz="0" w:space="0" w:color="auto" w:frame="1"/>
        </w:rPr>
        <w:t>D.</w:t>
      </w:r>
      <w:r w:rsidRPr="00AD0253">
        <w:rPr>
          <w:bdr w:val="none" w:sz="0" w:space="0" w:color="auto" w:frame="1"/>
        </w:rPr>
        <w:tab/>
      </w:r>
      <w:r w:rsidRPr="00AD0253">
        <w:t xml:space="preserve">budući da je donošenjem nove Uredbe o EGF-u 2021. dodatno prošireno područje primjene EGF-a na velika restrukturiranja uzrokovana prijelazom na </w:t>
      </w:r>
      <w:proofErr w:type="spellStart"/>
      <w:r w:rsidRPr="00AD0253">
        <w:t>niskougljično</w:t>
      </w:r>
      <w:proofErr w:type="spellEnd"/>
      <w:r w:rsidRPr="00AD0253">
        <w:t xml:space="preserve"> gospodarstvo ili kao posljedica digitalizacije ili automatizacije, uz istodobno smanjenje potrebnog praga za aktivaciju EGF-a s 500 otpuštenih radnika na 200;</w:t>
      </w:r>
    </w:p>
    <w:p w:rsidR="00E423C9" w:rsidRPr="00AD0253" w:rsidRDefault="00E423C9" w:rsidP="00E423C9">
      <w:pPr>
        <w:spacing w:after="240"/>
        <w:ind w:left="567" w:hanging="567"/>
        <w:rPr>
          <w:bdr w:val="none" w:sz="0" w:space="0" w:color="auto" w:frame="1"/>
        </w:rPr>
      </w:pPr>
      <w:r w:rsidRPr="00AD0253">
        <w:rPr>
          <w:bdr w:val="none" w:sz="0" w:space="0" w:color="auto" w:frame="1"/>
        </w:rPr>
        <w:t>E.</w:t>
      </w:r>
      <w:r w:rsidRPr="00AD0253">
        <w:rPr>
          <w:bdr w:val="none" w:sz="0" w:space="0" w:color="auto" w:frame="1"/>
        </w:rPr>
        <w:tab/>
        <w:t xml:space="preserve">budući da se revizijom VFO-a maksimalni godišnji iznos EGF-a smanjuje sa 186 milijuna EUR na 30 milijuna EUR (u cijenama iz 2018.), kako je utvrđeno člankom 8. Uredbe Vijeća (EU, Euratom) 2020/2093 kako je izmijenjena Uredbom (EU, Euratom) 2024/765; </w:t>
      </w:r>
      <w:r w:rsidRPr="00AD0253">
        <w:t>budući da bi Komisija trebala pratiti provedbu EGF-a i da bi sve institucije trebale poduzeti sve potrebne mjere kako bi se zajamčilo ispunjavanje svih opravdanih zahtjeva za potporu iz EGF-a i tako iskazala solidarnost Unije;</w:t>
      </w:r>
    </w:p>
    <w:p w:rsidR="00E423C9" w:rsidRPr="00AD0253" w:rsidRDefault="00E423C9" w:rsidP="00E423C9">
      <w:pPr>
        <w:spacing w:after="240"/>
        <w:ind w:left="567" w:hanging="567"/>
        <w:rPr>
          <w:bdr w:val="none" w:sz="0" w:space="0" w:color="auto" w:frame="1"/>
        </w:rPr>
      </w:pPr>
      <w:r w:rsidRPr="00AD0253">
        <w:rPr>
          <w:bdr w:val="none" w:sz="0" w:space="0" w:color="auto" w:frame="1"/>
        </w:rPr>
        <w:t>F.</w:t>
      </w:r>
      <w:r w:rsidRPr="00AD0253">
        <w:rPr>
          <w:bdr w:val="none" w:sz="0" w:space="0" w:color="auto" w:frame="1"/>
        </w:rPr>
        <w:tab/>
      </w:r>
      <w:r w:rsidRPr="00AD0253">
        <w:t>budući da je u članku 11. stavku 1. Uredbe o EGF-u utvrđeno da se na inicijativu Komisije za tehničku pomoć može upotrijebiti 0,5 % tog maksimalnog iznosa;</w:t>
      </w:r>
    </w:p>
    <w:p w:rsidR="00E423C9" w:rsidRPr="00AD0253" w:rsidRDefault="00E423C9" w:rsidP="00E423C9">
      <w:pPr>
        <w:spacing w:after="240"/>
        <w:ind w:left="567" w:hanging="567"/>
        <w:rPr>
          <w:bdr w:val="none" w:sz="0" w:space="0" w:color="auto" w:frame="1"/>
        </w:rPr>
      </w:pPr>
      <w:r w:rsidRPr="00AD0253">
        <w:rPr>
          <w:bdr w:val="none" w:sz="0" w:space="0" w:color="auto" w:frame="1"/>
        </w:rPr>
        <w:t>G.</w:t>
      </w:r>
      <w:r w:rsidRPr="00AD0253">
        <w:rPr>
          <w:bdr w:val="none" w:sz="0" w:space="0" w:color="auto" w:frame="1"/>
        </w:rPr>
        <w:tab/>
        <w:t>budući da se tehnička pomoć može sastojati od tehničkih i administrativnih rashoda za provedbu EGF-a, kao što su aktivnosti pripreme, praćenja, kontrole, revizije i evaluacije, kao i prikupljanje podataka, među ostalim u vezi s korporativnim sustavima informacijske tehnologije, komunikacijskim aktivnostima i aktivnostima kojima se povećava vidljivost EGF-a kao fonda ili u pogledu posebnih projekata i drugih mjera tehničke pomoći;</w:t>
      </w:r>
    </w:p>
    <w:p w:rsidR="00E423C9" w:rsidRPr="00AD0253" w:rsidRDefault="00E423C9" w:rsidP="00E423C9">
      <w:pPr>
        <w:spacing w:after="240"/>
        <w:ind w:left="567" w:hanging="567"/>
        <w:rPr>
          <w:bdr w:val="none" w:sz="0" w:space="0" w:color="auto" w:frame="1"/>
        </w:rPr>
      </w:pPr>
      <w:r w:rsidRPr="00AD0253">
        <w:rPr>
          <w:bdr w:val="none" w:sz="0" w:space="0" w:color="auto" w:frame="1"/>
        </w:rPr>
        <w:t>H.</w:t>
      </w:r>
      <w:r w:rsidRPr="00AD0253">
        <w:rPr>
          <w:bdr w:val="none" w:sz="0" w:space="0" w:color="auto" w:frame="1"/>
        </w:rPr>
        <w:tab/>
      </w:r>
      <w:r w:rsidRPr="00AD0253">
        <w:t>budući da predloženi iznos od 165 000 EUR predstavlja otprilike 0,49 % maksimalnog godišnjeg proračuna raspoloživog za EGF u 2024. godini;</w:t>
      </w:r>
    </w:p>
    <w:p w:rsidR="00E423C9" w:rsidRPr="00AD0253" w:rsidRDefault="00E423C9" w:rsidP="00E423C9">
      <w:pPr>
        <w:spacing w:after="240"/>
        <w:ind w:left="567" w:hanging="567"/>
        <w:rPr>
          <w:bdr w:val="none" w:sz="0" w:space="0" w:color="auto" w:frame="1"/>
        </w:rPr>
      </w:pPr>
      <w:r w:rsidRPr="00AD0253">
        <w:rPr>
          <w:bdr w:val="none" w:sz="0" w:space="0" w:color="auto" w:frame="1"/>
        </w:rPr>
        <w:t>1.</w:t>
      </w:r>
      <w:r w:rsidRPr="00AD0253">
        <w:rPr>
          <w:bdr w:val="none" w:sz="0" w:space="0" w:color="auto" w:frame="1"/>
        </w:rPr>
        <w:tab/>
        <w:t>slaže se s mobilizacijom 165 000 EUR i s time da se mjere koje je predložila Komisija financiraju kao tehnička pomoć u skladu s člankom 11. stavcima 1. i 4. te člankom 12. stavcima 2., 3. i 4. Uredbe o EGF-u;</w:t>
      </w:r>
    </w:p>
    <w:p w:rsidR="00E423C9" w:rsidRPr="00AD0253" w:rsidRDefault="00E423C9" w:rsidP="00E423C9">
      <w:pPr>
        <w:spacing w:after="240"/>
        <w:ind w:left="567" w:hanging="567"/>
      </w:pPr>
      <w:r w:rsidRPr="00AD0253">
        <w:t>2.</w:t>
      </w:r>
      <w:r w:rsidRPr="00AD0253">
        <w:tab/>
        <w:t>pozdravlja kontinuirani rad na standardizaciji postupaka za podnošenje zahtjeva za mobilizaciju EGF-a i upravljanje Fondom uz pomoć elektroničkog sustava razmjene podataka (Zajednički sustav upravljanja zajedničkim sredstvima), koji pruža mogućnost lakše i brže obrade zahtjeva i boljeg izvješćivanja;</w:t>
      </w:r>
    </w:p>
    <w:p w:rsidR="00E423C9" w:rsidRPr="00AD0253" w:rsidRDefault="00E423C9" w:rsidP="00E423C9">
      <w:pPr>
        <w:spacing w:after="240"/>
        <w:ind w:left="567" w:hanging="567"/>
      </w:pPr>
      <w:r w:rsidRPr="00AD0253">
        <w:t>3.</w:t>
      </w:r>
      <w:r w:rsidRPr="00AD0253">
        <w:tab/>
        <w:t xml:space="preserve">prima na znanje da će Komisija upotrijebiti raspoloživi proračun u okviru </w:t>
      </w:r>
      <w:r w:rsidRPr="00AD0253">
        <w:lastRenderedPageBreak/>
        <w:t>administrativne potpore za održavanje sastanaka stručne skupine osoba za kontakt u EGF-u (po dvoje članova iz svake države članice) i jednog seminara uz sudjelovanje provedbenih tijela EGF-a i socijalnih partnera radi poticanja umrežavanja među državama članicama; traži od Komisije da nastavi sustavno pozivati Parlament na te sastanke i seminare u skladu s mjerodavnim odredbama Okvirnog sporazuma o odnosima između Parlamenta i Komisije;</w:t>
      </w:r>
    </w:p>
    <w:p w:rsidR="00E423C9" w:rsidRPr="00AD0253" w:rsidRDefault="00E423C9" w:rsidP="00E423C9">
      <w:pPr>
        <w:spacing w:after="240"/>
        <w:ind w:left="567" w:hanging="567"/>
      </w:pPr>
      <w:r w:rsidRPr="00AD0253">
        <w:t>4.</w:t>
      </w:r>
      <w:r w:rsidRPr="00AD0253">
        <w:tab/>
        <w:t xml:space="preserve">poziva Komisiju da prilagodi najbolje prakse razvijene tijekom </w:t>
      </w:r>
      <w:proofErr w:type="spellStart"/>
      <w:r w:rsidRPr="00AD0253">
        <w:t>pandemije</w:t>
      </w:r>
      <w:proofErr w:type="spellEnd"/>
      <w:r w:rsidRPr="00AD0253">
        <w:t xml:space="preserve"> bolesti COVID-19, posebno mjere kojima se mogu ubrzati </w:t>
      </w:r>
      <w:proofErr w:type="spellStart"/>
      <w:r w:rsidRPr="00AD0253">
        <w:t>uključiva</w:t>
      </w:r>
      <w:proofErr w:type="spellEnd"/>
      <w:r w:rsidRPr="00AD0253">
        <w:t xml:space="preserve"> zelena i digitalna tranzicija i poduprijeti ključni prioriteti Unije, primjerice rodna ravnopravnost;</w:t>
      </w:r>
    </w:p>
    <w:p w:rsidR="00E423C9" w:rsidRPr="00AD0253" w:rsidRDefault="00E423C9" w:rsidP="00E423C9">
      <w:pPr>
        <w:spacing w:after="240"/>
        <w:ind w:left="567" w:hanging="567"/>
      </w:pPr>
      <w:r w:rsidRPr="00AD0253">
        <w:t>5.</w:t>
      </w:r>
      <w:r w:rsidRPr="00AD0253">
        <w:tab/>
        <w:t xml:space="preserve">ističe potrebu za daljnjim povećanjem opće osviještenosti i vidljivosti EGF-a; ističe da se taj cilj može postići uključivanjem EGF-a u različite publikacije i audiovizualne aktivnosti Komisije u skladu s odredbama članka 11. stavka 1. Uredbe o EGF-u; </w:t>
      </w:r>
      <w:r w:rsidRPr="00AD0253">
        <w:rPr>
          <w:bdr w:val="none" w:sz="0" w:space="0" w:color="auto" w:frame="1"/>
        </w:rPr>
        <w:t>u tom smislu pozdravlja postojanje posebne internetske stranice za EGF i poziva Komisiju da je redovito ažurira i proširuje kako bi se u široj javnosti povećala vidljivost europske solidarnosti koje je EGF dokaz i povećala transparentnost djelovanja Unije;</w:t>
      </w:r>
    </w:p>
    <w:p w:rsidR="00E423C9" w:rsidRPr="00AD0253" w:rsidRDefault="00E423C9" w:rsidP="00E423C9">
      <w:pPr>
        <w:spacing w:after="240"/>
        <w:ind w:left="567" w:hanging="567"/>
      </w:pPr>
      <w:r w:rsidRPr="00AD0253">
        <w:t>6.</w:t>
      </w:r>
      <w:r w:rsidRPr="00AD0253">
        <w:tab/>
        <w:t>podsjeća države podnositeljice zahtjeva na njihovu ključnu ulogu u širokom informiranju ciljanih korisnika, lokalnih i regionalnih vlasti, socijalnih partnera, medija i šire javnosti o aktivnostima koje se financiraju iz EGF-a, kako je navedeno u članku 12. Uredbe o EGF-u;</w:t>
      </w:r>
    </w:p>
    <w:p w:rsidR="00E423C9" w:rsidRPr="00AD0253" w:rsidRDefault="00E423C9" w:rsidP="00E423C9">
      <w:pPr>
        <w:spacing w:after="240"/>
        <w:ind w:left="567" w:hanging="567"/>
        <w:rPr>
          <w:noProof/>
        </w:rPr>
      </w:pPr>
      <w:r w:rsidRPr="00AD0253">
        <w:t>7.</w:t>
      </w:r>
      <w:r w:rsidRPr="00AD0253">
        <w:tab/>
        <w:t>odobrava Odluku priloženu ovoj Rezoluciji;</w:t>
      </w:r>
    </w:p>
    <w:p w:rsidR="00E423C9" w:rsidRPr="00AD0253" w:rsidRDefault="00E423C9" w:rsidP="00E423C9">
      <w:pPr>
        <w:pStyle w:val="NormalHanging12a"/>
        <w:rPr>
          <w:noProof/>
        </w:rPr>
      </w:pPr>
      <w:r w:rsidRPr="00AD0253">
        <w:t>8.</w:t>
      </w:r>
      <w:r w:rsidRPr="00AD0253">
        <w:tab/>
        <w:t xml:space="preserve">nalaže svojoj predsjednici da potpiše ovu Odluku zajedno s predsjednikom Vijeća te da je da na objavu u </w:t>
      </w:r>
      <w:r w:rsidRPr="00AD0253">
        <w:rPr>
          <w:i/>
        </w:rPr>
        <w:t>Službenom listu Europske unije</w:t>
      </w:r>
      <w:r w:rsidRPr="00012AD1">
        <w:t>;</w:t>
      </w:r>
    </w:p>
    <w:p w:rsidR="00E423C9" w:rsidRPr="00AD0253" w:rsidRDefault="00E423C9" w:rsidP="00E423C9">
      <w:pPr>
        <w:pStyle w:val="NormalHanging12a"/>
        <w:rPr>
          <w:noProof/>
        </w:rPr>
      </w:pPr>
      <w:r w:rsidRPr="00AD0253">
        <w:t>9.</w:t>
      </w:r>
      <w:r w:rsidRPr="00AD0253">
        <w:tab/>
        <w:t>nalaže svojoj predsjednici da ovu Rezoluciju, zajedno s njezinim Prilogom, proslijedi Vijeću i Komisiji.</w:t>
      </w:r>
    </w:p>
    <w:p w:rsidR="00E423C9" w:rsidRPr="00AD0253" w:rsidRDefault="00E423C9" w:rsidP="00E423C9">
      <w:pPr>
        <w:rPr>
          <w:noProof/>
        </w:rPr>
      </w:pPr>
    </w:p>
    <w:p w:rsidR="00E423C9" w:rsidRPr="00AD0253" w:rsidRDefault="00E423C9" w:rsidP="00E423C9">
      <w:pPr>
        <w:pStyle w:val="PageHeading"/>
        <w:rPr>
          <w:noProof/>
        </w:rPr>
        <w:sectPr w:rsidR="00E423C9" w:rsidRPr="00AD0253" w:rsidSect="00247E4A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56276" w:rsidRPr="00456276" w:rsidRDefault="00456276" w:rsidP="00E423C9">
      <w:pPr>
        <w:pStyle w:val="PageHeading"/>
        <w:rPr>
          <w:rFonts w:ascii="Times New Roman" w:hAnsi="Times New Roman" w:cs="Times New Roman"/>
        </w:rPr>
      </w:pPr>
      <w:bookmarkStart w:id="8" w:name="_Toc164409593"/>
      <w:r w:rsidRPr="00456276">
        <w:rPr>
          <w:rFonts w:ascii="Times New Roman" w:hAnsi="Times New Roman" w:cs="Times New Roman"/>
        </w:rPr>
        <w:lastRenderedPageBreak/>
        <w:t>PRILOG</w:t>
      </w:r>
    </w:p>
    <w:p w:rsidR="00E423C9" w:rsidRPr="00456276" w:rsidRDefault="00E423C9" w:rsidP="00E423C9">
      <w:pPr>
        <w:pStyle w:val="PageHeading"/>
        <w:rPr>
          <w:rFonts w:ascii="Times New Roman" w:hAnsi="Times New Roman" w:cs="Times New Roman"/>
          <w:noProof/>
        </w:rPr>
      </w:pPr>
      <w:r w:rsidRPr="00456276">
        <w:rPr>
          <w:rFonts w:ascii="Times New Roman" w:hAnsi="Times New Roman" w:cs="Times New Roman"/>
        </w:rPr>
        <w:t>ODLUKA EUROPSKOG PARLAMENTA I VIJEĆA</w:t>
      </w:r>
      <w:bookmarkEnd w:id="8"/>
    </w:p>
    <w:p w:rsidR="00E423C9" w:rsidRDefault="00E423C9" w:rsidP="00E423C9">
      <w:pPr>
        <w:pStyle w:val="Titreobjet"/>
      </w:pPr>
      <w:r w:rsidRPr="00AD0253">
        <w:t>o mobilizaciji Europskog fonda za prilagodbu globalizaciji za radnike koji su proglašeni viškom (EGF/2024/000 TA 2024 – Tehnička pomoć na inicijativu Komisije)</w:t>
      </w:r>
    </w:p>
    <w:p w:rsidR="00456276" w:rsidRPr="00676598" w:rsidRDefault="00456276" w:rsidP="00456276">
      <w:pPr>
        <w:widowControl/>
        <w:rPr>
          <w:rFonts w:eastAsia="Calibri"/>
          <w:i/>
          <w:szCs w:val="24"/>
          <w:lang w:val="fr-BE" w:eastAsia="en-US"/>
        </w:rPr>
      </w:pPr>
      <w:r w:rsidRPr="00676598">
        <w:rPr>
          <w:rFonts w:eastAsia="Calibri"/>
          <w:i/>
          <w:szCs w:val="24"/>
          <w:lang w:eastAsia="en-US"/>
        </w:rPr>
        <w:t>(Tekst ovog priloga nije naveden ovdje budući da</w:t>
      </w:r>
      <w:r>
        <w:rPr>
          <w:rFonts w:eastAsia="Calibri"/>
          <w:i/>
          <w:szCs w:val="24"/>
          <w:lang w:eastAsia="en-US"/>
        </w:rPr>
        <w:t xml:space="preserve"> odgovara kona</w:t>
      </w:r>
      <w:r>
        <w:rPr>
          <w:rFonts w:eastAsia="Calibri"/>
          <w:i/>
          <w:szCs w:val="24"/>
          <w:lang w:eastAsia="en-US"/>
        </w:rPr>
        <w:t>čnom aktu, Odluci (EU) 2024/1300</w:t>
      </w:r>
      <w:bookmarkStart w:id="9" w:name="_GoBack"/>
      <w:bookmarkEnd w:id="9"/>
      <w:r>
        <w:rPr>
          <w:rFonts w:eastAsia="Calibri"/>
          <w:i/>
          <w:szCs w:val="24"/>
          <w:lang w:eastAsia="en-US"/>
        </w:rPr>
        <w:t>.</w:t>
      </w:r>
      <w:r w:rsidRPr="00676598">
        <w:rPr>
          <w:rFonts w:eastAsia="Calibri"/>
          <w:i/>
          <w:szCs w:val="24"/>
          <w:lang w:val="fr-BE" w:eastAsia="en-US"/>
        </w:rPr>
        <w:t>)</w:t>
      </w:r>
    </w:p>
    <w:p w:rsidR="00456276" w:rsidRPr="00456276" w:rsidRDefault="00456276" w:rsidP="00456276">
      <w:pPr>
        <w:rPr>
          <w:lang w:eastAsia="en-US"/>
        </w:rPr>
      </w:pPr>
    </w:p>
    <w:sectPr w:rsidR="00456276" w:rsidRPr="00456276" w:rsidSect="00247E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C63" w:rsidRPr="00247E4A" w:rsidRDefault="00F73C63">
      <w:r w:rsidRPr="00247E4A">
        <w:separator/>
      </w:r>
    </w:p>
  </w:endnote>
  <w:endnote w:type="continuationSeparator" w:id="0">
    <w:p w:rsidR="00F73C63" w:rsidRPr="00247E4A" w:rsidRDefault="00F73C63">
      <w:r w:rsidRPr="00247E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3C9" w:rsidRPr="00247E4A" w:rsidRDefault="00E423C9" w:rsidP="003866E6">
    <w:pPr>
      <w:pStyle w:val="EPFooter"/>
    </w:pPr>
    <w:r w:rsidRPr="00247E4A">
      <w:t>PE</w:t>
    </w:r>
    <w:r w:rsidRPr="00247E4A">
      <w:rPr>
        <w:rStyle w:val="HideTWBExt"/>
      </w:rPr>
      <w:t>&lt;</w:t>
    </w:r>
    <w:proofErr w:type="spellStart"/>
    <w:r w:rsidRPr="00247E4A">
      <w:rPr>
        <w:rStyle w:val="HideTWBExt"/>
      </w:rPr>
      <w:t>NoPE</w:t>
    </w:r>
    <w:proofErr w:type="spellEnd"/>
    <w:r w:rsidRPr="00247E4A">
      <w:rPr>
        <w:rStyle w:val="HideTWBExt"/>
      </w:rPr>
      <w:t>&gt;</w:t>
    </w:r>
    <w:r w:rsidRPr="00247E4A">
      <w:t>759.750</w:t>
    </w:r>
    <w:r w:rsidRPr="00247E4A">
      <w:rPr>
        <w:rStyle w:val="HideTWBExt"/>
      </w:rPr>
      <w:t>&lt;/</w:t>
    </w:r>
    <w:proofErr w:type="spellStart"/>
    <w:r w:rsidRPr="00247E4A">
      <w:rPr>
        <w:rStyle w:val="HideTWBExt"/>
      </w:rPr>
      <w:t>NoPE</w:t>
    </w:r>
    <w:proofErr w:type="spellEnd"/>
    <w:r w:rsidRPr="00247E4A">
      <w:rPr>
        <w:rStyle w:val="HideTWBExt"/>
      </w:rPr>
      <w:t>&gt;&lt;Version&gt;</w:t>
    </w:r>
    <w:r w:rsidRPr="00247E4A">
      <w:t>v02-00</w:t>
    </w:r>
    <w:r w:rsidRPr="00247E4A">
      <w:rPr>
        <w:rStyle w:val="HideTWBExt"/>
      </w:rPr>
      <w:t>&lt;/</w:t>
    </w:r>
    <w:proofErr w:type="spellStart"/>
    <w:r w:rsidRPr="00247E4A">
      <w:rPr>
        <w:rStyle w:val="HideTWBExt"/>
      </w:rPr>
      <w:t>Version</w:t>
    </w:r>
    <w:proofErr w:type="spellEnd"/>
    <w:r w:rsidRPr="00247E4A">
      <w:rPr>
        <w:rStyle w:val="HideTWBExt"/>
      </w:rPr>
      <w:t>&gt;</w:t>
    </w:r>
    <w:r w:rsidRPr="00247E4A">
      <w:tab/>
    </w:r>
    <w:r w:rsidRPr="00247E4A">
      <w:fldChar w:fldCharType="begin"/>
    </w:r>
    <w:r w:rsidRPr="00247E4A">
      <w:instrText xml:space="preserve"> PAGE  \* MERGEFORMAT </w:instrText>
    </w:r>
    <w:r w:rsidRPr="00247E4A">
      <w:fldChar w:fldCharType="separate"/>
    </w:r>
    <w:r w:rsidRPr="00247E4A">
      <w:rPr>
        <w:noProof/>
      </w:rPr>
      <w:t>2</w:t>
    </w:r>
    <w:r w:rsidRPr="00247E4A">
      <w:fldChar w:fldCharType="end"/>
    </w:r>
    <w:r w:rsidRPr="00247E4A">
      <w:t>/</w:t>
    </w:r>
    <w:fldSimple w:instr=" NUMPAGES  \* MERGEFORMAT ">
      <w:r w:rsidRPr="00247E4A">
        <w:rPr>
          <w:noProof/>
        </w:rPr>
        <w:t>2</w:t>
      </w:r>
    </w:fldSimple>
    <w:r w:rsidRPr="00247E4A">
      <w:tab/>
    </w:r>
    <w:r w:rsidRPr="00247E4A">
      <w:rPr>
        <w:rStyle w:val="HideTWBExt"/>
      </w:rPr>
      <w:t>&lt;PathFdR&gt;</w:t>
    </w:r>
    <w:r w:rsidRPr="00247E4A">
      <w:t>RR\1300716HR.docx</w:t>
    </w:r>
    <w:r w:rsidRPr="00247E4A">
      <w:rPr>
        <w:rStyle w:val="HideTWBExt"/>
      </w:rPr>
      <w:t>&lt;/</w:t>
    </w:r>
    <w:proofErr w:type="spellStart"/>
    <w:r w:rsidRPr="00247E4A">
      <w:rPr>
        <w:rStyle w:val="HideTWBExt"/>
      </w:rPr>
      <w:t>PathFdR</w:t>
    </w:r>
    <w:proofErr w:type="spellEnd"/>
    <w:r w:rsidRPr="00247E4A">
      <w:rPr>
        <w:rStyle w:val="HideTWBExt"/>
      </w:rPr>
      <w:t>&gt;</w:t>
    </w:r>
  </w:p>
  <w:p w:rsidR="00E423C9" w:rsidRPr="00247E4A" w:rsidRDefault="00E423C9" w:rsidP="003866E6">
    <w:pPr>
      <w:pStyle w:val="EPFooter2"/>
    </w:pPr>
    <w:r w:rsidRPr="00247E4A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3C9" w:rsidRPr="00247E4A" w:rsidRDefault="00E423C9" w:rsidP="003866E6">
    <w:pPr>
      <w:pStyle w:val="EPFooter"/>
    </w:pPr>
    <w:r w:rsidRPr="00247E4A">
      <w:rPr>
        <w:rStyle w:val="HideTWBExt"/>
      </w:rPr>
      <w:t>&lt;PathFdR&gt;</w:t>
    </w:r>
    <w:r w:rsidRPr="00247E4A">
      <w:t>RR\1300716HR.docx</w:t>
    </w:r>
    <w:r w:rsidRPr="00247E4A">
      <w:rPr>
        <w:rStyle w:val="HideTWBExt"/>
      </w:rPr>
      <w:t>&lt;/</w:t>
    </w:r>
    <w:proofErr w:type="spellStart"/>
    <w:r w:rsidRPr="00247E4A">
      <w:rPr>
        <w:rStyle w:val="HideTWBExt"/>
      </w:rPr>
      <w:t>PathFdR</w:t>
    </w:r>
    <w:proofErr w:type="spellEnd"/>
    <w:r w:rsidRPr="00247E4A">
      <w:rPr>
        <w:rStyle w:val="HideTWBExt"/>
      </w:rPr>
      <w:t>&gt;</w:t>
    </w:r>
    <w:r w:rsidRPr="00247E4A">
      <w:tab/>
    </w:r>
    <w:r w:rsidRPr="00247E4A">
      <w:tab/>
      <w:t>PE</w:t>
    </w:r>
    <w:r w:rsidRPr="00247E4A">
      <w:rPr>
        <w:rStyle w:val="HideTWBExt"/>
      </w:rPr>
      <w:t>&lt;</w:t>
    </w:r>
    <w:proofErr w:type="spellStart"/>
    <w:r w:rsidRPr="00247E4A">
      <w:rPr>
        <w:rStyle w:val="HideTWBExt"/>
      </w:rPr>
      <w:t>NoPE</w:t>
    </w:r>
    <w:proofErr w:type="spellEnd"/>
    <w:r w:rsidRPr="00247E4A">
      <w:rPr>
        <w:rStyle w:val="HideTWBExt"/>
      </w:rPr>
      <w:t>&gt;</w:t>
    </w:r>
    <w:r w:rsidRPr="00247E4A">
      <w:t>759.750</w:t>
    </w:r>
    <w:r w:rsidRPr="00247E4A">
      <w:rPr>
        <w:rStyle w:val="HideTWBExt"/>
      </w:rPr>
      <w:t>&lt;/</w:t>
    </w:r>
    <w:proofErr w:type="spellStart"/>
    <w:r w:rsidRPr="00247E4A">
      <w:rPr>
        <w:rStyle w:val="HideTWBExt"/>
      </w:rPr>
      <w:t>NoPE</w:t>
    </w:r>
    <w:proofErr w:type="spellEnd"/>
    <w:r w:rsidRPr="00247E4A">
      <w:rPr>
        <w:rStyle w:val="HideTWBExt"/>
      </w:rPr>
      <w:t>&gt;&lt;Version&gt;</w:t>
    </w:r>
    <w:r w:rsidRPr="00247E4A">
      <w:t>v02-00</w:t>
    </w:r>
    <w:r w:rsidRPr="00247E4A">
      <w:rPr>
        <w:rStyle w:val="HideTWBExt"/>
      </w:rPr>
      <w:t>&lt;/</w:t>
    </w:r>
    <w:proofErr w:type="spellStart"/>
    <w:r w:rsidRPr="00247E4A">
      <w:rPr>
        <w:rStyle w:val="HideTWBExt"/>
      </w:rPr>
      <w:t>Version</w:t>
    </w:r>
    <w:proofErr w:type="spellEnd"/>
    <w:r w:rsidRPr="00247E4A">
      <w:rPr>
        <w:rStyle w:val="HideTWBExt"/>
      </w:rPr>
      <w:t>&gt;</w:t>
    </w:r>
  </w:p>
  <w:p w:rsidR="00E423C9" w:rsidRPr="00247E4A" w:rsidRDefault="00E423C9" w:rsidP="003866E6">
    <w:pPr>
      <w:pStyle w:val="EPFooter2"/>
    </w:pPr>
    <w:r w:rsidRPr="00247E4A">
      <w:t>HR</w:t>
    </w:r>
    <w:r w:rsidRPr="00247E4A">
      <w:tab/>
    </w:r>
    <w:r w:rsidRPr="00247E4A">
      <w:rPr>
        <w:b w:val="0"/>
        <w:i/>
        <w:color w:val="C0C0C0"/>
        <w:sz w:val="22"/>
      </w:rPr>
      <w:t>Ujedinjena u raznolikosti</w:t>
    </w:r>
    <w:r w:rsidRPr="00247E4A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7E4A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7E4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7E4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C63" w:rsidRPr="00247E4A" w:rsidRDefault="00F73C63">
      <w:r w:rsidRPr="00247E4A">
        <w:separator/>
      </w:r>
    </w:p>
  </w:footnote>
  <w:footnote w:type="continuationSeparator" w:id="0">
    <w:p w:rsidR="00F73C63" w:rsidRPr="00247E4A" w:rsidRDefault="00F73C63">
      <w:r w:rsidRPr="00247E4A">
        <w:continuationSeparator/>
      </w:r>
    </w:p>
  </w:footnote>
  <w:footnote w:id="1">
    <w:p w:rsidR="00E423C9" w:rsidRPr="00247E4A" w:rsidRDefault="00E423C9" w:rsidP="00247E4A">
      <w:pPr>
        <w:pStyle w:val="FootnoteText"/>
        <w:ind w:left="567" w:hanging="567"/>
        <w:rPr>
          <w:sz w:val="24"/>
          <w:lang w:val="hr-HR"/>
        </w:rPr>
      </w:pPr>
      <w:r w:rsidRPr="00247E4A">
        <w:rPr>
          <w:rStyle w:val="FootnoteReference"/>
          <w:sz w:val="24"/>
          <w:lang w:val="hr-HR"/>
        </w:rPr>
        <w:footnoteRef/>
      </w:r>
      <w:r w:rsidR="00247E4A" w:rsidRPr="00247E4A">
        <w:rPr>
          <w:sz w:val="24"/>
          <w:lang w:val="hr-HR"/>
        </w:rPr>
        <w:t xml:space="preserve"> </w:t>
      </w:r>
      <w:r w:rsidR="00247E4A" w:rsidRPr="00247E4A">
        <w:rPr>
          <w:sz w:val="24"/>
          <w:lang w:val="hr-HR"/>
        </w:rPr>
        <w:tab/>
      </w:r>
      <w:r w:rsidRPr="00247E4A">
        <w:rPr>
          <w:sz w:val="24"/>
          <w:lang w:val="hr-HR"/>
        </w:rPr>
        <w:t>SL L 153, 3.5.2021., str. 48.</w:t>
      </w:r>
    </w:p>
  </w:footnote>
  <w:footnote w:id="2">
    <w:p w:rsidR="00E423C9" w:rsidRPr="00247E4A" w:rsidRDefault="00E423C9" w:rsidP="00247E4A">
      <w:pPr>
        <w:pStyle w:val="FootnoteText"/>
        <w:ind w:left="567" w:hanging="567"/>
        <w:rPr>
          <w:sz w:val="24"/>
          <w:lang w:val="hr-HR"/>
        </w:rPr>
      </w:pPr>
      <w:r w:rsidRPr="00247E4A">
        <w:rPr>
          <w:rStyle w:val="FootnoteReference"/>
          <w:sz w:val="24"/>
          <w:lang w:val="hr-HR"/>
        </w:rPr>
        <w:footnoteRef/>
      </w:r>
      <w:r w:rsidR="00247E4A" w:rsidRPr="00247E4A">
        <w:rPr>
          <w:sz w:val="24"/>
          <w:lang w:val="hr-HR"/>
        </w:rPr>
        <w:t xml:space="preserve"> </w:t>
      </w:r>
      <w:r w:rsidR="00247E4A" w:rsidRPr="00247E4A">
        <w:rPr>
          <w:sz w:val="24"/>
          <w:lang w:val="hr-HR"/>
        </w:rPr>
        <w:tab/>
      </w:r>
      <w:r w:rsidRPr="00247E4A">
        <w:rPr>
          <w:sz w:val="24"/>
          <w:lang w:val="hr-HR"/>
        </w:rPr>
        <w:t>SL L 433 I, 22.12.2020., str. 11.</w:t>
      </w:r>
    </w:p>
  </w:footnote>
  <w:footnote w:id="3">
    <w:p w:rsidR="00E423C9" w:rsidRPr="00AD0253" w:rsidRDefault="00E423C9" w:rsidP="00247E4A">
      <w:pPr>
        <w:pStyle w:val="FootnoteText"/>
        <w:ind w:left="567" w:hanging="567"/>
        <w:rPr>
          <w:sz w:val="24"/>
          <w:lang w:val="hr-HR"/>
        </w:rPr>
      </w:pPr>
      <w:r w:rsidRPr="00247E4A">
        <w:rPr>
          <w:rStyle w:val="FootnoteReference"/>
          <w:sz w:val="24"/>
          <w:lang w:val="hr-HR"/>
        </w:rPr>
        <w:footnoteRef/>
      </w:r>
      <w:r w:rsidR="00247E4A" w:rsidRPr="00247E4A">
        <w:rPr>
          <w:color w:val="333333"/>
          <w:sz w:val="24"/>
          <w:shd w:val="clear" w:color="auto" w:fill="FFFFFF"/>
          <w:lang w:val="hr-HR"/>
        </w:rPr>
        <w:t xml:space="preserve"> </w:t>
      </w:r>
      <w:r w:rsidR="00247E4A" w:rsidRPr="00247E4A">
        <w:rPr>
          <w:color w:val="333333"/>
          <w:sz w:val="24"/>
          <w:shd w:val="clear" w:color="auto" w:fill="FFFFFF"/>
          <w:lang w:val="hr-HR"/>
        </w:rPr>
        <w:tab/>
      </w:r>
      <w:r w:rsidRPr="00AD0253">
        <w:rPr>
          <w:sz w:val="24"/>
          <w:shd w:val="clear" w:color="auto" w:fill="FFFFFF"/>
          <w:lang w:val="hr-HR"/>
        </w:rPr>
        <w:t>Uredba Vijeća (EU, Euratom) 2024/765 od 29. veljače 2024. o izmjeni Uredbe (EU, Euratom) 2020/2093 kojom se utvrđuje višegodišnji financijski okvir za razdoblje 2021. – 2027.(</w:t>
      </w:r>
      <w:r w:rsidRPr="00AD0253">
        <w:rPr>
          <w:sz w:val="24"/>
          <w:lang w:val="hr-HR"/>
        </w:rPr>
        <w:t xml:space="preserve">SL L, 2024/765, 29.2.2024., </w:t>
      </w:r>
      <w:r w:rsidRPr="00456276">
        <w:rPr>
          <w:rStyle w:val="Emphasis"/>
          <w:i w:val="0"/>
          <w:sz w:val="24"/>
          <w:shd w:val="clear" w:color="auto" w:fill="FFFFFF"/>
          <w:lang w:val="hr-HR"/>
        </w:rPr>
        <w:t>ELI: http://data.europa.eu/eli/reg/2024/765/oj).</w:t>
      </w:r>
    </w:p>
  </w:footnote>
  <w:footnote w:id="4">
    <w:p w:rsidR="00E423C9" w:rsidRPr="00247E4A" w:rsidRDefault="00E423C9" w:rsidP="00247E4A">
      <w:pPr>
        <w:pStyle w:val="FootnoteText"/>
        <w:ind w:left="567" w:hanging="567"/>
        <w:rPr>
          <w:sz w:val="24"/>
          <w:lang w:val="hr-HR"/>
        </w:rPr>
      </w:pPr>
      <w:r w:rsidRPr="00247E4A">
        <w:rPr>
          <w:rStyle w:val="FootnoteReference"/>
          <w:sz w:val="24"/>
          <w:lang w:val="hr-HR"/>
        </w:rPr>
        <w:footnoteRef/>
      </w:r>
      <w:r w:rsidR="00247E4A" w:rsidRPr="00247E4A">
        <w:rPr>
          <w:sz w:val="24"/>
          <w:lang w:val="hr-HR"/>
        </w:rPr>
        <w:t xml:space="preserve"> </w:t>
      </w:r>
      <w:r w:rsidR="00247E4A" w:rsidRPr="00247E4A">
        <w:rPr>
          <w:sz w:val="24"/>
          <w:lang w:val="hr-HR"/>
        </w:rPr>
        <w:tab/>
      </w:r>
      <w:r w:rsidRPr="00247E4A">
        <w:rPr>
          <w:sz w:val="24"/>
          <w:lang w:val="hr-HR"/>
        </w:rPr>
        <w:t>SL L 433 I, 22.12.2020., str. 28.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7E4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7E4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47E4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3/2024"/>
    <w:docVar w:name="dvlangue" w:val="HR"/>
    <w:docVar w:name="dvnumam" w:val="0"/>
    <w:docVar w:name="dvpe" w:val="759.750"/>
    <w:docVar w:name="dvrapporteur" w:val="Izvjestiteljica: "/>
    <w:docVar w:name="dvtitre" w:val="Rezolucija Europskog parlamenta od .... 2024. o Prijedlogu odluke Europskog parlamenta i Vijeća o mobilizaciji Europskog fonda za prilagodbu globalizaciji za radnike koji su proglašeni viškom – EGF/2024/000 TA 2024 – Tehnička pomoć na inicijativu Komisije(COM(2024)0084 – C9-0042/2024 – 2024/0003(BUD))"/>
  </w:docVars>
  <w:rsids>
    <w:rsidRoot w:val="00F73C63"/>
    <w:rsid w:val="00002272"/>
    <w:rsid w:val="00012AD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7E4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627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0F50"/>
    <w:rsid w:val="00A1687D"/>
    <w:rsid w:val="00A43E52"/>
    <w:rsid w:val="00A4678D"/>
    <w:rsid w:val="00A778C7"/>
    <w:rsid w:val="00AB441E"/>
    <w:rsid w:val="00AB6293"/>
    <w:rsid w:val="00AD025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4F8B"/>
    <w:rsid w:val="00E365E1"/>
    <w:rsid w:val="00E423C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C6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42716"/>
  <w15:chartTrackingRefBased/>
  <w15:docId w15:val="{38FD594E-B52A-4A25-A349-C46E7FBDA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423C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E423C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E423C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423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423C9"/>
    <w:rPr>
      <w:sz w:val="24"/>
      <w:lang w:val="hr-HR"/>
    </w:rPr>
  </w:style>
  <w:style w:type="paragraph" w:customStyle="1" w:styleId="EPFooter">
    <w:name w:val="EPFooter"/>
    <w:basedOn w:val="Normal"/>
    <w:rsid w:val="00E423C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423C9"/>
    <w:pPr>
      <w:spacing w:before="480" w:after="240"/>
    </w:pPr>
  </w:style>
  <w:style w:type="character" w:styleId="Emphasis">
    <w:name w:val="Emphasis"/>
    <w:basedOn w:val="DefaultParagraphFont"/>
    <w:uiPriority w:val="20"/>
    <w:qFormat/>
    <w:rsid w:val="00E423C9"/>
    <w:rPr>
      <w:i/>
      <w:iCs/>
    </w:rPr>
  </w:style>
  <w:style w:type="paragraph" w:customStyle="1" w:styleId="Titreobjet">
    <w:name w:val="Titre objet"/>
    <w:basedOn w:val="Normal"/>
    <w:next w:val="Normal"/>
    <w:rsid w:val="00E423C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423C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423C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423C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423C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423C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423C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E423C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rsid w:val="00AD02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D0253"/>
    <w:rPr>
      <w:sz w:val="24"/>
      <w:lang w:val="hr-HR"/>
    </w:rPr>
  </w:style>
  <w:style w:type="paragraph" w:styleId="BalloonText">
    <w:name w:val="Balloon Text"/>
    <w:basedOn w:val="Normal"/>
    <w:link w:val="BalloonTextChar"/>
    <w:rsid w:val="00AD02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D0253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FE773-6037-4207-902D-6FF4C7F8B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971</Words>
  <Characters>6018</Characters>
  <Application>Microsoft Office Word</Application>
  <DocSecurity>0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2024-09-10T07:13:00Z</dcterms:created>
  <dcterms:modified xsi:type="dcterms:W3CDTF">2024-09-10T07:13:00Z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P9_TA(2024)0334_</vt:lpwstr>
  </property>
  <property fmtid="{D5CDD505-2E9C-101B-9397-08002B2CF9AE}" pid="4" name="&lt;Type&gt;">
    <vt:lpwstr>RR</vt:lpwstr>
  </property>
</Properties>
</file>