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4109" w:rsidTr="0010095E">
        <w:trPr>
          <w:trHeight w:hRule="exact" w:val="1418"/>
        </w:trPr>
        <w:tc>
          <w:tcPr>
            <w:tcW w:w="6804" w:type="dxa"/>
            <w:shd w:val="clear" w:color="auto" w:fill="auto"/>
            <w:vAlign w:val="center"/>
          </w:tcPr>
          <w:p w:rsidR="00751A4A" w:rsidRPr="002A4109" w:rsidRDefault="00E57916" w:rsidP="0010095E">
            <w:pPr>
              <w:pStyle w:val="EPName"/>
            </w:pPr>
            <w:r w:rsidRPr="002A4109">
              <w:t>Europees Parlement</w:t>
            </w:r>
          </w:p>
          <w:p w:rsidR="00751A4A" w:rsidRPr="002A4109" w:rsidRDefault="00817416" w:rsidP="00756632">
            <w:pPr>
              <w:pStyle w:val="EPTerm"/>
              <w:rPr>
                <w:rStyle w:val="HideTWBExt"/>
                <w:noProof w:val="0"/>
                <w:vanish w:val="0"/>
                <w:color w:val="auto"/>
              </w:rPr>
            </w:pPr>
            <w:r w:rsidRPr="002A4109">
              <w:t>2019-2024</w:t>
            </w:r>
          </w:p>
        </w:tc>
        <w:tc>
          <w:tcPr>
            <w:tcW w:w="2268" w:type="dxa"/>
            <w:shd w:val="clear" w:color="auto" w:fill="auto"/>
          </w:tcPr>
          <w:p w:rsidR="00751A4A" w:rsidRPr="002A4109" w:rsidRDefault="00187494" w:rsidP="0010095E">
            <w:pPr>
              <w:pStyle w:val="EPLogo"/>
            </w:pPr>
            <w:r w:rsidRPr="002A410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A4109" w:rsidRDefault="00D058B8" w:rsidP="004C5D52">
      <w:pPr>
        <w:pStyle w:val="LineTop"/>
      </w:pPr>
    </w:p>
    <w:p w:rsidR="00680577" w:rsidRPr="002A4109" w:rsidRDefault="00E57916" w:rsidP="00680577">
      <w:pPr>
        <w:pStyle w:val="EPBodyTA1"/>
      </w:pPr>
      <w:r w:rsidRPr="002A4109">
        <w:t>AANGENOMEN TEKSTEN</w:t>
      </w:r>
    </w:p>
    <w:p w:rsidR="00D058B8" w:rsidRPr="002A4109" w:rsidRDefault="00D058B8" w:rsidP="00D058B8">
      <w:pPr>
        <w:pStyle w:val="LineBottom"/>
      </w:pPr>
    </w:p>
    <w:p w:rsidR="00E57916" w:rsidRPr="002A4109" w:rsidRDefault="00E57916" w:rsidP="00E57916">
      <w:pPr>
        <w:pStyle w:val="ATHeading1"/>
      </w:pPr>
      <w:bookmarkStart w:id="0" w:name="TANumber"/>
      <w:r w:rsidRPr="002A4109">
        <w:t>P9_TA(2024)0</w:t>
      </w:r>
      <w:r w:rsidR="00A12454">
        <w:t>334</w:t>
      </w:r>
      <w:bookmarkEnd w:id="0"/>
    </w:p>
    <w:p w:rsidR="00E57916" w:rsidRPr="002A4109" w:rsidRDefault="00E57916" w:rsidP="00E57916">
      <w:pPr>
        <w:pStyle w:val="ATHeading2"/>
      </w:pPr>
      <w:bookmarkStart w:id="1" w:name="title"/>
      <w:r w:rsidRPr="002A4109">
        <w:t>Beschikbaarstelling van middelen uit het Europees Fonds voor aanpassing aan de globalisering: Aanvraag EGF/2024/000 TA 2024 – Technische bijstand op initiatief van de Commissie</w:t>
      </w:r>
      <w:bookmarkEnd w:id="1"/>
    </w:p>
    <w:p w:rsidR="00E57916" w:rsidRPr="002A4109" w:rsidRDefault="00E57916" w:rsidP="00E57916">
      <w:pPr>
        <w:rPr>
          <w:i/>
          <w:vanish/>
        </w:rPr>
      </w:pPr>
      <w:r w:rsidRPr="002A4109">
        <w:rPr>
          <w:i/>
        </w:rPr>
        <w:fldChar w:fldCharType="begin"/>
      </w:r>
      <w:r w:rsidRPr="002A4109">
        <w:rPr>
          <w:i/>
        </w:rPr>
        <w:instrText xml:space="preserve"> TC"(</w:instrText>
      </w:r>
      <w:bookmarkStart w:id="2" w:name="DocNumber"/>
      <w:r w:rsidRPr="002A4109">
        <w:rPr>
          <w:i/>
        </w:rPr>
        <w:instrText>A9-0173/2024</w:instrText>
      </w:r>
      <w:bookmarkEnd w:id="2"/>
      <w:r w:rsidRPr="002A4109">
        <w:rPr>
          <w:i/>
        </w:rPr>
        <w:instrText xml:space="preserve"> - Rapporteur: Margarida Marques)"\l3 \n&gt; \* MERGEFORMAT </w:instrText>
      </w:r>
      <w:r w:rsidRPr="002A4109">
        <w:rPr>
          <w:i/>
        </w:rPr>
        <w:fldChar w:fldCharType="end"/>
      </w:r>
    </w:p>
    <w:p w:rsidR="00E57916" w:rsidRPr="002A4109" w:rsidRDefault="00E57916" w:rsidP="00E57916">
      <w:pPr>
        <w:rPr>
          <w:vanish/>
        </w:rPr>
      </w:pPr>
      <w:bookmarkStart w:id="3" w:name="Commission"/>
      <w:r w:rsidRPr="002A4109">
        <w:rPr>
          <w:vanish/>
        </w:rPr>
        <w:t>Begrotingscommissie</w:t>
      </w:r>
      <w:bookmarkEnd w:id="3"/>
    </w:p>
    <w:p w:rsidR="00E57916" w:rsidRPr="002A4109" w:rsidRDefault="00E57916" w:rsidP="00E57916">
      <w:pPr>
        <w:rPr>
          <w:vanish/>
        </w:rPr>
      </w:pPr>
      <w:bookmarkStart w:id="4" w:name="PE"/>
      <w:r w:rsidRPr="002A4109">
        <w:rPr>
          <w:vanish/>
        </w:rPr>
        <w:t>PE759.750</w:t>
      </w:r>
      <w:bookmarkEnd w:id="4"/>
    </w:p>
    <w:p w:rsidR="00E57916" w:rsidRPr="002A4109" w:rsidRDefault="00E57916" w:rsidP="00E57916">
      <w:pPr>
        <w:pStyle w:val="ATHeading3"/>
      </w:pPr>
      <w:bookmarkStart w:id="5" w:name="Sujet"/>
      <w:r w:rsidRPr="002A4109">
        <w:t xml:space="preserve">Resolutie van het Europees Parlement van </w:t>
      </w:r>
      <w:r w:rsidR="007350BF">
        <w:t>24</w:t>
      </w:r>
      <w:r w:rsidR="007350BF" w:rsidRPr="002A4109">
        <w:t xml:space="preserve"> </w:t>
      </w:r>
      <w:r w:rsidRPr="002A4109">
        <w:t>april 2024 over het voorstel voor een besluit van het Europees Parlement en de Raad betreffende de beschikbaarstelling van middelen uit het Europees Fonds voor aanpassing aan de globalisering voor ontslagen werknemers – EGF/2024/000 TA 2024 – Technische bijstand op initiatief van de Commissie</w:t>
      </w:r>
      <w:bookmarkEnd w:id="5"/>
      <w:r w:rsidRPr="002A4109">
        <w:t xml:space="preserve"> </w:t>
      </w:r>
      <w:bookmarkStart w:id="6" w:name="References"/>
      <w:r w:rsidRPr="002A4109">
        <w:t>(COM(2024)0084 – C9-0042/2024 – 2024/0003(BUD))</w:t>
      </w:r>
      <w:bookmarkEnd w:id="6"/>
    </w:p>
    <w:p w:rsidR="00C657A3" w:rsidRPr="002A4109" w:rsidRDefault="00C657A3" w:rsidP="00C657A3">
      <w:pPr>
        <w:pStyle w:val="EPComma"/>
        <w:rPr>
          <w:noProof/>
        </w:rPr>
      </w:pPr>
      <w:bookmarkStart w:id="7" w:name="TextBodyBegin"/>
      <w:bookmarkEnd w:id="7"/>
      <w:r w:rsidRPr="002A4109">
        <w:rPr>
          <w:i/>
        </w:rPr>
        <w:t>Het Europees Parlement</w:t>
      </w:r>
      <w:r w:rsidRPr="002A4109">
        <w:t>,</w:t>
      </w:r>
    </w:p>
    <w:p w:rsidR="00C657A3" w:rsidRPr="002A4109" w:rsidRDefault="00C657A3" w:rsidP="00C657A3">
      <w:pPr>
        <w:pStyle w:val="NormalHanging12a"/>
        <w:rPr>
          <w:noProof/>
        </w:rPr>
      </w:pPr>
      <w:r w:rsidRPr="002A4109">
        <w:t>–</w:t>
      </w:r>
      <w:r w:rsidRPr="002A4109">
        <w:tab/>
        <w:t>gezien het voorstel van de Commissie aan het Europees Parlement en de Raad (COM(2024)0084 – C9</w:t>
      </w:r>
      <w:r w:rsidRPr="002A4109">
        <w:noBreakHyphen/>
        <w:t>0042/2024),</w:t>
      </w:r>
    </w:p>
    <w:p w:rsidR="00C657A3" w:rsidRPr="002A4109" w:rsidRDefault="00C657A3" w:rsidP="00C657A3">
      <w:pPr>
        <w:pStyle w:val="NormalHanging12a"/>
        <w:rPr>
          <w:noProof/>
        </w:rPr>
      </w:pPr>
      <w:r w:rsidRPr="002A4109">
        <w:t>–</w:t>
      </w:r>
      <w:r w:rsidRPr="002A4109">
        <w:tab/>
        <w:t>gezien Verordening (EU) 2021/691 van het Europees Parlement en de Raad van 28 april 2021 betreffende het Europees Fonds voor aanpassing aan de globalisering voor ontslagen werknemers (EFG) en tot wijziging van Verordening (EU) nr. 1309/2013</w:t>
      </w:r>
      <w:r w:rsidRPr="002A4109">
        <w:rPr>
          <w:rStyle w:val="FootnoteReference"/>
        </w:rPr>
        <w:footnoteReference w:id="1"/>
      </w:r>
      <w:r w:rsidRPr="002A4109">
        <w:t xml:space="preserve"> (de “EFG-verordening”),</w:t>
      </w:r>
    </w:p>
    <w:p w:rsidR="00C657A3" w:rsidRPr="002A4109" w:rsidRDefault="00C657A3" w:rsidP="00C657A3">
      <w:pPr>
        <w:pStyle w:val="NormalHanging12a"/>
      </w:pPr>
      <w:r w:rsidRPr="002A4109">
        <w:t>–</w:t>
      </w:r>
      <w:r w:rsidRPr="002A4109">
        <w:tab/>
        <w:t>gezien Verordening (EU, Euratom) 2020/2093 van de Raad van 17 december 2020 tot bepaling van het meerjarig financieel kader voor de jaren 2021-2027</w:t>
      </w:r>
      <w:r w:rsidRPr="002A4109">
        <w:rPr>
          <w:rStyle w:val="FootnoteReference"/>
        </w:rPr>
        <w:footnoteReference w:id="2"/>
      </w:r>
      <w:r w:rsidRPr="002A4109">
        <w:t>, zoals gewijzigd bij Verordening (EU, Euratom) 2024/765</w:t>
      </w:r>
      <w:r w:rsidRPr="002A4109">
        <w:rPr>
          <w:rStyle w:val="FootnoteReference"/>
          <w:bdr w:val="none" w:sz="0" w:space="0" w:color="auto" w:frame="1"/>
        </w:rPr>
        <w:footnoteReference w:id="3"/>
      </w:r>
      <w:r w:rsidRPr="002A4109">
        <w:t>, en met name artikel 8,</w:t>
      </w:r>
    </w:p>
    <w:p w:rsidR="00C657A3" w:rsidRPr="002A4109" w:rsidRDefault="00C657A3" w:rsidP="00C657A3">
      <w:pPr>
        <w:pStyle w:val="NormalHanging12a"/>
      </w:pPr>
      <w:r w:rsidRPr="002A4109">
        <w:t>–</w:t>
      </w:r>
      <w:r w:rsidRPr="002A4109">
        <w:tab/>
        <w:t xml:space="preserve">gezien het Interinstitutioneel Akkoord van 16 december 2020 tussen het Europees Parlement, de Raad van de Europese Unie en de Europese Commissie betreffende begrotingsdiscipline, samenwerking in begrotingszaken en goed financieel beheer, alsmede betreffende nieuwe eigen middelen, met inbegrip van een routekaart voor de </w:t>
      </w:r>
      <w:r w:rsidRPr="002A4109">
        <w:lastRenderedPageBreak/>
        <w:t>invoering van nieuwe eigen middelen</w:t>
      </w:r>
      <w:r w:rsidRPr="002A4109">
        <w:rPr>
          <w:rStyle w:val="FootnoteReference"/>
        </w:rPr>
        <w:footnoteReference w:id="4"/>
      </w:r>
      <w:r w:rsidRPr="002A4109">
        <w:t>, en met name punt 9,</w:t>
      </w:r>
    </w:p>
    <w:p w:rsidR="00C657A3" w:rsidRPr="002A4109" w:rsidRDefault="00C657A3" w:rsidP="00C657A3">
      <w:pPr>
        <w:pStyle w:val="NormalHanging12a"/>
      </w:pPr>
      <w:r w:rsidRPr="002A4109">
        <w:t>–</w:t>
      </w:r>
      <w:r w:rsidRPr="002A4109">
        <w:tab/>
        <w:t>gezien het verslag van de Begrotingscommissie (A9-0173/2024),</w:t>
      </w:r>
    </w:p>
    <w:p w:rsidR="00C657A3" w:rsidRPr="002A4109" w:rsidRDefault="00C657A3" w:rsidP="00C657A3">
      <w:pPr>
        <w:spacing w:after="240"/>
        <w:ind w:left="567" w:hanging="567"/>
      </w:pPr>
      <w:r w:rsidRPr="002A4109">
        <w:t>A.</w:t>
      </w:r>
      <w:r w:rsidRPr="002A4109">
        <w:tab/>
        <w:t>overwegende dat de Unie wetgevings- en begrotingsinstrumenten in het leven heeft geroepen om aanvullende steun te verlenen aan werknemers die de gevolgen ondervinden van globalisering en van technologische en milieuveranderingen, zoals verschuivingen in de wereldhandelsstromen, handelsgeschillen, significante verschuivingen in de handelsbetrekkingen van de Unie of de samenstelling van de interne markt en financiële of economische crises, alsook de overgang naar een koolstofarme economie, of als gevolg van digitalisering of automatisering;</w:t>
      </w:r>
    </w:p>
    <w:p w:rsidR="00C657A3" w:rsidRPr="002A4109" w:rsidRDefault="00C657A3" w:rsidP="00C657A3">
      <w:pPr>
        <w:spacing w:after="240"/>
        <w:ind w:left="567" w:hanging="567"/>
        <w:rPr>
          <w:bdr w:val="none" w:sz="0" w:space="0" w:color="auto" w:frame="1"/>
        </w:rPr>
      </w:pPr>
      <w:r w:rsidRPr="002A4109">
        <w:rPr>
          <w:bdr w:val="none" w:sz="0" w:space="0" w:color="auto" w:frame="1"/>
        </w:rPr>
        <w:t>B.</w:t>
      </w:r>
      <w:r w:rsidRPr="002A4109">
        <w:rPr>
          <w:bdr w:val="none" w:sz="0" w:space="0" w:color="auto" w:frame="1"/>
        </w:rPr>
        <w:tab/>
      </w:r>
      <w:r w:rsidRPr="002A4109">
        <w:t>overwegende dat de steun van de Unie aan ontslagen werknemers in de eerste plaats gericht moet zijn op actieve arbeidsmarktbeleidsmaatregelen en op gepersonaliseerde steunmaatregelen die tot doel hebben de begunstigden in staat te stellen snel te herintegreren in fatsoenlijke en duurzame banen en zich voor te bereiden op een groenere en digitalere Europese economie, en dat bij het nemen van besluiten tot beschikbaarstelling van middelen uit het EFG het Interinstitutioneel Akkoord van 16 december 2020 in acht moet worden genomen;</w:t>
      </w:r>
    </w:p>
    <w:p w:rsidR="00C657A3" w:rsidRPr="002A4109" w:rsidRDefault="00C657A3" w:rsidP="00C657A3">
      <w:pPr>
        <w:spacing w:after="240"/>
        <w:ind w:left="567" w:hanging="567"/>
      </w:pPr>
      <w:r w:rsidRPr="002A4109">
        <w:t>C.</w:t>
      </w:r>
      <w:r w:rsidRPr="002A4109">
        <w:tab/>
        <w:t>overwegende dat de Unie eerst het toepassingsgebied van het EFG aldus heeft uitgebreid dat uit het fonds financiële steun kon worden verleend in geval van grote herstructureringen, met als doel de economische gevolgen van de COVID</w:t>
      </w:r>
      <w:r w:rsidRPr="002A4109">
        <w:noBreakHyphen/>
        <w:t>19-crisis op te vangen;</w:t>
      </w:r>
    </w:p>
    <w:p w:rsidR="00C657A3" w:rsidRPr="002A4109" w:rsidRDefault="00C657A3" w:rsidP="00C657A3">
      <w:pPr>
        <w:spacing w:after="240"/>
        <w:ind w:left="567" w:hanging="567"/>
        <w:rPr>
          <w:bdr w:val="none" w:sz="0" w:space="0" w:color="auto" w:frame="1"/>
        </w:rPr>
      </w:pPr>
      <w:r w:rsidRPr="002A4109">
        <w:rPr>
          <w:bdr w:val="none" w:sz="0" w:space="0" w:color="auto" w:frame="1"/>
        </w:rPr>
        <w:t>D.</w:t>
      </w:r>
      <w:r w:rsidRPr="002A4109">
        <w:rPr>
          <w:bdr w:val="none" w:sz="0" w:space="0" w:color="auto" w:frame="1"/>
        </w:rPr>
        <w:tab/>
      </w:r>
      <w:r w:rsidRPr="002A4109">
        <w:t>overwegende dat met de goedkeuring van de nieuwe EFG-verordening in 2021 het toepassingsgebied van het EFG verder werd verruimd, in die zin dat voortaan ook middelen uit het fonds beschikbaar konden worden gesteld in geval van grote herstructureringen als gevolg van de transitie naar een koolstofarme economie of als gevolg van digitalisering of automatisering, waarbij tevens de drempel voor activering van het EFG werd verlaagd van 500 ontslagen werknemers naar 200 ontslagen werknemers;</w:t>
      </w:r>
    </w:p>
    <w:p w:rsidR="00C657A3" w:rsidRPr="002A4109" w:rsidRDefault="00C657A3" w:rsidP="00C657A3">
      <w:pPr>
        <w:spacing w:after="240"/>
        <w:ind w:left="567" w:hanging="567"/>
        <w:rPr>
          <w:bdr w:val="none" w:sz="0" w:space="0" w:color="auto" w:frame="1"/>
        </w:rPr>
      </w:pPr>
      <w:r w:rsidRPr="002A4109">
        <w:rPr>
          <w:bdr w:val="none" w:sz="0" w:space="0" w:color="auto" w:frame="1"/>
        </w:rPr>
        <w:t>E.</w:t>
      </w:r>
      <w:r w:rsidRPr="002A4109">
        <w:rPr>
          <w:bdr w:val="none" w:sz="0" w:space="0" w:color="auto" w:frame="1"/>
        </w:rPr>
        <w:tab/>
        <w:t xml:space="preserve">overwegende dat bij de herziening van het MFK het jaarlijkse maximumbedrag dat beschikbaar is voor het EFG, wordt verlaagd van 186 miljoen EUR tot 30 miljoen EUR (in prijzen van 2018), zoals vastgesteld in artikel 8 van Verordening (EU, Euratom) 2020/2093 van de Raad, zoals gewijzigd bij Verordening (EU, Euratom) 2024/765; </w:t>
      </w:r>
      <w:r w:rsidRPr="002A4109">
        <w:t>overwegende dat de Commissie toezicht moet houden op de tenuitvoerlegging van het EFG en dat alle instellingen de nodige maatregelen moeten nemen om ervoor te zorgen dat alle gerechtvaardigde aanvragen voor EFG-steun, als blijk van solidariteit binnen de Unie, kunnen worden ingewilligd;</w:t>
      </w:r>
    </w:p>
    <w:p w:rsidR="00C657A3" w:rsidRPr="002A4109" w:rsidRDefault="00C657A3" w:rsidP="00C657A3">
      <w:pPr>
        <w:spacing w:after="240"/>
        <w:ind w:left="567" w:hanging="567"/>
        <w:rPr>
          <w:bdr w:val="none" w:sz="0" w:space="0" w:color="auto" w:frame="1"/>
        </w:rPr>
      </w:pPr>
      <w:r w:rsidRPr="002A4109">
        <w:rPr>
          <w:bdr w:val="none" w:sz="0" w:space="0" w:color="auto" w:frame="1"/>
        </w:rPr>
        <w:t>F.</w:t>
      </w:r>
      <w:r w:rsidRPr="002A4109">
        <w:rPr>
          <w:bdr w:val="none" w:sz="0" w:space="0" w:color="auto" w:frame="1"/>
        </w:rPr>
        <w:tab/>
      </w:r>
      <w:r w:rsidRPr="002A4109">
        <w:t>overwegende dat in artikel 11, lid 1, van de EFG-verordening wordt bepaald dat, op initiatief van de Commissie, maximaal 0,5 % van het jaarlijkse maximumbedrag kan worden gebruikt voor technische bijstand;</w:t>
      </w:r>
    </w:p>
    <w:p w:rsidR="00C657A3" w:rsidRPr="002A4109" w:rsidRDefault="00C657A3" w:rsidP="00C657A3">
      <w:pPr>
        <w:spacing w:after="240"/>
        <w:ind w:left="567" w:hanging="567"/>
        <w:rPr>
          <w:bdr w:val="none" w:sz="0" w:space="0" w:color="auto" w:frame="1"/>
        </w:rPr>
      </w:pPr>
      <w:r w:rsidRPr="002A4109">
        <w:rPr>
          <w:bdr w:val="none" w:sz="0" w:space="0" w:color="auto" w:frame="1"/>
        </w:rPr>
        <w:t>G.</w:t>
      </w:r>
      <w:r w:rsidRPr="002A4109">
        <w:rPr>
          <w:bdr w:val="none" w:sz="0" w:space="0" w:color="auto" w:frame="1"/>
        </w:rPr>
        <w:tab/>
        <w:t xml:space="preserve">overwegende dat technische bijstand kan bestaan uit technische en administratieve uitgaven voor de uitvoering van het EFG, zoals werkzaamheden op het gebied van voorbereiding, monitoring, controle, audit en evaluatie, alsmede gegevensverzameling, waaronder met betrekking tot institutionele informatietechnologiesystemen, </w:t>
      </w:r>
      <w:r w:rsidRPr="002A4109">
        <w:rPr>
          <w:bdr w:val="none" w:sz="0" w:space="0" w:color="auto" w:frame="1"/>
        </w:rPr>
        <w:lastRenderedPageBreak/>
        <w:t>communicatiemaatregelen en maatregelen die de zichtbaarheid van het EFG als fonds of in verband met specifieke projecten vergroten, alsook andere maatregelen voor technische bijstand;</w:t>
      </w:r>
    </w:p>
    <w:p w:rsidR="00C657A3" w:rsidRPr="002A4109" w:rsidRDefault="00C657A3" w:rsidP="00C657A3">
      <w:pPr>
        <w:spacing w:after="240"/>
        <w:ind w:left="567" w:hanging="567"/>
        <w:rPr>
          <w:bdr w:val="none" w:sz="0" w:space="0" w:color="auto" w:frame="1"/>
        </w:rPr>
      </w:pPr>
      <w:r w:rsidRPr="002A4109">
        <w:rPr>
          <w:bdr w:val="none" w:sz="0" w:space="0" w:color="auto" w:frame="1"/>
        </w:rPr>
        <w:t>H.</w:t>
      </w:r>
      <w:r w:rsidRPr="002A4109">
        <w:rPr>
          <w:bdr w:val="none" w:sz="0" w:space="0" w:color="auto" w:frame="1"/>
        </w:rPr>
        <w:tab/>
      </w:r>
      <w:r w:rsidRPr="002A4109">
        <w:t>overwegende dat het voorgestelde bedrag van 165 000 EUR overeenkomt met circa 0,49 % van het beschikbare jaarlijkse maximumbedrag voor het EFG in 2024;</w:t>
      </w:r>
    </w:p>
    <w:p w:rsidR="00C657A3" w:rsidRPr="002A4109" w:rsidRDefault="00C657A3" w:rsidP="00C657A3">
      <w:pPr>
        <w:spacing w:after="240"/>
        <w:ind w:left="567" w:hanging="567"/>
        <w:rPr>
          <w:bdr w:val="none" w:sz="0" w:space="0" w:color="auto" w:frame="1"/>
        </w:rPr>
      </w:pPr>
      <w:r w:rsidRPr="002A4109">
        <w:rPr>
          <w:bdr w:val="none" w:sz="0" w:space="0" w:color="auto" w:frame="1"/>
        </w:rPr>
        <w:t>1.</w:t>
      </w:r>
      <w:r w:rsidRPr="002A4109">
        <w:rPr>
          <w:bdr w:val="none" w:sz="0" w:space="0" w:color="auto" w:frame="1"/>
        </w:rPr>
        <w:tab/>
        <w:t>stemt in met de beschikbaarstelling van 165 000 EUR en stemt ermee in dat de door de Commissie voorgestelde maatregelen gefinancierd worden als technische bijstand, overeenkomstig artikel 11, leden 1 en 4, en artikel 12, leden 2, 3 en 4, van de EFG-verordening;</w:t>
      </w:r>
    </w:p>
    <w:p w:rsidR="00C657A3" w:rsidRPr="002A4109" w:rsidRDefault="00C657A3" w:rsidP="00C657A3">
      <w:pPr>
        <w:spacing w:after="240"/>
        <w:ind w:left="567" w:hanging="567"/>
      </w:pPr>
      <w:r w:rsidRPr="002A4109">
        <w:t>2.</w:t>
      </w:r>
      <w:r w:rsidRPr="002A4109">
        <w:tab/>
        <w:t>is verheugd dat verder gewerkt wordt aan de invoering van gestandaardiseerde procedures voor EFG-aanvragen en dossierbeheer en dat hierbij gebruik wordt gemaakt van de functionaliteiten van het systeem voor elektronische gegevensuitwisseling (gemeenschappelijk systeem voor gedeeld fondsenbeheer – SFC), omdat het indienen van een aanvraag daardoor gemakkelijker wordt, aanvragen sneller zullen kunnen worden behandeld en het gemakkelijker wordt om aan rapportageverplichtingen te voldoen;</w:t>
      </w:r>
    </w:p>
    <w:p w:rsidR="00C657A3" w:rsidRPr="002A4109" w:rsidRDefault="00C657A3" w:rsidP="00C657A3">
      <w:pPr>
        <w:spacing w:after="240"/>
        <w:ind w:left="567" w:hanging="567"/>
      </w:pPr>
      <w:r w:rsidRPr="002A4109">
        <w:t>3.</w:t>
      </w:r>
      <w:r w:rsidRPr="002A4109">
        <w:tab/>
        <w:t>stelt vast dat de Commissie het bedrag voor administratieve uitgaven zal besteden aan vergaderingen van de deskundigengroep van contactpersonen van het EFG (die twee leden per lidstaat telt) en aan het organiseren, met het oog op de bevordering van netwerken tussen de lidstaten, van één seminar waaraan de EFG-uitvoeringsorganen en de sociale partners zullen deelnemen; roept de Commissie op om het Parlement te blijven uitnodigen voor alle vergaderingen en seminars, overeenkomstig de relevante bepalingen van het Kaderakkoord over de betrekkingen tussen het Parlement en de Commissie</w:t>
      </w:r>
      <w:r w:rsidR="00DD1094">
        <w:t>;</w:t>
      </w:r>
    </w:p>
    <w:p w:rsidR="00C657A3" w:rsidRPr="002A4109" w:rsidRDefault="00C657A3" w:rsidP="00C657A3">
      <w:pPr>
        <w:spacing w:after="240"/>
        <w:ind w:left="567" w:hanging="567"/>
      </w:pPr>
      <w:r w:rsidRPr="002A4109">
        <w:t>4.</w:t>
      </w:r>
      <w:r w:rsidRPr="002A4109">
        <w:tab/>
        <w:t>verzoekt de Commissie voort te bouwen op de beste praktijken die tijdens de COVID</w:t>
      </w:r>
      <w:r w:rsidRPr="002A4109">
        <w:noBreakHyphen/>
        <w:t>19-pandemie zijn ontwikkeld, met name in de vorm van maatregelen die erop gericht zijn sneller een inclusieve groene en digitale transitie te realiseren en die bijdragen aan de verwezenlijking van de kernprioriteiten van de Unie, waaronder gendergelijkheid;</w:t>
      </w:r>
    </w:p>
    <w:p w:rsidR="00C657A3" w:rsidRPr="002A4109" w:rsidRDefault="00C657A3" w:rsidP="00C657A3">
      <w:pPr>
        <w:spacing w:after="240"/>
        <w:ind w:left="567" w:hanging="567"/>
      </w:pPr>
      <w:r w:rsidRPr="002A4109">
        <w:t>5.</w:t>
      </w:r>
      <w:r w:rsidRPr="002A4109">
        <w:tab/>
        <w:t xml:space="preserve">wijst erop dat de algemene bekendheid en de zichtbaarheid van het EFG verder moeten worden versterkt; wijst erop dat dit bereikt kan worden door het EFG onder de aandacht te brengen in verschillende publicaties van de Commissie en via haar audiovisuele activiteiten, overeenkomstig artikel 11, lid 1, van de EFG-verordening; </w:t>
      </w:r>
      <w:r w:rsidRPr="002A4109">
        <w:rPr>
          <w:bdr w:val="none" w:sz="0" w:space="0" w:color="auto" w:frame="1"/>
        </w:rPr>
        <w:t>is in dit verband verheugd over het feit dat er een speciale website voor het EFG is opgezet en verzoekt de Commissie om deze website actueel te houden en verder uit te breiden, om de Europese solidariteit die via het EFG wordt betoond zichtbaarder te maken voor de burgers en de transparantie met betrekking tot het optreden van de Unie te vergroten;</w:t>
      </w:r>
    </w:p>
    <w:p w:rsidR="00C657A3" w:rsidRPr="002A4109" w:rsidRDefault="00C657A3" w:rsidP="00C657A3">
      <w:pPr>
        <w:spacing w:after="240"/>
        <w:ind w:left="567" w:hanging="567"/>
      </w:pPr>
      <w:r w:rsidRPr="002A4109">
        <w:t>6.</w:t>
      </w:r>
      <w:r w:rsidRPr="002A4109">
        <w:tab/>
        <w:t>herinnert de lidstaten die steun aanvragen uit het EFG aan hun belangrijke taak om op grote schaal bekendheid te geven aan de acties die met het EFG worden gefinancierd en zich daarbij te richten tot de beoogde begunstigden, de lokale en regionale autoriteiten, de sociale partners, de media en het grote publiek, zoals bepaald in artikel 12 van de verordening;</w:t>
      </w:r>
    </w:p>
    <w:p w:rsidR="00C657A3" w:rsidRPr="002A4109" w:rsidRDefault="00C657A3" w:rsidP="00C657A3">
      <w:pPr>
        <w:spacing w:after="240"/>
        <w:ind w:left="567" w:hanging="567"/>
      </w:pPr>
      <w:r w:rsidRPr="002A4109">
        <w:t>7.</w:t>
      </w:r>
      <w:r w:rsidRPr="002A4109">
        <w:tab/>
        <w:t>hecht zijn goedkeuring aan het bij deze resolutie gevoegde besluit;</w:t>
      </w:r>
    </w:p>
    <w:p w:rsidR="00C657A3" w:rsidRPr="00DD1094" w:rsidRDefault="00C657A3" w:rsidP="00C657A3">
      <w:pPr>
        <w:spacing w:after="240"/>
        <w:ind w:left="567" w:hanging="567"/>
        <w:rPr>
          <w:bdr w:val="none" w:sz="0" w:space="0" w:color="auto" w:frame="1"/>
        </w:rPr>
      </w:pPr>
      <w:r w:rsidRPr="002A4109">
        <w:lastRenderedPageBreak/>
        <w:t>8.</w:t>
      </w:r>
      <w:r w:rsidRPr="002A4109">
        <w:tab/>
      </w:r>
      <w:r w:rsidRPr="002A4109">
        <w:rPr>
          <w:bdr w:val="none" w:sz="0" w:space="0" w:color="auto" w:frame="1"/>
        </w:rPr>
        <w:t xml:space="preserve">verzoekt zijn Voorzitter dit besluit samen met de voorzitter van de Raad te ondertekenen en zorg te dragen voor publicatie ervan in het </w:t>
      </w:r>
      <w:r w:rsidRPr="002A4109">
        <w:rPr>
          <w:i/>
          <w:bdr w:val="none" w:sz="0" w:space="0" w:color="auto" w:frame="1"/>
        </w:rPr>
        <w:t>Publicatieblad van de Europese Unie</w:t>
      </w:r>
      <w:r w:rsidRPr="002A4109">
        <w:rPr>
          <w:bdr w:val="none" w:sz="0" w:space="0" w:color="auto" w:frame="1"/>
        </w:rPr>
        <w:t>;</w:t>
      </w:r>
    </w:p>
    <w:p w:rsidR="00C657A3" w:rsidRPr="002A4109" w:rsidRDefault="00C657A3" w:rsidP="00C657A3">
      <w:pPr>
        <w:spacing w:after="240"/>
        <w:ind w:left="567" w:hanging="567"/>
        <w:rPr>
          <w:noProof/>
        </w:rPr>
      </w:pPr>
      <w:r w:rsidRPr="002A4109">
        <w:rPr>
          <w:bdr w:val="none" w:sz="0" w:space="0" w:color="auto" w:frame="1"/>
        </w:rPr>
        <w:t>9.</w:t>
      </w:r>
      <w:r w:rsidRPr="002A4109">
        <w:rPr>
          <w:bdr w:val="none" w:sz="0" w:space="0" w:color="auto" w:frame="1"/>
        </w:rPr>
        <w:tab/>
        <w:t>verzoekt zijn Voorzitter deze resolutie, met inbegrip van de bijlage, te doen toekomen aan de Raad en de Commissie.</w:t>
      </w:r>
    </w:p>
    <w:p w:rsidR="00C657A3" w:rsidRPr="002A4109" w:rsidRDefault="00C657A3" w:rsidP="00C657A3">
      <w:pPr>
        <w:rPr>
          <w:noProof/>
        </w:rPr>
      </w:pPr>
    </w:p>
    <w:p w:rsidR="00C657A3" w:rsidRPr="002A4109" w:rsidRDefault="00C657A3" w:rsidP="00C657A3">
      <w:pPr>
        <w:pStyle w:val="PageHeading"/>
        <w:rPr>
          <w:noProof/>
        </w:rPr>
        <w:sectPr w:rsidR="00C657A3" w:rsidRPr="002A4109" w:rsidSect="002A4109">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C020C9" w:rsidRDefault="00C657A3" w:rsidP="00C657A3">
      <w:pPr>
        <w:pStyle w:val="PageHeading"/>
        <w:rPr>
          <w:rFonts w:ascii="Times New Roman" w:hAnsi="Times New Roman" w:cs="Times New Roman"/>
        </w:rPr>
      </w:pPr>
      <w:bookmarkStart w:id="8" w:name="_Toc164352903"/>
      <w:r w:rsidRPr="00C020C9">
        <w:rPr>
          <w:rFonts w:ascii="Times New Roman" w:hAnsi="Times New Roman" w:cs="Times New Roman"/>
        </w:rPr>
        <w:lastRenderedPageBreak/>
        <w:t>BIJLAGE</w:t>
      </w:r>
    </w:p>
    <w:p w:rsidR="00C657A3" w:rsidRPr="00C020C9" w:rsidRDefault="00C657A3" w:rsidP="00C657A3">
      <w:pPr>
        <w:pStyle w:val="PageHeading"/>
        <w:rPr>
          <w:rFonts w:ascii="Times New Roman" w:hAnsi="Times New Roman" w:cs="Times New Roman"/>
          <w:noProof/>
        </w:rPr>
      </w:pPr>
      <w:r w:rsidRPr="00C020C9">
        <w:rPr>
          <w:rFonts w:ascii="Times New Roman" w:hAnsi="Times New Roman" w:cs="Times New Roman"/>
        </w:rPr>
        <w:t>BESLUIT VAN HET EUROPEES PARLEMENT EN DE RAAD</w:t>
      </w:r>
      <w:bookmarkEnd w:id="8"/>
    </w:p>
    <w:p w:rsidR="00C657A3" w:rsidRDefault="00C657A3" w:rsidP="00C657A3">
      <w:pPr>
        <w:pStyle w:val="Titreobjet"/>
        <w:jc w:val="left"/>
      </w:pPr>
      <w:r w:rsidRPr="002A4109">
        <w:t>betreffende de beschikbaarstelling van middelen uit het Europees Fonds voor aanpassing aan de globalisering voor ontslagen werknemers (EGF/2024/000 TA 2024 – Technische bijstand op initiatief van de Commissie)</w:t>
      </w:r>
    </w:p>
    <w:p w:rsidR="00C020C9" w:rsidRPr="006302AE" w:rsidRDefault="00C020C9" w:rsidP="00C020C9">
      <w:pPr>
        <w:spacing w:before="240"/>
        <w:rPr>
          <w:i/>
        </w:rPr>
      </w:pPr>
      <w:r w:rsidRPr="006302AE">
        <w:rPr>
          <w:i/>
        </w:rPr>
        <w:t xml:space="preserve">(De tekst van de bijlage wordt hier niet weergegeven, aangezien deze overeenkomt met de definitieve handeling: Besluit (EU) </w:t>
      </w:r>
      <w:r>
        <w:rPr>
          <w:rStyle w:val="Emphasis"/>
        </w:rPr>
        <w:t>2024/1300</w:t>
      </w:r>
      <w:bookmarkStart w:id="9" w:name="_GoBack"/>
      <w:bookmarkEnd w:id="9"/>
      <w:r w:rsidRPr="006302AE">
        <w:rPr>
          <w:i/>
        </w:rPr>
        <w:t>.)</w:t>
      </w:r>
    </w:p>
    <w:sectPr w:rsidR="00C020C9" w:rsidRPr="006302AE" w:rsidSect="002A410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7916" w:rsidRPr="002A4109" w:rsidRDefault="00E57916">
      <w:r w:rsidRPr="002A4109">
        <w:separator/>
      </w:r>
    </w:p>
  </w:endnote>
  <w:endnote w:type="continuationSeparator" w:id="0">
    <w:p w:rsidR="00E57916" w:rsidRPr="002A4109" w:rsidRDefault="00E57916">
      <w:r w:rsidRPr="002A41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7A3" w:rsidRPr="002A4109" w:rsidRDefault="00C657A3" w:rsidP="00712005">
    <w:pPr>
      <w:pStyle w:val="EPFooter"/>
    </w:pPr>
    <w:r w:rsidRPr="002A4109">
      <w:t>PE</w:t>
    </w:r>
    <w:r w:rsidRPr="002A4109">
      <w:rPr>
        <w:rStyle w:val="HideTWBExt"/>
      </w:rPr>
      <w:t>&lt;NoPE&gt;</w:t>
    </w:r>
    <w:r w:rsidRPr="002A4109">
      <w:t>759.750</w:t>
    </w:r>
    <w:r w:rsidRPr="002A4109">
      <w:rPr>
        <w:rStyle w:val="HideTWBExt"/>
      </w:rPr>
      <w:t>&lt;/NoPE&gt;&lt;Version&gt;</w:t>
    </w:r>
    <w:r w:rsidRPr="002A4109">
      <w:t>v02-00</w:t>
    </w:r>
    <w:r w:rsidRPr="002A4109">
      <w:rPr>
        <w:rStyle w:val="HideTWBExt"/>
      </w:rPr>
      <w:t>&lt;/Version&gt;</w:t>
    </w:r>
    <w:r w:rsidRPr="002A4109">
      <w:tab/>
    </w:r>
    <w:r w:rsidRPr="002A4109">
      <w:fldChar w:fldCharType="begin"/>
    </w:r>
    <w:r w:rsidRPr="002A4109">
      <w:instrText xml:space="preserve"> PAGE  \* MERGEFORMAT </w:instrText>
    </w:r>
    <w:r w:rsidRPr="002A4109">
      <w:fldChar w:fldCharType="separate"/>
    </w:r>
    <w:r w:rsidRPr="002A4109">
      <w:rPr>
        <w:noProof/>
      </w:rPr>
      <w:t>4</w:t>
    </w:r>
    <w:r w:rsidRPr="002A4109">
      <w:fldChar w:fldCharType="end"/>
    </w:r>
    <w:r w:rsidRPr="002A4109">
      <w:t>/</w:t>
    </w:r>
    <w:r w:rsidR="00C020C9">
      <w:fldChar w:fldCharType="begin"/>
    </w:r>
    <w:r w:rsidR="00C020C9">
      <w:instrText xml:space="preserve"> NUMPAGES  \* MERGEFORMAT </w:instrText>
    </w:r>
    <w:r w:rsidR="00C020C9">
      <w:fldChar w:fldCharType="separate"/>
    </w:r>
    <w:r w:rsidRPr="002A4109">
      <w:rPr>
        <w:noProof/>
      </w:rPr>
      <w:t>4</w:t>
    </w:r>
    <w:r w:rsidR="00C020C9">
      <w:rPr>
        <w:noProof/>
      </w:rPr>
      <w:fldChar w:fldCharType="end"/>
    </w:r>
    <w:r w:rsidRPr="002A4109">
      <w:tab/>
    </w:r>
    <w:r w:rsidRPr="002A4109">
      <w:rPr>
        <w:rStyle w:val="HideTWBExt"/>
      </w:rPr>
      <w:t>&lt;PathFdR&gt;</w:t>
    </w:r>
    <w:r w:rsidRPr="002A4109">
      <w:t>RR\1300716NL.docx</w:t>
    </w:r>
    <w:r w:rsidRPr="002A4109">
      <w:rPr>
        <w:rStyle w:val="HideTWBExt"/>
      </w:rPr>
      <w:t>&lt;/PathFdR&gt;</w:t>
    </w:r>
  </w:p>
  <w:p w:rsidR="00C657A3" w:rsidRPr="002A4109" w:rsidRDefault="00C657A3" w:rsidP="00712005">
    <w:pPr>
      <w:pStyle w:val="EPFooter2"/>
    </w:pPr>
    <w:r w:rsidRPr="002A4109">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7A3" w:rsidRPr="002A4109" w:rsidRDefault="00C657A3" w:rsidP="00712005">
    <w:pPr>
      <w:pStyle w:val="EPFooter"/>
    </w:pPr>
    <w:r w:rsidRPr="002A4109">
      <w:rPr>
        <w:rStyle w:val="HideTWBExt"/>
      </w:rPr>
      <w:t>&lt;PathFdR&gt;</w:t>
    </w:r>
    <w:r w:rsidRPr="002A4109">
      <w:t>RR\1300716NL.docx</w:t>
    </w:r>
    <w:r w:rsidRPr="002A4109">
      <w:rPr>
        <w:rStyle w:val="HideTWBExt"/>
      </w:rPr>
      <w:t>&lt;/PathFdR&gt;</w:t>
    </w:r>
    <w:r w:rsidRPr="002A4109">
      <w:tab/>
    </w:r>
    <w:r w:rsidRPr="002A4109">
      <w:tab/>
      <w:t>PE</w:t>
    </w:r>
    <w:r w:rsidRPr="002A4109">
      <w:rPr>
        <w:rStyle w:val="HideTWBExt"/>
      </w:rPr>
      <w:t>&lt;NoPE&gt;</w:t>
    </w:r>
    <w:r w:rsidRPr="002A4109">
      <w:t>759.750</w:t>
    </w:r>
    <w:r w:rsidRPr="002A4109">
      <w:rPr>
        <w:rStyle w:val="HideTWBExt"/>
      </w:rPr>
      <w:t>&lt;/NoPE&gt;&lt;Version&gt;</w:t>
    </w:r>
    <w:r w:rsidRPr="002A4109">
      <w:t>v02-00</w:t>
    </w:r>
    <w:r w:rsidRPr="002A4109">
      <w:rPr>
        <w:rStyle w:val="HideTWBExt"/>
      </w:rPr>
      <w:t>&lt;/Version&gt;</w:t>
    </w:r>
  </w:p>
  <w:p w:rsidR="00C657A3" w:rsidRPr="002A4109" w:rsidRDefault="00C657A3" w:rsidP="00712005">
    <w:pPr>
      <w:pStyle w:val="EPFooter2"/>
    </w:pPr>
    <w:r w:rsidRPr="002A4109">
      <w:t>NL</w:t>
    </w:r>
    <w:r w:rsidRPr="002A4109">
      <w:tab/>
    </w:r>
    <w:r w:rsidRPr="002A4109">
      <w:rPr>
        <w:b w:val="0"/>
        <w:i/>
        <w:color w:val="C0C0C0"/>
        <w:sz w:val="22"/>
      </w:rPr>
      <w:t>In verscheidenheid verenigd</w:t>
    </w:r>
    <w:r w:rsidRPr="002A4109">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4109"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410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410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7916" w:rsidRPr="002A4109" w:rsidRDefault="00E57916">
      <w:r w:rsidRPr="002A4109">
        <w:separator/>
      </w:r>
    </w:p>
  </w:footnote>
  <w:footnote w:type="continuationSeparator" w:id="0">
    <w:p w:rsidR="00E57916" w:rsidRPr="002A4109" w:rsidRDefault="00E57916">
      <w:r w:rsidRPr="002A4109">
        <w:continuationSeparator/>
      </w:r>
    </w:p>
  </w:footnote>
  <w:footnote w:id="1">
    <w:p w:rsidR="00C657A3" w:rsidRPr="002A4109" w:rsidRDefault="00C657A3" w:rsidP="002A4109">
      <w:pPr>
        <w:pStyle w:val="FootnoteText"/>
        <w:ind w:left="567" w:hanging="567"/>
        <w:rPr>
          <w:sz w:val="24"/>
          <w:lang w:val="nl-NL"/>
        </w:rPr>
      </w:pPr>
      <w:r w:rsidRPr="002A4109">
        <w:rPr>
          <w:rStyle w:val="FootnoteReference"/>
          <w:sz w:val="24"/>
          <w:lang w:val="nl-NL"/>
        </w:rPr>
        <w:footnoteRef/>
      </w:r>
      <w:r w:rsidR="002A4109" w:rsidRPr="002A4109">
        <w:rPr>
          <w:sz w:val="24"/>
          <w:lang w:val="nl-NL"/>
        </w:rPr>
        <w:tab/>
      </w:r>
      <w:r w:rsidRPr="002A4109">
        <w:rPr>
          <w:sz w:val="24"/>
          <w:lang w:val="nl-NL"/>
        </w:rPr>
        <w:t>PB L 153 van 3.5.2021, blz. 48.</w:t>
      </w:r>
    </w:p>
  </w:footnote>
  <w:footnote w:id="2">
    <w:p w:rsidR="00C657A3" w:rsidRPr="002A4109" w:rsidRDefault="00C657A3" w:rsidP="002A4109">
      <w:pPr>
        <w:pStyle w:val="FootnoteText"/>
        <w:ind w:left="567" w:hanging="567"/>
        <w:rPr>
          <w:sz w:val="24"/>
          <w:lang w:val="nl-NL"/>
        </w:rPr>
      </w:pPr>
      <w:r w:rsidRPr="002A4109">
        <w:rPr>
          <w:rStyle w:val="FootnoteReference"/>
          <w:sz w:val="24"/>
          <w:lang w:val="nl-NL"/>
        </w:rPr>
        <w:footnoteRef/>
      </w:r>
      <w:r w:rsidR="002A4109" w:rsidRPr="002A4109">
        <w:rPr>
          <w:sz w:val="24"/>
          <w:lang w:val="nl-NL"/>
        </w:rPr>
        <w:tab/>
      </w:r>
      <w:r w:rsidRPr="002A4109">
        <w:rPr>
          <w:sz w:val="24"/>
          <w:lang w:val="nl-NL"/>
        </w:rPr>
        <w:t>PB L 433 I van 22.12.2020, blz. 11.</w:t>
      </w:r>
    </w:p>
  </w:footnote>
  <w:footnote w:id="3">
    <w:p w:rsidR="00C657A3" w:rsidRPr="00925383" w:rsidRDefault="00C657A3" w:rsidP="002A4109">
      <w:pPr>
        <w:pStyle w:val="FootnoteText"/>
        <w:ind w:left="567" w:hanging="567"/>
        <w:rPr>
          <w:i/>
          <w:sz w:val="24"/>
          <w:lang w:val="nl-NL"/>
        </w:rPr>
      </w:pPr>
      <w:r w:rsidRPr="002A4109">
        <w:rPr>
          <w:rStyle w:val="FootnoteReference"/>
          <w:sz w:val="24"/>
          <w:lang w:val="nl-NL"/>
        </w:rPr>
        <w:footnoteRef/>
      </w:r>
      <w:r w:rsidR="002A4109" w:rsidRPr="002A4109">
        <w:rPr>
          <w:sz w:val="24"/>
          <w:lang w:val="nl-NL"/>
        </w:rPr>
        <w:tab/>
      </w:r>
      <w:r w:rsidRPr="002A4109">
        <w:rPr>
          <w:sz w:val="24"/>
          <w:lang w:val="nl-NL"/>
        </w:rPr>
        <w:t xml:space="preserve">Verordening (EU, Euratom) 2024/765 van de Raad van 29 februari 2024 tot wijziging van Verordening (EU, Euratom) 2020/2093 tot bepaling van het meerjarig financieel kader voor de jaren 2021-2027 (PB L, 2024/765, 29.2.2024, </w:t>
      </w:r>
      <w:r w:rsidRPr="00925383">
        <w:rPr>
          <w:rStyle w:val="Emphasis"/>
          <w:i w:val="0"/>
          <w:color w:val="333333"/>
          <w:sz w:val="24"/>
          <w:shd w:val="clear" w:color="auto" w:fill="FFFFFF"/>
          <w:lang w:val="nl-NL"/>
        </w:rPr>
        <w:t>ELI: http://data.europa.eu/eli/reg/2024/765/oj).</w:t>
      </w:r>
    </w:p>
  </w:footnote>
  <w:footnote w:id="4">
    <w:p w:rsidR="00C657A3" w:rsidRPr="002A4109" w:rsidRDefault="00C657A3" w:rsidP="002A4109">
      <w:pPr>
        <w:pStyle w:val="FootnoteText"/>
        <w:ind w:left="567" w:hanging="567"/>
        <w:rPr>
          <w:sz w:val="24"/>
          <w:lang w:val="nl-NL"/>
        </w:rPr>
      </w:pPr>
      <w:r w:rsidRPr="002A4109">
        <w:rPr>
          <w:rStyle w:val="FootnoteReference"/>
          <w:sz w:val="24"/>
          <w:lang w:val="nl-NL"/>
        </w:rPr>
        <w:footnoteRef/>
      </w:r>
      <w:r w:rsidR="002A4109" w:rsidRPr="002A4109">
        <w:rPr>
          <w:sz w:val="24"/>
          <w:lang w:val="nl-NL"/>
        </w:rPr>
        <w:tab/>
      </w:r>
      <w:r w:rsidRPr="002A4109">
        <w:rPr>
          <w:sz w:val="24"/>
          <w:lang w:val="nl-NL"/>
        </w:rPr>
        <w:t>PB L 433 I van 22.12.2020, blz. 28.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410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410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410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3/2024"/>
    <w:docVar w:name="dvlangue" w:val="NL"/>
    <w:docVar w:name="dvnumam" w:val="0"/>
    <w:docVar w:name="dvpe" w:val="759.750"/>
    <w:docVar w:name="dvrapporteur" w:val="Rapporteur: "/>
    <w:docVar w:name="dvtitre" w:val="Resolutie van het Europees Parlement van 25 april 2024 over het voorstel voor een besluit van het Europees Parlement en de Raad betreffende de beschikbaarstelling van middelen uit het Europees Fonds voor aanpassing aan de globalisering voor ontslagen werknemers – EGF/2024/000 TA 2024 – Technische bijstand op initiatief van de Commissie(COM(2024)0084 – C9-0042/2024 – 2024/0003(BUD))"/>
  </w:docVars>
  <w:rsids>
    <w:rsidRoot w:val="00E57916"/>
    <w:rsid w:val="00002272"/>
    <w:rsid w:val="00064002"/>
    <w:rsid w:val="000677B9"/>
    <w:rsid w:val="000831BA"/>
    <w:rsid w:val="000A42CC"/>
    <w:rsid w:val="000E7DD9"/>
    <w:rsid w:val="0010095E"/>
    <w:rsid w:val="00125B37"/>
    <w:rsid w:val="00187494"/>
    <w:rsid w:val="001F32AE"/>
    <w:rsid w:val="002767FF"/>
    <w:rsid w:val="002A4109"/>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350BF"/>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5383"/>
    <w:rsid w:val="00930C23"/>
    <w:rsid w:val="0093193B"/>
    <w:rsid w:val="009509D8"/>
    <w:rsid w:val="00950B64"/>
    <w:rsid w:val="00981893"/>
    <w:rsid w:val="00A1245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20C9"/>
    <w:rsid w:val="00C05BFE"/>
    <w:rsid w:val="00C23CD4"/>
    <w:rsid w:val="00C61C0C"/>
    <w:rsid w:val="00C657A3"/>
    <w:rsid w:val="00C941CB"/>
    <w:rsid w:val="00CC2357"/>
    <w:rsid w:val="00CF071A"/>
    <w:rsid w:val="00D058B8"/>
    <w:rsid w:val="00D56C11"/>
    <w:rsid w:val="00D834A0"/>
    <w:rsid w:val="00D872DF"/>
    <w:rsid w:val="00D91E21"/>
    <w:rsid w:val="00DA7FCD"/>
    <w:rsid w:val="00DD1094"/>
    <w:rsid w:val="00E365E1"/>
    <w:rsid w:val="00E57916"/>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016D41"/>
  <w15:chartTrackingRefBased/>
  <w15:docId w15:val="{CEE36A0A-0ACE-4CB7-96A9-8780CE7CF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qFormat="1"/>
    <w:lsdException w:name="caption" w:semiHidden="1" w:unhideWhenUsed="1" w:qFormat="1"/>
    <w:lsdException w:name="footnote reference" w:uiPriority="99"/>
    <w:lsdException w:name="annotation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657A3"/>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C657A3"/>
    <w:pPr>
      <w:keepNext/>
      <w:spacing w:after="480"/>
      <w:jc w:val="center"/>
    </w:pPr>
    <w:rPr>
      <w:rFonts w:ascii="Arial" w:hAnsi="Arial" w:cs="Arial"/>
      <w:b/>
    </w:rPr>
  </w:style>
  <w:style w:type="paragraph" w:customStyle="1" w:styleId="NormalHanging12a">
    <w:name w:val="NormalHanging12a"/>
    <w:basedOn w:val="Normal"/>
    <w:rsid w:val="00C657A3"/>
    <w:pPr>
      <w:spacing w:after="240"/>
      <w:ind w:left="567" w:hanging="567"/>
    </w:pPr>
  </w:style>
  <w:style w:type="paragraph" w:styleId="Header">
    <w:name w:val="header"/>
    <w:basedOn w:val="Normal"/>
    <w:link w:val="HeaderChar"/>
    <w:rsid w:val="00C657A3"/>
    <w:pPr>
      <w:tabs>
        <w:tab w:val="center" w:pos="4513"/>
        <w:tab w:val="right" w:pos="9026"/>
      </w:tabs>
    </w:pPr>
  </w:style>
  <w:style w:type="character" w:customStyle="1" w:styleId="HeaderChar">
    <w:name w:val="Header Char"/>
    <w:basedOn w:val="DefaultParagraphFont"/>
    <w:link w:val="Header"/>
    <w:rsid w:val="00C657A3"/>
    <w:rPr>
      <w:sz w:val="24"/>
      <w:lang w:val="nl-NL"/>
    </w:rPr>
  </w:style>
  <w:style w:type="paragraph" w:customStyle="1" w:styleId="EPFooter">
    <w:name w:val="EPFooter"/>
    <w:basedOn w:val="Normal"/>
    <w:rsid w:val="00C657A3"/>
    <w:pPr>
      <w:tabs>
        <w:tab w:val="center" w:pos="4535"/>
        <w:tab w:val="right" w:pos="9071"/>
      </w:tabs>
      <w:spacing w:before="240" w:after="240"/>
    </w:pPr>
    <w:rPr>
      <w:color w:val="010000"/>
      <w:sz w:val="22"/>
    </w:rPr>
  </w:style>
  <w:style w:type="paragraph" w:customStyle="1" w:styleId="EPComma">
    <w:name w:val="EPComma"/>
    <w:basedOn w:val="Normal"/>
    <w:rsid w:val="00C657A3"/>
    <w:pPr>
      <w:spacing w:before="480" w:after="240"/>
    </w:pPr>
  </w:style>
  <w:style w:type="paragraph" w:customStyle="1" w:styleId="Institutionquiagit">
    <w:name w:val="Institution qui agit"/>
    <w:basedOn w:val="Normal"/>
    <w:next w:val="Normal"/>
    <w:rsid w:val="00C657A3"/>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C657A3"/>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C657A3"/>
    <w:pPr>
      <w:widowControl/>
      <w:tabs>
        <w:tab w:val="left" w:pos="4252"/>
      </w:tabs>
    </w:pPr>
    <w:rPr>
      <w:rFonts w:eastAsiaTheme="minorHAnsi"/>
      <w:i/>
      <w:szCs w:val="22"/>
      <w:lang w:eastAsia="en-US"/>
    </w:rPr>
  </w:style>
  <w:style w:type="paragraph" w:customStyle="1" w:styleId="Fait">
    <w:name w:val="Fait à"/>
    <w:basedOn w:val="Normal"/>
    <w:next w:val="Institutionquisigne"/>
    <w:rsid w:val="00C657A3"/>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C657A3"/>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C657A3"/>
    <w:pPr>
      <w:keepNext/>
      <w:widowControl/>
      <w:spacing w:before="120" w:after="120"/>
      <w:jc w:val="both"/>
    </w:pPr>
    <w:rPr>
      <w:rFonts w:eastAsiaTheme="minorHAnsi"/>
      <w:szCs w:val="22"/>
      <w:lang w:eastAsia="en-US"/>
    </w:rPr>
  </w:style>
  <w:style w:type="paragraph" w:customStyle="1" w:styleId="ManualConsidrant">
    <w:name w:val="Manual Considérant"/>
    <w:basedOn w:val="Normal"/>
    <w:rsid w:val="00C657A3"/>
    <w:pPr>
      <w:widowControl/>
      <w:spacing w:before="120" w:after="120"/>
      <w:ind w:left="709" w:hanging="709"/>
      <w:jc w:val="both"/>
    </w:pPr>
    <w:rPr>
      <w:rFonts w:eastAsiaTheme="minorHAnsi"/>
      <w:szCs w:val="22"/>
      <w:lang w:eastAsia="en-US"/>
    </w:rPr>
  </w:style>
  <w:style w:type="paragraph" w:customStyle="1" w:styleId="Titreobjet">
    <w:name w:val="Titre objet"/>
    <w:basedOn w:val="Normal"/>
    <w:next w:val="Normal"/>
    <w:rsid w:val="00C657A3"/>
    <w:pPr>
      <w:widowControl/>
      <w:spacing w:before="360" w:after="360"/>
      <w:jc w:val="center"/>
    </w:pPr>
    <w:rPr>
      <w:rFonts w:eastAsiaTheme="minorHAnsi"/>
      <w:b/>
      <w:szCs w:val="22"/>
      <w:lang w:eastAsia="en-US"/>
    </w:rPr>
  </w:style>
  <w:style w:type="character" w:styleId="Emphasis">
    <w:name w:val="Emphasis"/>
    <w:basedOn w:val="DefaultParagraphFont"/>
    <w:qFormat/>
    <w:rsid w:val="00C657A3"/>
    <w:rPr>
      <w:i/>
      <w:iCs/>
    </w:rPr>
  </w:style>
  <w:style w:type="paragraph" w:styleId="Footer">
    <w:name w:val="footer"/>
    <w:basedOn w:val="Normal"/>
    <w:link w:val="FooterChar"/>
    <w:rsid w:val="00DD1094"/>
    <w:pPr>
      <w:tabs>
        <w:tab w:val="center" w:pos="4513"/>
        <w:tab w:val="right" w:pos="9026"/>
      </w:tabs>
    </w:pPr>
  </w:style>
  <w:style w:type="character" w:customStyle="1" w:styleId="FooterChar">
    <w:name w:val="Footer Char"/>
    <w:basedOn w:val="DefaultParagraphFont"/>
    <w:link w:val="Footer"/>
    <w:rsid w:val="00DD1094"/>
    <w:rPr>
      <w:sz w:val="24"/>
      <w:lang w:val="nl-NL"/>
    </w:rPr>
  </w:style>
  <w:style w:type="paragraph" w:styleId="BalloonText">
    <w:name w:val="Balloon Text"/>
    <w:basedOn w:val="Normal"/>
    <w:link w:val="BalloonTextChar"/>
    <w:rsid w:val="00DD1094"/>
    <w:rPr>
      <w:rFonts w:ascii="Segoe UI" w:hAnsi="Segoe UI" w:cs="Segoe UI"/>
      <w:sz w:val="18"/>
      <w:szCs w:val="18"/>
    </w:rPr>
  </w:style>
  <w:style w:type="character" w:customStyle="1" w:styleId="BalloonTextChar">
    <w:name w:val="Balloon Text Char"/>
    <w:basedOn w:val="DefaultParagraphFont"/>
    <w:link w:val="BalloonText"/>
    <w:rsid w:val="00DD1094"/>
    <w:rPr>
      <w:rFonts w:ascii="Segoe UI" w:hAnsi="Segoe UI" w:cs="Segoe UI"/>
      <w:sz w:val="18"/>
      <w:szCs w:val="18"/>
      <w:lang w:val="nl-NL"/>
    </w:rPr>
  </w:style>
  <w:style w:type="character" w:styleId="CommentReference">
    <w:name w:val="annotation reference"/>
    <w:basedOn w:val="DefaultParagraphFont"/>
    <w:qFormat/>
    <w:rsid w:val="00C020C9"/>
    <w:rPr>
      <w:sz w:val="16"/>
      <w:szCs w:val="16"/>
    </w:rPr>
  </w:style>
  <w:style w:type="paragraph" w:styleId="CommentText">
    <w:name w:val="annotation text"/>
    <w:basedOn w:val="Normal"/>
    <w:link w:val="CommentTextChar"/>
    <w:qFormat/>
    <w:rsid w:val="00C020C9"/>
    <w:rPr>
      <w:sz w:val="20"/>
      <w:lang w:val="en-GB"/>
    </w:rPr>
  </w:style>
  <w:style w:type="character" w:customStyle="1" w:styleId="CommentTextChar">
    <w:name w:val="Comment Text Char"/>
    <w:basedOn w:val="DefaultParagraphFont"/>
    <w:link w:val="CommentText"/>
    <w:rsid w:val="00C020C9"/>
  </w:style>
  <w:style w:type="character" w:styleId="Hyperlink">
    <w:name w:val="Hyperlink"/>
    <w:basedOn w:val="DefaultParagraphFont"/>
    <w:rsid w:val="00C020C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C69923-922A-40C3-8FDC-EDA8609AE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1247</Words>
  <Characters>7402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2024-09-09T10:13:00Z</dcterms:created>
  <dcterms:modified xsi:type="dcterms:W3CDTF">2024-09-09T10:13:00Z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P9_TA(2024)0334_</vt:lpwstr>
  </property>
  <property fmtid="{D5CDD505-2E9C-101B-9397-08002B2CF9AE}" pid="4" name="&lt;Type&gt;">
    <vt:lpwstr>RR</vt:lpwstr>
  </property>
</Properties>
</file>