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66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663B" w:rsidRDefault="004765E9" w:rsidP="0010095E">
            <w:pPr>
              <w:pStyle w:val="EPName"/>
            </w:pPr>
            <w:r w:rsidRPr="0098663B">
              <w:t>Parlament Europejski</w:t>
            </w:r>
          </w:p>
          <w:p w:rsidR="00751A4A" w:rsidRPr="009866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663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8663B" w:rsidRDefault="00187494" w:rsidP="0010095E">
            <w:pPr>
              <w:pStyle w:val="EPLogo"/>
            </w:pPr>
            <w:r w:rsidRPr="009866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663B" w:rsidRDefault="00D058B8" w:rsidP="004C5D52">
      <w:pPr>
        <w:pStyle w:val="LineTop"/>
      </w:pPr>
    </w:p>
    <w:p w:rsidR="00680577" w:rsidRPr="0098663B" w:rsidRDefault="004765E9" w:rsidP="00680577">
      <w:pPr>
        <w:pStyle w:val="EPBodyTA1"/>
      </w:pPr>
      <w:r w:rsidRPr="0098663B">
        <w:t>TEKSTY PRZYJĘTE</w:t>
      </w:r>
    </w:p>
    <w:p w:rsidR="00D058B8" w:rsidRPr="0098663B" w:rsidRDefault="00D058B8" w:rsidP="00D058B8">
      <w:pPr>
        <w:pStyle w:val="LineBottom"/>
      </w:pPr>
    </w:p>
    <w:p w:rsidR="004765E9" w:rsidRPr="0098663B" w:rsidRDefault="004765E9" w:rsidP="004765E9">
      <w:pPr>
        <w:pStyle w:val="ATHeading1"/>
      </w:pPr>
      <w:bookmarkStart w:id="0" w:name="TANumber"/>
      <w:r w:rsidRPr="0098663B">
        <w:t>P9_TA(2024)0</w:t>
      </w:r>
      <w:bookmarkEnd w:id="0"/>
      <w:r w:rsidR="0015408F">
        <w:t>334</w:t>
      </w:r>
    </w:p>
    <w:p w:rsidR="004765E9" w:rsidRPr="00EA1540" w:rsidRDefault="00EA1540" w:rsidP="00EA1540">
      <w:pPr>
        <w:pStyle w:val="ATHeading2"/>
      </w:pPr>
      <w:r w:rsidRPr="00EA1540">
        <w:t xml:space="preserve">Uruchomienie Europejskiego Funduszu Dostosowania do Globalizacji: wniosek EGF/2024/000 TA 2024 </w:t>
      </w:r>
      <w:r w:rsidRPr="00EA1540">
        <w:rPr>
          <w:rFonts w:hint="eastAsia"/>
        </w:rPr>
        <w:t>–</w:t>
      </w:r>
      <w:r>
        <w:t xml:space="preserve"> </w:t>
      </w:r>
      <w:r w:rsidRPr="00EA1540">
        <w:t>pomoc techniczna z inicjatywy Komisji</w:t>
      </w:r>
    </w:p>
    <w:p w:rsidR="004765E9" w:rsidRPr="0098663B" w:rsidRDefault="004765E9" w:rsidP="004765E9">
      <w:pPr>
        <w:rPr>
          <w:i/>
          <w:vanish/>
        </w:rPr>
      </w:pPr>
      <w:r w:rsidRPr="0098663B">
        <w:rPr>
          <w:i/>
        </w:rPr>
        <w:fldChar w:fldCharType="begin"/>
      </w:r>
      <w:r w:rsidRPr="0098663B">
        <w:rPr>
          <w:i/>
        </w:rPr>
        <w:instrText xml:space="preserve"> TC"(</w:instrText>
      </w:r>
      <w:bookmarkStart w:id="1" w:name="DocNumber"/>
      <w:r w:rsidRPr="0098663B">
        <w:rPr>
          <w:i/>
        </w:rPr>
        <w:instrText>A9-0173/2024</w:instrText>
      </w:r>
      <w:bookmarkEnd w:id="1"/>
      <w:r w:rsidRPr="0098663B">
        <w:rPr>
          <w:i/>
        </w:rPr>
        <w:instrText xml:space="preserve"> - Sprawozdawca: </w:instrText>
      </w:r>
      <w:proofErr w:type="spellStart"/>
      <w:r w:rsidRPr="0098663B">
        <w:rPr>
          <w:i/>
        </w:rPr>
        <w:instrText>Margarida</w:instrText>
      </w:r>
      <w:proofErr w:type="spellEnd"/>
      <w:r w:rsidRPr="0098663B">
        <w:rPr>
          <w:i/>
        </w:rPr>
        <w:instrText xml:space="preserve"> Marques</w:instrText>
      </w:r>
      <w:proofErr w:type="gramStart"/>
      <w:r w:rsidRPr="0098663B">
        <w:rPr>
          <w:i/>
        </w:rPr>
        <w:instrText>)"\l</w:instrText>
      </w:r>
      <w:proofErr w:type="gramEnd"/>
      <w:r w:rsidRPr="0098663B">
        <w:rPr>
          <w:i/>
        </w:rPr>
        <w:instrText xml:space="preserve">3 \n&gt; \* MERGEFORMAT </w:instrText>
      </w:r>
      <w:r w:rsidRPr="0098663B">
        <w:rPr>
          <w:i/>
        </w:rPr>
        <w:fldChar w:fldCharType="end"/>
      </w:r>
    </w:p>
    <w:p w:rsidR="004765E9" w:rsidRPr="0098663B" w:rsidRDefault="004765E9" w:rsidP="004765E9">
      <w:pPr>
        <w:rPr>
          <w:vanish/>
        </w:rPr>
      </w:pPr>
      <w:bookmarkStart w:id="2" w:name="Commission"/>
      <w:r w:rsidRPr="0098663B">
        <w:rPr>
          <w:vanish/>
        </w:rPr>
        <w:t>Komisja Budżetowa</w:t>
      </w:r>
      <w:bookmarkEnd w:id="2"/>
    </w:p>
    <w:p w:rsidR="004765E9" w:rsidRPr="0098663B" w:rsidRDefault="004765E9" w:rsidP="004765E9">
      <w:pPr>
        <w:rPr>
          <w:vanish/>
        </w:rPr>
      </w:pPr>
      <w:bookmarkStart w:id="3" w:name="PE"/>
      <w:r w:rsidRPr="0098663B">
        <w:rPr>
          <w:vanish/>
        </w:rPr>
        <w:t>PE759.750</w:t>
      </w:r>
      <w:bookmarkEnd w:id="3"/>
    </w:p>
    <w:p w:rsidR="004765E9" w:rsidRPr="0098663B" w:rsidRDefault="004765E9" w:rsidP="004765E9">
      <w:pPr>
        <w:pStyle w:val="ATHeading3"/>
      </w:pPr>
      <w:bookmarkStart w:id="4" w:name="Sujet"/>
      <w:r w:rsidRPr="0098663B">
        <w:t xml:space="preserve">Rezolucja Parlamentu Europejskiego z dnia </w:t>
      </w:r>
      <w:r w:rsidR="0015408F">
        <w:t>24</w:t>
      </w:r>
      <w:r w:rsidR="00EA1540">
        <w:t xml:space="preserve"> kwietnia</w:t>
      </w:r>
      <w:r w:rsidRPr="0098663B">
        <w:t xml:space="preserve"> 2024 r. w sprawie wniosku dotyczącego decyzji Parlamentu Europejskiego i Rady w sprawie uruchomienia Europejskiego Funduszu Dostosowania do Globalizacji dla Zwalnianych Pracowników (EGF/2024/000 TA 2024 – Pomoc techniczna z inicjatywy Komisji)</w:t>
      </w:r>
      <w:bookmarkEnd w:id="4"/>
      <w:r w:rsidRPr="0098663B">
        <w:t xml:space="preserve"> </w:t>
      </w:r>
      <w:bookmarkStart w:id="5" w:name="References"/>
      <w:r w:rsidRPr="0098663B">
        <w:t>(COM</w:t>
      </w:r>
      <w:proofErr w:type="gramStart"/>
      <w:r w:rsidRPr="0098663B">
        <w:t>(2024)0084 – C</w:t>
      </w:r>
      <w:proofErr w:type="gramEnd"/>
      <w:r w:rsidRPr="0098663B">
        <w:t>9-0042/2024 – 2024/0003(BUD))</w:t>
      </w:r>
      <w:bookmarkEnd w:id="5"/>
    </w:p>
    <w:p w:rsidR="004765E9" w:rsidRPr="0098663B" w:rsidRDefault="004765E9" w:rsidP="004765E9"/>
    <w:p w:rsidR="003F025B" w:rsidRPr="0098663B" w:rsidRDefault="003F025B" w:rsidP="003F025B">
      <w:pPr>
        <w:pStyle w:val="EPComma"/>
        <w:rPr>
          <w:noProof/>
        </w:rPr>
      </w:pPr>
      <w:bookmarkStart w:id="6" w:name="TextBodyBegin"/>
      <w:bookmarkEnd w:id="6"/>
      <w:r w:rsidRPr="0098663B">
        <w:rPr>
          <w:i/>
        </w:rPr>
        <w:t>Parlament Europejski</w:t>
      </w:r>
      <w:r w:rsidRPr="0098663B">
        <w:t>,</w:t>
      </w:r>
    </w:p>
    <w:p w:rsidR="003F025B" w:rsidRPr="0098663B" w:rsidRDefault="003F025B" w:rsidP="003F025B">
      <w:pPr>
        <w:pStyle w:val="NormalHanging12a"/>
        <w:rPr>
          <w:noProof/>
        </w:rPr>
      </w:pPr>
      <w:r w:rsidRPr="0098663B">
        <w:t>–</w:t>
      </w:r>
      <w:r w:rsidRPr="0098663B">
        <w:tab/>
        <w:t>uwzględniając wniosek Komisji przedłożony Parlamentowi Europejskiemu i Radzie (COM</w:t>
      </w:r>
      <w:proofErr w:type="gramStart"/>
      <w:r w:rsidRPr="0098663B">
        <w:t>(2024)0084 – C</w:t>
      </w:r>
      <w:proofErr w:type="gramEnd"/>
      <w:r w:rsidRPr="0098663B">
        <w:t>9</w:t>
      </w:r>
      <w:r w:rsidRPr="0098663B">
        <w:noBreakHyphen/>
        <w:t>0042/2024),</w:t>
      </w:r>
    </w:p>
    <w:p w:rsidR="003F025B" w:rsidRPr="0098663B" w:rsidRDefault="003F025B" w:rsidP="003F025B">
      <w:pPr>
        <w:pStyle w:val="NormalHanging12a"/>
        <w:rPr>
          <w:noProof/>
        </w:rPr>
      </w:pPr>
      <w:r w:rsidRPr="0098663B">
        <w:t>–</w:t>
      </w:r>
      <w:r w:rsidRPr="0098663B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98663B">
        <w:rPr>
          <w:rStyle w:val="FootnoteReference"/>
        </w:rPr>
        <w:footnoteReference w:id="1"/>
      </w:r>
      <w:r w:rsidRPr="0098663B">
        <w:t xml:space="preserve"> („rozporządzenie w sprawie EFG”),</w:t>
      </w:r>
    </w:p>
    <w:p w:rsidR="003F025B" w:rsidRPr="0098663B" w:rsidRDefault="003F025B" w:rsidP="003F025B">
      <w:pPr>
        <w:pStyle w:val="NormalHanging12a"/>
      </w:pPr>
      <w:r w:rsidRPr="0098663B">
        <w:t>–</w:t>
      </w:r>
      <w:r w:rsidRPr="0098663B">
        <w:tab/>
        <w:t xml:space="preserve">uwzględniając rozporządzenie Rady (UE, </w:t>
      </w:r>
      <w:proofErr w:type="spellStart"/>
      <w:r w:rsidRPr="0098663B">
        <w:t>Euratom</w:t>
      </w:r>
      <w:proofErr w:type="spellEnd"/>
      <w:r w:rsidRPr="0098663B">
        <w:t>) 2020/2093 z dnia 17 grudnia 2020 r. określające wieloletnie ramy finansowe na lata 2021−2027</w:t>
      </w:r>
      <w:r w:rsidRPr="0098663B">
        <w:rPr>
          <w:rStyle w:val="FootnoteReference"/>
        </w:rPr>
        <w:footnoteReference w:id="2"/>
      </w:r>
      <w:r w:rsidRPr="0098663B">
        <w:t xml:space="preserve">, zmienione rozporządzeniem (UE, </w:t>
      </w:r>
      <w:proofErr w:type="spellStart"/>
      <w:r w:rsidRPr="0098663B">
        <w:t>Euratom</w:t>
      </w:r>
      <w:proofErr w:type="spellEnd"/>
      <w:r w:rsidRPr="0098663B">
        <w:t>) 2024/765</w:t>
      </w:r>
      <w:r w:rsidRPr="0098663B">
        <w:rPr>
          <w:rStyle w:val="FootnoteReference"/>
          <w:bdr w:val="none" w:sz="0" w:space="0" w:color="auto" w:frame="1"/>
        </w:rPr>
        <w:footnoteReference w:id="3"/>
      </w:r>
      <w:r w:rsidRPr="0098663B">
        <w:t>, w szczególności jego art. 8,</w:t>
      </w:r>
    </w:p>
    <w:p w:rsidR="003F025B" w:rsidRPr="0098663B" w:rsidRDefault="003F025B" w:rsidP="003F025B">
      <w:pPr>
        <w:pStyle w:val="NormalHanging12a"/>
      </w:pPr>
      <w:r w:rsidRPr="0098663B">
        <w:t>–</w:t>
      </w:r>
      <w:r w:rsidRPr="0098663B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98663B">
        <w:lastRenderedPageBreak/>
        <w:t>wprowadzania nowych zasobów własnych</w:t>
      </w:r>
      <w:r w:rsidRPr="0098663B">
        <w:rPr>
          <w:rStyle w:val="FootnoteReference"/>
        </w:rPr>
        <w:footnoteReference w:id="4"/>
      </w:r>
      <w:r w:rsidRPr="0098663B">
        <w:t>, w szczególności jego pkt 9,</w:t>
      </w:r>
    </w:p>
    <w:p w:rsidR="003F025B" w:rsidRPr="0098663B" w:rsidRDefault="003F025B" w:rsidP="003F025B">
      <w:pPr>
        <w:pStyle w:val="NormalHanging12a"/>
      </w:pPr>
      <w:r w:rsidRPr="0098663B">
        <w:t>–</w:t>
      </w:r>
      <w:r w:rsidRPr="0098663B">
        <w:tab/>
        <w:t>uwzględniając sprawozdanie Komisji Budżetowej (A9-0173/2024),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A.</w:t>
      </w:r>
      <w:r w:rsidRPr="0098663B">
        <w:tab/>
      </w:r>
      <w:proofErr w:type="gramStart"/>
      <w:r w:rsidRPr="0098663B">
        <w:t>mając</w:t>
      </w:r>
      <w:proofErr w:type="gramEnd"/>
      <w:r w:rsidRPr="0098663B">
        <w:t xml:space="preserve"> na uwadze, że Unia opracowała instrumenty ustawodawcze i budżetowe w celu zapewnienia dodatkowego wsparcia pracownikom dotkniętym skutkami globalizacji oraz zmian technologicznych i środowiskowych, jak zmiany w strukturze światowego handlu, spory handlowe, istotne zmiany w stosunkach handlowych Unii lub w strukturze rynku wewnętrznego oraz kryzys finansowy lub gospodarczy, a także przejście na gospodarkę niskoemisyjną bądź zmiany będące konsekwencją cyfryzacji lub automatyzacji;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t>B.</w:t>
      </w:r>
      <w:r w:rsidRPr="0098663B">
        <w:rPr>
          <w:bdr w:val="none" w:sz="0" w:space="0" w:color="auto" w:frame="1"/>
        </w:rPr>
        <w:tab/>
      </w:r>
      <w:r w:rsidRPr="0098663B">
        <w:t>mając na uwadze, że pomoc Unii dla zwolnionych pracowników powinna być ukierunkowana przede wszystkim na środki aktywnej polityki rynku pracy i zindywidualizowane usługi, których celem jest szybka reintegracja beneficjentów z myślą o godnym i trwałym zatrudnieniu, przy jednoczesnym przygotowaniu ich do bardziej ekologicznej i cyfrowej gospodarki europejskiej, z należytym uwzględnieniem porozumienia międzyinstytucjonalnego z dnia 16 grudnia 2020 r. w odniesieniu do przyjęcia decyzji o uruchomieniu Europejskiego Funduszu Dostosowania do Globalizacji dla Zwalnianych Pracowników (EFG);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C.</w:t>
      </w:r>
      <w:r w:rsidRPr="0098663B">
        <w:tab/>
      </w:r>
      <w:proofErr w:type="gramStart"/>
      <w:r w:rsidRPr="0098663B">
        <w:t>mając</w:t>
      </w:r>
      <w:proofErr w:type="gramEnd"/>
      <w:r w:rsidRPr="0098663B">
        <w:t xml:space="preserve"> na uwadze, że Unia rozszerzyła zakres EFG przede wszystkim po to, aby zapewnić wsparcie finansowe w przypadku istotnych działań restrukturyzacyjnych, a tym samym zminimalizować skutki gospodarcze kryzysu związanego z COVID-19;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t>D.</w:t>
      </w:r>
      <w:r w:rsidRPr="0098663B">
        <w:rPr>
          <w:bdr w:val="none" w:sz="0" w:space="0" w:color="auto" w:frame="1"/>
        </w:rPr>
        <w:tab/>
      </w:r>
      <w:proofErr w:type="gramStart"/>
      <w:r w:rsidRPr="0098663B">
        <w:t>mając</w:t>
      </w:r>
      <w:proofErr w:type="gramEnd"/>
      <w:r w:rsidRPr="0098663B">
        <w:t xml:space="preserve"> na uwadze, że przyjęcie nowego rozporządzenia w sprawie EFG w 2021 r. jeszcze bardziej rozszerzyło zakres EFG na poważne przypadki restrukturyzacji spowodowane przejściem na gospodarkę niskoemisyjną bądź w wyniku cyfryzacji lub automatyzacji, a jednocześnie obniżyło próg wymagany do uruchomienia EFG z 500 zwolnionych pracowników do 200;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t>E.</w:t>
      </w:r>
      <w:r w:rsidRPr="0098663B">
        <w:rPr>
          <w:bdr w:val="none" w:sz="0" w:space="0" w:color="auto" w:frame="1"/>
        </w:rPr>
        <w:tab/>
      </w:r>
      <w:proofErr w:type="gramStart"/>
      <w:r w:rsidRPr="0098663B">
        <w:rPr>
          <w:bdr w:val="none" w:sz="0" w:space="0" w:color="auto" w:frame="1"/>
        </w:rPr>
        <w:t>mając</w:t>
      </w:r>
      <w:proofErr w:type="gramEnd"/>
      <w:r w:rsidRPr="0098663B">
        <w:rPr>
          <w:bdr w:val="none" w:sz="0" w:space="0" w:color="auto" w:frame="1"/>
        </w:rPr>
        <w:t xml:space="preserve"> na uwadze, że w wyniku rewizji WRF zmniejszono maksymalną roczną kwotę EFG ze 186 mln EUR do 30 mln EUR (w cenach z 2018 r.), jak określono w art. 8 rozporządzenia Rady (UE, </w:t>
      </w:r>
      <w:proofErr w:type="spellStart"/>
      <w:r w:rsidRPr="0098663B">
        <w:rPr>
          <w:bdr w:val="none" w:sz="0" w:space="0" w:color="auto" w:frame="1"/>
        </w:rPr>
        <w:t>Euratom</w:t>
      </w:r>
      <w:proofErr w:type="spellEnd"/>
      <w:r w:rsidRPr="0098663B">
        <w:rPr>
          <w:bdr w:val="none" w:sz="0" w:space="0" w:color="auto" w:frame="1"/>
        </w:rPr>
        <w:t xml:space="preserve">) 2020/2093, zmienionego rozporządzeniem (UE, </w:t>
      </w:r>
      <w:proofErr w:type="spellStart"/>
      <w:r w:rsidRPr="0098663B">
        <w:rPr>
          <w:bdr w:val="none" w:sz="0" w:space="0" w:color="auto" w:frame="1"/>
        </w:rPr>
        <w:t>Euratom</w:t>
      </w:r>
      <w:proofErr w:type="spellEnd"/>
      <w:r w:rsidRPr="0098663B">
        <w:rPr>
          <w:bdr w:val="none" w:sz="0" w:space="0" w:color="auto" w:frame="1"/>
        </w:rPr>
        <w:t xml:space="preserve">) 2024/765; </w:t>
      </w:r>
      <w:r w:rsidRPr="0098663B">
        <w:t>mając na uwadze, że Komisja powinna monitorować wdrażanie EFG, a wszystkie instytucje powinny podjąć wszelkie niezbędne środki, by w geście unijnej solidarności zapewnić realizację wszystkich uzasadnionych wniosków o wsparcie z EFG;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t>F.</w:t>
      </w:r>
      <w:r w:rsidRPr="0098663B">
        <w:rPr>
          <w:bdr w:val="none" w:sz="0" w:space="0" w:color="auto" w:frame="1"/>
        </w:rPr>
        <w:tab/>
      </w:r>
      <w:proofErr w:type="gramStart"/>
      <w:r w:rsidRPr="0098663B">
        <w:t>mając</w:t>
      </w:r>
      <w:proofErr w:type="gramEnd"/>
      <w:r w:rsidRPr="0098663B">
        <w:t xml:space="preserve"> na uwadze, że zgodnie z art. 11 ust. 1 rozporządzenia w sprawie EFG na pomoc techniczną z inicjatywy Komisji można udostępnić do 0,5 % tej maksymalnej kwoty;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t>G.</w:t>
      </w:r>
      <w:r w:rsidRPr="0098663B">
        <w:rPr>
          <w:bdr w:val="none" w:sz="0" w:space="0" w:color="auto" w:frame="1"/>
        </w:rPr>
        <w:tab/>
        <w:t>mając na uwadze, że pomoc techniczna może obejmować wydatki techniczne i administracyjne związane z wdrażaniem EFG, takie jak wydatki na działania przygotowawcze, monitorowanie, kontrolę, audyt i ocenę, a także gromadzenie danych, w tym w odniesieniu do instytucjonalnych systemów informatycznych, działań komunikacyjnych oraz działań zwiększających widoczność EFG jako funduszu lub w odniesieniu do konkretnych projektów i innych środków pomocy technicznej;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lastRenderedPageBreak/>
        <w:t>H.</w:t>
      </w:r>
      <w:r w:rsidRPr="0098663B">
        <w:rPr>
          <w:bdr w:val="none" w:sz="0" w:space="0" w:color="auto" w:frame="1"/>
        </w:rPr>
        <w:tab/>
      </w:r>
      <w:proofErr w:type="gramStart"/>
      <w:r w:rsidRPr="0098663B">
        <w:t>mając</w:t>
      </w:r>
      <w:proofErr w:type="gramEnd"/>
      <w:r w:rsidRPr="0098663B">
        <w:t xml:space="preserve"> na uwadze, że proponowana kwota 165 000 EUR stanowi około 0,49 % maksymalnego rocznego budżetu dostępnego na EFG w 2024 r.;</w:t>
      </w:r>
    </w:p>
    <w:p w:rsidR="003F025B" w:rsidRPr="0098663B" w:rsidRDefault="003F025B" w:rsidP="003F025B">
      <w:pPr>
        <w:spacing w:after="240"/>
        <w:ind w:left="567" w:hanging="567"/>
        <w:rPr>
          <w:bdr w:val="none" w:sz="0" w:space="0" w:color="auto" w:frame="1"/>
        </w:rPr>
      </w:pPr>
      <w:r w:rsidRPr="0098663B">
        <w:rPr>
          <w:bdr w:val="none" w:sz="0" w:space="0" w:color="auto" w:frame="1"/>
        </w:rPr>
        <w:t>1.</w:t>
      </w:r>
      <w:r w:rsidRPr="0098663B">
        <w:rPr>
          <w:bdr w:val="none" w:sz="0" w:space="0" w:color="auto" w:frame="1"/>
        </w:rPr>
        <w:tab/>
      </w:r>
      <w:proofErr w:type="gramStart"/>
      <w:r w:rsidRPr="0098663B">
        <w:rPr>
          <w:bdr w:val="none" w:sz="0" w:space="0" w:color="auto" w:frame="1"/>
        </w:rPr>
        <w:t>zgadza</w:t>
      </w:r>
      <w:proofErr w:type="gramEnd"/>
      <w:r w:rsidRPr="0098663B">
        <w:rPr>
          <w:bdr w:val="none" w:sz="0" w:space="0" w:color="auto" w:frame="1"/>
        </w:rPr>
        <w:t xml:space="preserve"> się na uruchomienie kwoty 165 000 EUR oraz na zaproponowane przez Komisję środki, które będą finansowane jako pomoc techniczna zgodnie z art. 11 ust. 1 i 4 oraz art. 12 ust. 2, 3 i 4 rozporządzenia w sprawie EFG;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2.</w:t>
      </w:r>
      <w:r w:rsidRPr="0098663B">
        <w:tab/>
      </w:r>
      <w:proofErr w:type="gramStart"/>
      <w:r w:rsidRPr="0098663B">
        <w:t>z</w:t>
      </w:r>
      <w:proofErr w:type="gramEnd"/>
      <w:r w:rsidRPr="0098663B">
        <w:t xml:space="preserve"> zadowoleniem przyjmuje nieustanną pracę nad znormalizowanymi procedurami dotyczącymi wniosków o wkład z EFG i zarządzania nimi z zastosowaniem funkcji elektronicznego systemu wymiany danych (wspólny system dzielonego zarządzania funduszami – SCF), który umożliwia uproszczenie i szybsze rozpatrywanie wniosków, a także lepszą sprawozdawczość;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3.</w:t>
      </w:r>
      <w:r w:rsidRPr="0098663B">
        <w:tab/>
      </w:r>
      <w:proofErr w:type="gramStart"/>
      <w:r w:rsidRPr="0098663B">
        <w:t>odnotowuje</w:t>
      </w:r>
      <w:proofErr w:type="gramEnd"/>
      <w:r w:rsidRPr="0098663B">
        <w:t>, że Komisja wykorzysta budżet dostępny na wsparcie administracyjne do odbycia posiedzeń grupy eksperckiej osób kontaktowych ds. EFG (po dwóch członków z każdego państwa członkowskiego) oraz zorganizowania jednego seminarium z udziałem organów wykonawczych EFG i partnerów społecznych, aby wspierać tworzenie sieci kontaktów między państwami członkowskimi; wzywa Komisję do dalszego systematycznego zapraszania Parlamentu na te posiedzenia i seminaria zgodnie z odpowiednimi postanowieniami porozumienia ramowego w sprawie stosunków między Parlamentem a Komisją;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4.</w:t>
      </w:r>
      <w:r w:rsidRPr="0098663B">
        <w:tab/>
      </w:r>
      <w:proofErr w:type="gramStart"/>
      <w:r w:rsidRPr="0098663B">
        <w:t>wzywa</w:t>
      </w:r>
      <w:proofErr w:type="gramEnd"/>
      <w:r w:rsidRPr="0098663B">
        <w:t xml:space="preserve"> Komisję do dostosowania najlepszych praktyk opracowanych w czasie pandemii COVID-19, w szczególności środków, które mogą pomóc w przyspieszeniu transformacji ekologicznej i cyfrowej sprzyjającej włączeniu społecznemu oraz wspierać podstawowe priorytety Unii, takie jak równouprawnienie płci;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5.</w:t>
      </w:r>
      <w:r w:rsidRPr="0098663B">
        <w:tab/>
      </w:r>
      <w:proofErr w:type="gramStart"/>
      <w:r w:rsidRPr="0098663B">
        <w:t>podkreśla</w:t>
      </w:r>
      <w:proofErr w:type="gramEnd"/>
      <w:r w:rsidRPr="0098663B">
        <w:t xml:space="preserve"> potrzebę dalszego zwiększania ogólnej wiedzy o EFG i jego widoczności; zwraca uwagę, że cel ten można osiągnąć, jeżeli EFG będzie przedmiotem różnego rodzaju publikacji oraz działań audiowizualnych Komisji zgodnie z art. 11 ust. 1 rozporządzenia w sprawie EFG; </w:t>
      </w:r>
      <w:r w:rsidRPr="0098663B">
        <w:rPr>
          <w:bdr w:val="none" w:sz="0" w:space="0" w:color="auto" w:frame="1"/>
        </w:rPr>
        <w:t>w związku z tym z zadowoleniem przyjmuje utrzymanie specjalnej strony internetowej dla EFG i wzywa Komisję do jej regularnego aktualizowania i rozszerzania, aby zwiększyć widoczność wśród społeczeństwa europejskiej solidarności okazywanej za pośrednictwem EFG oraz poprawić przejrzystość działań Unii;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6.</w:t>
      </w:r>
      <w:r w:rsidRPr="0098663B">
        <w:tab/>
      </w:r>
      <w:proofErr w:type="gramStart"/>
      <w:r w:rsidRPr="0098663B">
        <w:t>przypomina</w:t>
      </w:r>
      <w:proofErr w:type="gramEnd"/>
      <w:r w:rsidRPr="0098663B">
        <w:t xml:space="preserve"> wnioskującym państwom członkowskim o ich kluczowej roli w szerokim upowszechnianiu działań finansowanych z EFG wśród zainteresowanych beneficjentów, władz lokalnych i regionalnych, partnerów społecznych, mediów i ogółu społeczeństwa, jak stanowi art. 12 rozporządzenia w sprawie EFG;</w:t>
      </w:r>
    </w:p>
    <w:p w:rsidR="003F025B" w:rsidRPr="0098663B" w:rsidRDefault="003F025B" w:rsidP="003F025B">
      <w:pPr>
        <w:spacing w:after="240"/>
        <w:ind w:left="567" w:hanging="567"/>
      </w:pPr>
      <w:r w:rsidRPr="0098663B">
        <w:t>7.</w:t>
      </w:r>
      <w:r w:rsidRPr="0098663B">
        <w:tab/>
      </w:r>
      <w:proofErr w:type="gramStart"/>
      <w:r w:rsidRPr="0098663B">
        <w:t>zatwierdza</w:t>
      </w:r>
      <w:proofErr w:type="gramEnd"/>
      <w:r w:rsidRPr="0098663B">
        <w:t xml:space="preserve"> decyzję załączoną do niniejszej rezolucji;</w:t>
      </w:r>
    </w:p>
    <w:p w:rsidR="003F025B" w:rsidRPr="0098663B" w:rsidRDefault="003F025B" w:rsidP="003F025B">
      <w:pPr>
        <w:spacing w:after="240"/>
        <w:ind w:left="567" w:hanging="567"/>
        <w:rPr>
          <w:rFonts w:ascii="Arial Unicode MS" w:hAnsi="Arial Unicode MS"/>
          <w:bdr w:val="none" w:sz="0" w:space="0" w:color="auto" w:frame="1"/>
        </w:rPr>
      </w:pPr>
      <w:r w:rsidRPr="0098663B">
        <w:t>8.</w:t>
      </w:r>
      <w:r w:rsidRPr="0098663B">
        <w:tab/>
      </w:r>
      <w:proofErr w:type="gramStart"/>
      <w:r w:rsidRPr="0098663B">
        <w:rPr>
          <w:bdr w:val="none" w:sz="0" w:space="0" w:color="auto" w:frame="1"/>
        </w:rPr>
        <w:t>zobowiązuje</w:t>
      </w:r>
      <w:proofErr w:type="gramEnd"/>
      <w:r w:rsidRPr="0098663B">
        <w:rPr>
          <w:bdr w:val="none" w:sz="0" w:space="0" w:color="auto" w:frame="1"/>
        </w:rPr>
        <w:t xml:space="preserve"> swoją przewodniczącą do podpisania wraz z przewodniczącym Rady niniejszej decyzji i zapewnienia jej publikacji w </w:t>
      </w:r>
      <w:r w:rsidRPr="0098663B">
        <w:rPr>
          <w:i/>
          <w:bdr w:val="none" w:sz="0" w:space="0" w:color="auto" w:frame="1"/>
        </w:rPr>
        <w:t>Dzienniku Urzędowym Unii Europejskiej</w:t>
      </w:r>
      <w:r w:rsidRPr="0098663B">
        <w:rPr>
          <w:bdr w:val="none" w:sz="0" w:space="0" w:color="auto" w:frame="1"/>
        </w:rPr>
        <w:t>;</w:t>
      </w:r>
    </w:p>
    <w:p w:rsidR="003F025B" w:rsidRPr="0098663B" w:rsidRDefault="003F025B" w:rsidP="003F025B">
      <w:pPr>
        <w:spacing w:after="240"/>
        <w:ind w:left="567" w:hanging="567"/>
        <w:rPr>
          <w:noProof/>
        </w:rPr>
      </w:pPr>
      <w:r w:rsidRPr="0098663B">
        <w:rPr>
          <w:bdr w:val="none" w:sz="0" w:space="0" w:color="auto" w:frame="1"/>
        </w:rPr>
        <w:t>9.</w:t>
      </w:r>
      <w:r w:rsidRPr="0098663B">
        <w:rPr>
          <w:bdr w:val="none" w:sz="0" w:space="0" w:color="auto" w:frame="1"/>
        </w:rPr>
        <w:tab/>
      </w:r>
      <w:proofErr w:type="gramStart"/>
      <w:r w:rsidRPr="0098663B">
        <w:rPr>
          <w:bdr w:val="none" w:sz="0" w:space="0" w:color="auto" w:frame="1"/>
        </w:rPr>
        <w:t>zobowiązuje</w:t>
      </w:r>
      <w:proofErr w:type="gramEnd"/>
      <w:r w:rsidRPr="0098663B">
        <w:rPr>
          <w:bdr w:val="none" w:sz="0" w:space="0" w:color="auto" w:frame="1"/>
        </w:rPr>
        <w:t xml:space="preserve"> swoją przewodniczącą do przekazania niniejszej rezolucji wraz z załącznikiem Radzie i Komisji.</w:t>
      </w:r>
    </w:p>
    <w:p w:rsidR="003F025B" w:rsidRPr="0098663B" w:rsidRDefault="003F025B" w:rsidP="003F025B">
      <w:pPr>
        <w:rPr>
          <w:noProof/>
        </w:rPr>
      </w:pPr>
    </w:p>
    <w:p w:rsidR="003F025B" w:rsidRPr="0098663B" w:rsidRDefault="003F025B" w:rsidP="003F025B">
      <w:pPr>
        <w:pStyle w:val="PageHeading"/>
        <w:rPr>
          <w:noProof/>
        </w:rPr>
        <w:sectPr w:rsidR="003F025B" w:rsidRPr="0098663B" w:rsidSect="009866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D33E4" w:rsidRPr="00DD33E4" w:rsidRDefault="00DD33E4" w:rsidP="003F025B">
      <w:pPr>
        <w:pStyle w:val="PageHeading"/>
        <w:rPr>
          <w:rFonts w:ascii="Times New Roman" w:hAnsi="Times New Roman" w:cs="Times New Roman"/>
        </w:rPr>
      </w:pPr>
      <w:bookmarkStart w:id="7" w:name="_Toc164345031"/>
      <w:r w:rsidRPr="00DD33E4">
        <w:rPr>
          <w:rFonts w:ascii="Times New Roman" w:hAnsi="Times New Roman" w:cs="Times New Roman"/>
        </w:rPr>
        <w:lastRenderedPageBreak/>
        <w:t>ZAŁĄCZNIK</w:t>
      </w:r>
    </w:p>
    <w:p w:rsidR="003F025B" w:rsidRPr="00DD33E4" w:rsidRDefault="003F025B" w:rsidP="003F025B">
      <w:pPr>
        <w:pStyle w:val="PageHeading"/>
        <w:rPr>
          <w:rFonts w:ascii="Times New Roman" w:hAnsi="Times New Roman" w:cs="Times New Roman"/>
          <w:noProof/>
        </w:rPr>
      </w:pPr>
      <w:r w:rsidRPr="00DD33E4">
        <w:rPr>
          <w:rFonts w:ascii="Times New Roman" w:hAnsi="Times New Roman" w:cs="Times New Roman"/>
        </w:rPr>
        <w:t>DECYZJA PARLAMENTU EUROPEJSKIEGO I RADY</w:t>
      </w:r>
      <w:bookmarkEnd w:id="7"/>
    </w:p>
    <w:p w:rsidR="003F025B" w:rsidRDefault="003F025B" w:rsidP="00DD33E4">
      <w:pPr>
        <w:pStyle w:val="Titreobjet"/>
        <w:jc w:val="left"/>
      </w:pPr>
      <w:proofErr w:type="gramStart"/>
      <w:r w:rsidRPr="0098663B">
        <w:t>w</w:t>
      </w:r>
      <w:proofErr w:type="gramEnd"/>
      <w:r w:rsidRPr="0098663B">
        <w:t xml:space="preserve"> sprawie uruchomienia Europejskiego Funduszu Dostosowania do Globalizacji dla Zwalnianych Pracowników (EGF/2024/000 TA 2024 – Pomoc techniczna z inicjatywy Komisji)</w:t>
      </w:r>
    </w:p>
    <w:p w:rsidR="00DD33E4" w:rsidRPr="00DD33E4" w:rsidRDefault="00DD33E4" w:rsidP="00DD33E4">
      <w:pPr>
        <w:rPr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 xml:space="preserve">decyzji </w:t>
      </w:r>
      <w:r>
        <w:rPr>
          <w:i/>
        </w:rPr>
        <w:t>(UE) 2024/13</w:t>
      </w:r>
      <w:bookmarkStart w:id="8" w:name="_GoBack"/>
      <w:bookmarkEnd w:id="8"/>
      <w:r>
        <w:rPr>
          <w:i/>
        </w:rPr>
        <w:t>00.</w:t>
      </w:r>
      <w:r w:rsidRPr="0044243D">
        <w:rPr>
          <w:i/>
        </w:rPr>
        <w:t>)</w:t>
      </w:r>
    </w:p>
    <w:sectPr w:rsidR="00DD33E4" w:rsidRPr="00DD33E4" w:rsidSect="009866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E9" w:rsidRPr="0098663B" w:rsidRDefault="004765E9">
      <w:r w:rsidRPr="0098663B">
        <w:separator/>
      </w:r>
    </w:p>
  </w:endnote>
  <w:endnote w:type="continuationSeparator" w:id="0">
    <w:p w:rsidR="004765E9" w:rsidRPr="0098663B" w:rsidRDefault="004765E9">
      <w:r w:rsidRPr="009866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5B" w:rsidRPr="0098663B" w:rsidRDefault="003F025B" w:rsidP="00D85732">
    <w:pPr>
      <w:pStyle w:val="EPFooter"/>
    </w:pPr>
    <w:r w:rsidRPr="0098663B">
      <w:t>PE</w:t>
    </w:r>
    <w:r w:rsidRPr="0098663B">
      <w:rPr>
        <w:rStyle w:val="HideTWBExt"/>
      </w:rPr>
      <w:t>&lt;</w:t>
    </w:r>
    <w:proofErr w:type="spellStart"/>
    <w:r w:rsidRPr="0098663B">
      <w:rPr>
        <w:rStyle w:val="HideTWBExt"/>
      </w:rPr>
      <w:t>NoPE</w:t>
    </w:r>
    <w:proofErr w:type="spellEnd"/>
    <w:r w:rsidRPr="0098663B">
      <w:rPr>
        <w:rStyle w:val="HideTWBExt"/>
      </w:rPr>
      <w:t>&gt;</w:t>
    </w:r>
    <w:r w:rsidRPr="0098663B">
      <w:t>759.750</w:t>
    </w:r>
    <w:r w:rsidRPr="0098663B">
      <w:rPr>
        <w:rStyle w:val="HideTWBExt"/>
      </w:rPr>
      <w:t>&lt;/</w:t>
    </w:r>
    <w:proofErr w:type="spellStart"/>
    <w:r w:rsidRPr="0098663B">
      <w:rPr>
        <w:rStyle w:val="HideTWBExt"/>
      </w:rPr>
      <w:t>NoPE</w:t>
    </w:r>
    <w:proofErr w:type="spellEnd"/>
    <w:r w:rsidRPr="0098663B">
      <w:rPr>
        <w:rStyle w:val="HideTWBExt"/>
      </w:rPr>
      <w:t>&gt;&lt;Version&gt;</w:t>
    </w:r>
    <w:r w:rsidRPr="0098663B">
      <w:t>v02-00</w:t>
    </w:r>
    <w:r w:rsidRPr="0098663B">
      <w:rPr>
        <w:rStyle w:val="HideTWBExt"/>
      </w:rPr>
      <w:t>&lt;/Version&gt;</w:t>
    </w:r>
    <w:r w:rsidRPr="0098663B">
      <w:tab/>
    </w:r>
    <w:r w:rsidRPr="0098663B">
      <w:fldChar w:fldCharType="begin"/>
    </w:r>
    <w:r w:rsidRPr="0098663B">
      <w:instrText xml:space="preserve"> PAGE  \* MERGEFORMAT </w:instrText>
    </w:r>
    <w:r w:rsidRPr="0098663B">
      <w:fldChar w:fldCharType="separate"/>
    </w:r>
    <w:r w:rsidRPr="0098663B">
      <w:rPr>
        <w:noProof/>
      </w:rPr>
      <w:t>2</w:t>
    </w:r>
    <w:r w:rsidRPr="0098663B">
      <w:fldChar w:fldCharType="end"/>
    </w:r>
    <w:r w:rsidRPr="0098663B">
      <w:t>/</w:t>
    </w:r>
    <w:r w:rsidR="00DD33E4">
      <w:fldChar w:fldCharType="begin"/>
    </w:r>
    <w:r w:rsidR="00DD33E4">
      <w:instrText xml:space="preserve"> NUMPAGES  \* MERGEFORMAT </w:instrText>
    </w:r>
    <w:r w:rsidR="00DD33E4">
      <w:fldChar w:fldCharType="separate"/>
    </w:r>
    <w:r w:rsidRPr="0098663B">
      <w:rPr>
        <w:noProof/>
      </w:rPr>
      <w:t>2</w:t>
    </w:r>
    <w:r w:rsidR="00DD33E4">
      <w:rPr>
        <w:noProof/>
      </w:rPr>
      <w:fldChar w:fldCharType="end"/>
    </w:r>
    <w:r w:rsidRPr="0098663B">
      <w:tab/>
    </w:r>
    <w:r w:rsidRPr="0098663B">
      <w:rPr>
        <w:rStyle w:val="HideTWBExt"/>
      </w:rPr>
      <w:t>&lt;PathFdR&gt;</w:t>
    </w:r>
    <w:r w:rsidRPr="0098663B">
      <w:t>RR\1300716PL.docx</w:t>
    </w:r>
    <w:r w:rsidRPr="0098663B">
      <w:rPr>
        <w:rStyle w:val="HideTWBExt"/>
      </w:rPr>
      <w:t>&lt;/</w:t>
    </w:r>
    <w:proofErr w:type="spellStart"/>
    <w:r w:rsidRPr="0098663B">
      <w:rPr>
        <w:rStyle w:val="HideTWBExt"/>
      </w:rPr>
      <w:t>PathFdR</w:t>
    </w:r>
    <w:proofErr w:type="spellEnd"/>
    <w:r w:rsidRPr="0098663B">
      <w:rPr>
        <w:rStyle w:val="HideTWBExt"/>
      </w:rPr>
      <w:t>&gt;</w:t>
    </w:r>
  </w:p>
  <w:p w:rsidR="003F025B" w:rsidRPr="0098663B" w:rsidRDefault="003F025B" w:rsidP="00D85732">
    <w:pPr>
      <w:pStyle w:val="EPFooter2"/>
    </w:pPr>
    <w:r w:rsidRPr="0098663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5B" w:rsidRPr="0098663B" w:rsidRDefault="003F025B" w:rsidP="00D8573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5B" w:rsidRPr="0098663B" w:rsidRDefault="003F025B" w:rsidP="00D85732">
    <w:pPr>
      <w:pStyle w:val="EPFooter"/>
    </w:pPr>
    <w:r w:rsidRPr="0098663B">
      <w:rPr>
        <w:rStyle w:val="HideTWBExt"/>
      </w:rPr>
      <w:t>&lt;PathFdR&gt;</w:t>
    </w:r>
    <w:r w:rsidRPr="0098663B">
      <w:t>RR\1300716PL.docx</w:t>
    </w:r>
    <w:r w:rsidRPr="0098663B">
      <w:rPr>
        <w:rStyle w:val="HideTWBExt"/>
      </w:rPr>
      <w:t>&lt;/</w:t>
    </w:r>
    <w:proofErr w:type="spellStart"/>
    <w:r w:rsidRPr="0098663B">
      <w:rPr>
        <w:rStyle w:val="HideTWBExt"/>
      </w:rPr>
      <w:t>PathFdR</w:t>
    </w:r>
    <w:proofErr w:type="spellEnd"/>
    <w:r w:rsidRPr="0098663B">
      <w:rPr>
        <w:rStyle w:val="HideTWBExt"/>
      </w:rPr>
      <w:t>&gt;</w:t>
    </w:r>
    <w:r w:rsidRPr="0098663B">
      <w:tab/>
    </w:r>
    <w:r w:rsidRPr="0098663B">
      <w:tab/>
      <w:t>PE</w:t>
    </w:r>
    <w:r w:rsidRPr="0098663B">
      <w:rPr>
        <w:rStyle w:val="HideTWBExt"/>
      </w:rPr>
      <w:t>&lt;</w:t>
    </w:r>
    <w:proofErr w:type="spellStart"/>
    <w:r w:rsidRPr="0098663B">
      <w:rPr>
        <w:rStyle w:val="HideTWBExt"/>
      </w:rPr>
      <w:t>NoPE</w:t>
    </w:r>
    <w:proofErr w:type="spellEnd"/>
    <w:r w:rsidRPr="0098663B">
      <w:rPr>
        <w:rStyle w:val="HideTWBExt"/>
      </w:rPr>
      <w:t>&gt;</w:t>
    </w:r>
    <w:r w:rsidRPr="0098663B">
      <w:t>759.750</w:t>
    </w:r>
    <w:r w:rsidRPr="0098663B">
      <w:rPr>
        <w:rStyle w:val="HideTWBExt"/>
      </w:rPr>
      <w:t>&lt;/</w:t>
    </w:r>
    <w:proofErr w:type="spellStart"/>
    <w:r w:rsidRPr="0098663B">
      <w:rPr>
        <w:rStyle w:val="HideTWBExt"/>
      </w:rPr>
      <w:t>NoPE</w:t>
    </w:r>
    <w:proofErr w:type="spellEnd"/>
    <w:r w:rsidRPr="0098663B">
      <w:rPr>
        <w:rStyle w:val="HideTWBExt"/>
      </w:rPr>
      <w:t>&gt;&lt;Version&gt;</w:t>
    </w:r>
    <w:r w:rsidRPr="0098663B">
      <w:t>v02-00</w:t>
    </w:r>
    <w:r w:rsidRPr="0098663B">
      <w:rPr>
        <w:rStyle w:val="HideTWBExt"/>
      </w:rPr>
      <w:t>&lt;/Version&gt;</w:t>
    </w:r>
  </w:p>
  <w:p w:rsidR="003F025B" w:rsidRPr="0098663B" w:rsidRDefault="003F025B" w:rsidP="00D85732">
    <w:pPr>
      <w:pStyle w:val="EPFooter2"/>
    </w:pPr>
    <w:r w:rsidRPr="0098663B">
      <w:t>PL</w:t>
    </w:r>
    <w:r w:rsidRPr="0098663B">
      <w:tab/>
    </w:r>
    <w:r w:rsidRPr="0098663B">
      <w:rPr>
        <w:b w:val="0"/>
        <w:i/>
        <w:color w:val="C0C0C0"/>
        <w:sz w:val="22"/>
      </w:rPr>
      <w:t>Zjednoczona w różnorodności</w:t>
    </w:r>
    <w:r w:rsidRPr="0098663B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663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663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66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E9" w:rsidRPr="0098663B" w:rsidRDefault="004765E9">
      <w:r w:rsidRPr="0098663B">
        <w:separator/>
      </w:r>
    </w:p>
  </w:footnote>
  <w:footnote w:type="continuationSeparator" w:id="0">
    <w:p w:rsidR="004765E9" w:rsidRPr="0098663B" w:rsidRDefault="004765E9">
      <w:r w:rsidRPr="0098663B">
        <w:continuationSeparator/>
      </w:r>
    </w:p>
  </w:footnote>
  <w:footnote w:id="1">
    <w:p w:rsidR="003F025B" w:rsidRPr="0098663B" w:rsidRDefault="003F025B" w:rsidP="0098663B">
      <w:pPr>
        <w:pStyle w:val="FootnoteText"/>
        <w:ind w:left="567" w:hanging="567"/>
        <w:rPr>
          <w:sz w:val="24"/>
          <w:lang w:val="pl-PL"/>
        </w:rPr>
      </w:pPr>
      <w:r w:rsidRPr="0098663B">
        <w:rPr>
          <w:rStyle w:val="FootnoteReference"/>
          <w:sz w:val="24"/>
          <w:lang w:val="pl-PL"/>
        </w:rPr>
        <w:footnoteRef/>
      </w:r>
      <w:r w:rsidR="0098663B" w:rsidRPr="0098663B">
        <w:rPr>
          <w:sz w:val="24"/>
          <w:lang w:val="pl-PL"/>
        </w:rPr>
        <w:t xml:space="preserve"> </w:t>
      </w:r>
      <w:r w:rsidR="0098663B" w:rsidRPr="0098663B">
        <w:rPr>
          <w:sz w:val="24"/>
          <w:lang w:val="pl-PL"/>
        </w:rPr>
        <w:tab/>
      </w:r>
      <w:r w:rsidRPr="0098663B">
        <w:rPr>
          <w:sz w:val="24"/>
          <w:lang w:val="pl-PL"/>
        </w:rPr>
        <w:t xml:space="preserve">Dz.U. L 153 z 3.5.2021, </w:t>
      </w:r>
      <w:proofErr w:type="gramStart"/>
      <w:r w:rsidRPr="0098663B">
        <w:rPr>
          <w:sz w:val="24"/>
          <w:lang w:val="pl-PL"/>
        </w:rPr>
        <w:t>s</w:t>
      </w:r>
      <w:proofErr w:type="gramEnd"/>
      <w:r w:rsidRPr="0098663B">
        <w:rPr>
          <w:sz w:val="24"/>
          <w:lang w:val="pl-PL"/>
        </w:rPr>
        <w:t>. 48.</w:t>
      </w:r>
    </w:p>
  </w:footnote>
  <w:footnote w:id="2">
    <w:p w:rsidR="003F025B" w:rsidRPr="0098663B" w:rsidRDefault="003F025B" w:rsidP="0098663B">
      <w:pPr>
        <w:pStyle w:val="FootnoteText"/>
        <w:ind w:left="567" w:hanging="567"/>
        <w:rPr>
          <w:sz w:val="24"/>
          <w:lang w:val="pl-PL"/>
        </w:rPr>
      </w:pPr>
      <w:r w:rsidRPr="0098663B">
        <w:rPr>
          <w:rStyle w:val="FootnoteReference"/>
          <w:sz w:val="24"/>
          <w:lang w:val="pl-PL"/>
        </w:rPr>
        <w:footnoteRef/>
      </w:r>
      <w:r w:rsidR="0098663B" w:rsidRPr="0098663B">
        <w:rPr>
          <w:sz w:val="24"/>
          <w:lang w:val="pl-PL"/>
        </w:rPr>
        <w:t xml:space="preserve"> </w:t>
      </w:r>
      <w:r w:rsidR="0098663B" w:rsidRPr="0098663B">
        <w:rPr>
          <w:sz w:val="24"/>
          <w:lang w:val="pl-PL"/>
        </w:rPr>
        <w:tab/>
      </w:r>
      <w:r w:rsidRPr="0098663B">
        <w:rPr>
          <w:sz w:val="24"/>
          <w:lang w:val="pl-PL"/>
        </w:rPr>
        <w:t xml:space="preserve">Dz.U. L 433 I z 22.12.2020, </w:t>
      </w:r>
      <w:proofErr w:type="gramStart"/>
      <w:r w:rsidRPr="0098663B">
        <w:rPr>
          <w:sz w:val="24"/>
          <w:lang w:val="pl-PL"/>
        </w:rPr>
        <w:t>s</w:t>
      </w:r>
      <w:proofErr w:type="gramEnd"/>
      <w:r w:rsidRPr="0098663B">
        <w:rPr>
          <w:sz w:val="24"/>
          <w:lang w:val="pl-PL"/>
        </w:rPr>
        <w:t>. 11.</w:t>
      </w:r>
    </w:p>
  </w:footnote>
  <w:footnote w:id="3">
    <w:p w:rsidR="003F025B" w:rsidRPr="0098663B" w:rsidRDefault="003F025B" w:rsidP="0098663B">
      <w:pPr>
        <w:pStyle w:val="FootnoteText"/>
        <w:ind w:left="567" w:hanging="567"/>
        <w:rPr>
          <w:sz w:val="24"/>
          <w:lang w:val="pl-PL"/>
        </w:rPr>
      </w:pPr>
      <w:r w:rsidRPr="0098663B">
        <w:rPr>
          <w:rStyle w:val="FootnoteReference"/>
          <w:sz w:val="24"/>
          <w:lang w:val="pl-PL"/>
        </w:rPr>
        <w:footnoteRef/>
      </w:r>
      <w:r w:rsidR="0098663B" w:rsidRPr="0098663B">
        <w:rPr>
          <w:color w:val="333333"/>
          <w:sz w:val="24"/>
          <w:shd w:val="clear" w:color="auto" w:fill="FFFFFF"/>
          <w:lang w:val="pl-PL"/>
        </w:rPr>
        <w:t xml:space="preserve"> </w:t>
      </w:r>
      <w:r w:rsidR="0098663B" w:rsidRPr="0098663B">
        <w:rPr>
          <w:color w:val="333333"/>
          <w:sz w:val="24"/>
          <w:shd w:val="clear" w:color="auto" w:fill="FFFFFF"/>
          <w:lang w:val="pl-PL"/>
        </w:rPr>
        <w:tab/>
      </w:r>
      <w:r w:rsidRPr="0098663B">
        <w:rPr>
          <w:color w:val="333333"/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98663B">
        <w:rPr>
          <w:color w:val="333333"/>
          <w:sz w:val="24"/>
          <w:shd w:val="clear" w:color="auto" w:fill="FFFFFF"/>
          <w:lang w:val="pl-PL"/>
        </w:rPr>
        <w:t>Euratom</w:t>
      </w:r>
      <w:proofErr w:type="spellEnd"/>
      <w:r w:rsidRPr="0098663B">
        <w:rPr>
          <w:color w:val="333333"/>
          <w:sz w:val="24"/>
          <w:shd w:val="clear" w:color="auto" w:fill="FFFFFF"/>
          <w:lang w:val="pl-PL"/>
        </w:rPr>
        <w:t xml:space="preserve">) 2024/765 z dnia 29 lutego 2024 r. w sprawie zmiany rozporządzenia (UE, </w:t>
      </w:r>
      <w:proofErr w:type="spellStart"/>
      <w:r w:rsidRPr="0098663B">
        <w:rPr>
          <w:color w:val="333333"/>
          <w:sz w:val="24"/>
          <w:shd w:val="clear" w:color="auto" w:fill="FFFFFF"/>
          <w:lang w:val="pl-PL"/>
        </w:rPr>
        <w:t>Euratom</w:t>
      </w:r>
      <w:proofErr w:type="spellEnd"/>
      <w:r w:rsidRPr="0098663B">
        <w:rPr>
          <w:color w:val="333333"/>
          <w:sz w:val="24"/>
          <w:shd w:val="clear" w:color="auto" w:fill="FFFFFF"/>
          <w:lang w:val="pl-PL"/>
        </w:rPr>
        <w:t>) 2020/2093 określającego wieloletnie ramy finansowe na lata 2021–2027 (</w:t>
      </w:r>
      <w:r w:rsidRPr="0098663B">
        <w:rPr>
          <w:sz w:val="24"/>
          <w:lang w:val="pl-PL"/>
        </w:rPr>
        <w:t xml:space="preserve">Dz.U. L, 2024/765 z 29.2.2024, </w:t>
      </w:r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ELI: http</w:t>
      </w:r>
      <w:proofErr w:type="gramStart"/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://data</w:t>
      </w:r>
      <w:proofErr w:type="gramEnd"/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.</w:t>
      </w:r>
      <w:proofErr w:type="gramStart"/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europa</w:t>
      </w:r>
      <w:proofErr w:type="gramEnd"/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.</w:t>
      </w:r>
      <w:proofErr w:type="gramStart"/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eu</w:t>
      </w:r>
      <w:proofErr w:type="gramEnd"/>
      <w:r w:rsidRPr="0098663B">
        <w:rPr>
          <w:rStyle w:val="Emphasis"/>
          <w:color w:val="333333"/>
          <w:sz w:val="24"/>
          <w:shd w:val="clear" w:color="auto" w:fill="FFFFFF"/>
          <w:lang w:val="pl-PL"/>
        </w:rPr>
        <w:t>/eli/reg/2024/765/oj).</w:t>
      </w:r>
    </w:p>
  </w:footnote>
  <w:footnote w:id="4">
    <w:p w:rsidR="003F025B" w:rsidRPr="0098663B" w:rsidRDefault="003F025B" w:rsidP="0098663B">
      <w:pPr>
        <w:pStyle w:val="FootnoteText"/>
        <w:ind w:left="567" w:hanging="567"/>
        <w:rPr>
          <w:sz w:val="24"/>
          <w:lang w:val="pl-PL"/>
        </w:rPr>
      </w:pPr>
      <w:r w:rsidRPr="0098663B">
        <w:rPr>
          <w:rStyle w:val="FootnoteReference"/>
          <w:sz w:val="24"/>
          <w:lang w:val="pl-PL"/>
        </w:rPr>
        <w:footnoteRef/>
      </w:r>
      <w:r w:rsidR="0098663B" w:rsidRPr="0098663B">
        <w:rPr>
          <w:sz w:val="24"/>
          <w:lang w:val="pl-PL"/>
        </w:rPr>
        <w:t xml:space="preserve"> </w:t>
      </w:r>
      <w:r w:rsidR="0098663B" w:rsidRPr="0098663B">
        <w:rPr>
          <w:sz w:val="24"/>
          <w:lang w:val="pl-PL"/>
        </w:rPr>
        <w:tab/>
      </w:r>
      <w:r w:rsidRPr="0098663B">
        <w:rPr>
          <w:sz w:val="24"/>
          <w:lang w:val="pl-PL"/>
        </w:rPr>
        <w:t xml:space="preserve">Dz.U. L 433 I z 22.12.2020, </w:t>
      </w:r>
      <w:proofErr w:type="gramStart"/>
      <w:r w:rsidRPr="0098663B">
        <w:rPr>
          <w:sz w:val="24"/>
          <w:lang w:val="pl-PL"/>
        </w:rPr>
        <w:t>s</w:t>
      </w:r>
      <w:proofErr w:type="gramEnd"/>
      <w:r w:rsidRPr="0098663B">
        <w:rPr>
          <w:sz w:val="24"/>
          <w:lang w:val="pl-PL"/>
        </w:rPr>
        <w:t>. 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5B" w:rsidRPr="0098663B" w:rsidRDefault="003F0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5B" w:rsidRPr="0098663B" w:rsidRDefault="003F02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5B" w:rsidRPr="0098663B" w:rsidRDefault="003F025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663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663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66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PL"/>
    <w:docVar w:name="dvnumam" w:val="0"/>
    <w:docVar w:name="dvpe" w:val="759.750"/>
    <w:docVar w:name="dvrapporteur" w:val="Sprawozdawca: "/>
    <w:docVar w:name="dvstar" w:val="??"/>
    <w:docVar w:name="dvtitre" w:val="Rezolucja Parlamentu Europejskiego z dnia  2024 r. w sprawie wniosku dotyczącego decyzji Parlamentu Europejskiego i Rady w sprawie uruchomienia Europejskiego Funduszu Dostosowania do Globalizacji dla Zwalnianych Pracowników (EGF/2024/000 TA 2024 – Pomoc techniczna z inicjatywy Komisji)(COM(2024)0084 – C9-0042/2024 – 2024/0003(BUD))"/>
  </w:docVars>
  <w:rsids>
    <w:rsidRoot w:val="004765E9"/>
    <w:rsid w:val="00002272"/>
    <w:rsid w:val="00064002"/>
    <w:rsid w:val="000677B9"/>
    <w:rsid w:val="000831BA"/>
    <w:rsid w:val="000A42CC"/>
    <w:rsid w:val="000E7DD9"/>
    <w:rsid w:val="0010095E"/>
    <w:rsid w:val="00125B37"/>
    <w:rsid w:val="0015408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025B"/>
    <w:rsid w:val="00411CCE"/>
    <w:rsid w:val="0041666E"/>
    <w:rsid w:val="00421060"/>
    <w:rsid w:val="00471C19"/>
    <w:rsid w:val="004765E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63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3E4"/>
    <w:rsid w:val="00E365E1"/>
    <w:rsid w:val="00E820A4"/>
    <w:rsid w:val="00EA154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F3A8F"/>
  <w15:chartTrackingRefBased/>
  <w15:docId w15:val="{9EFA2832-4D35-4B84-95AE-ABB9BB10E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F02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F02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3F025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F02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F025B"/>
    <w:rPr>
      <w:sz w:val="24"/>
      <w:lang w:val="pl-PL"/>
    </w:rPr>
  </w:style>
  <w:style w:type="paragraph" w:customStyle="1" w:styleId="EPFooter">
    <w:name w:val="EPFooter"/>
    <w:basedOn w:val="Normal"/>
    <w:rsid w:val="003F02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F025B"/>
    <w:pPr>
      <w:spacing w:before="480" w:after="240"/>
    </w:pPr>
  </w:style>
  <w:style w:type="paragraph" w:customStyle="1" w:styleId="Institutionquiagit">
    <w:name w:val="Institution qui agit"/>
    <w:basedOn w:val="Normal"/>
    <w:next w:val="Normal"/>
    <w:rsid w:val="003F025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F025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F025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F025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F025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F025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F025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F025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3F02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69EC1-4C47-42AC-8DD9-0BAA7371A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987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2024-04-24T12:24:00Z</dcterms:created>
  <dcterms:modified xsi:type="dcterms:W3CDTF">2024-09-20T09:37:00Z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P9_TA(2024)0334_</vt:lpwstr>
  </property>
  <property fmtid="{D5CDD505-2E9C-101B-9397-08002B2CF9AE}" pid="4" name="&lt;Type&gt;">
    <vt:lpwstr>RR</vt:lpwstr>
  </property>
</Properties>
</file>