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4F3B" w14:paraId="34727C6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547073B" w14:textId="77777777" w:rsidR="00751A4A" w:rsidRPr="00B74F3B" w:rsidRDefault="00605EE7" w:rsidP="0010095E">
            <w:pPr>
              <w:pStyle w:val="EPName"/>
            </w:pPr>
            <w:r w:rsidRPr="00B74F3B">
              <w:t>Parlamento Europeu</w:t>
            </w:r>
          </w:p>
          <w:p w14:paraId="50ED3BE6" w14:textId="77777777" w:rsidR="00751A4A" w:rsidRPr="00B74F3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4F3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81FBBC0" w14:textId="77777777" w:rsidR="00751A4A" w:rsidRPr="00B74F3B" w:rsidRDefault="00187494" w:rsidP="0010095E">
            <w:pPr>
              <w:pStyle w:val="EPLogo"/>
            </w:pPr>
            <w:r w:rsidRPr="00B74F3B">
              <w:rPr>
                <w:noProof/>
                <w:lang w:val="en-GB"/>
              </w:rPr>
              <w:drawing>
                <wp:inline distT="0" distB="0" distL="0" distR="0" wp14:anchorId="6F1AF6C8" wp14:editId="787A3BC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71A87F5" w14:textId="77777777" w:rsidR="00D058B8" w:rsidRPr="00B74F3B" w:rsidRDefault="00D058B8" w:rsidP="004C5D52">
      <w:pPr>
        <w:pStyle w:val="LineTop"/>
      </w:pPr>
    </w:p>
    <w:p w14:paraId="3FDE7900" w14:textId="77777777" w:rsidR="00680577" w:rsidRPr="00B74F3B" w:rsidRDefault="00605EE7" w:rsidP="00680577">
      <w:pPr>
        <w:pStyle w:val="EPBodyTA1"/>
      </w:pPr>
      <w:r w:rsidRPr="00B74F3B">
        <w:t>TEXTOS APROVADOS</w:t>
      </w:r>
    </w:p>
    <w:p w14:paraId="54D4DB47" w14:textId="77777777" w:rsidR="00D058B8" w:rsidRPr="00B74F3B" w:rsidRDefault="00D058B8" w:rsidP="00D058B8">
      <w:pPr>
        <w:pStyle w:val="LineBottom"/>
      </w:pPr>
    </w:p>
    <w:p w14:paraId="04ED0A50" w14:textId="1FDD424A" w:rsidR="00605EE7" w:rsidRPr="00B74F3B" w:rsidRDefault="00605EE7" w:rsidP="00605EE7">
      <w:pPr>
        <w:pStyle w:val="ATHeading1"/>
      </w:pPr>
      <w:bookmarkStart w:id="0" w:name="TANumber"/>
      <w:r w:rsidRPr="00B74F3B">
        <w:t>P9_TA(2024)0</w:t>
      </w:r>
      <w:bookmarkEnd w:id="0"/>
      <w:r w:rsidR="0081488C">
        <w:t>334</w:t>
      </w:r>
    </w:p>
    <w:p w14:paraId="14B15889" w14:textId="65C34373" w:rsidR="00605EE7" w:rsidRPr="00B74F3B" w:rsidRDefault="00605EE7" w:rsidP="00605EE7">
      <w:pPr>
        <w:pStyle w:val="ATHeading2"/>
      </w:pPr>
      <w:bookmarkStart w:id="1" w:name="title"/>
      <w:r w:rsidRPr="00B74F3B">
        <w:t>Mobilização do Fundo Europeu</w:t>
      </w:r>
      <w:r w:rsidR="009F3946">
        <w:t xml:space="preserve"> de Ajustamento à Globalização –</w:t>
      </w:r>
      <w:r w:rsidRPr="00B74F3B">
        <w:t xml:space="preserve"> Ca</w:t>
      </w:r>
      <w:r w:rsidR="009F3946">
        <w:t xml:space="preserve">ndidatura EGF/2024/000 </w:t>
      </w:r>
      <w:proofErr w:type="gramStart"/>
      <w:r w:rsidR="009F3946">
        <w:t>TA</w:t>
      </w:r>
      <w:proofErr w:type="gramEnd"/>
      <w:r w:rsidR="009F3946">
        <w:t xml:space="preserve"> 2024 –</w:t>
      </w:r>
      <w:r w:rsidRPr="00B74F3B">
        <w:t xml:space="preserve"> Assistência técnica por iniciativa da Comissão</w:t>
      </w:r>
      <w:bookmarkEnd w:id="1"/>
    </w:p>
    <w:p w14:paraId="729E3F75" w14:textId="77777777" w:rsidR="00605EE7" w:rsidRPr="00B74F3B" w:rsidRDefault="00605EE7" w:rsidP="00605EE7">
      <w:pPr>
        <w:rPr>
          <w:i/>
          <w:vanish/>
        </w:rPr>
      </w:pPr>
      <w:r w:rsidRPr="00B74F3B">
        <w:rPr>
          <w:i/>
        </w:rPr>
        <w:fldChar w:fldCharType="begin"/>
      </w:r>
      <w:r w:rsidRPr="00B74F3B">
        <w:rPr>
          <w:i/>
        </w:rPr>
        <w:instrText xml:space="preserve"> TC"(</w:instrText>
      </w:r>
      <w:bookmarkStart w:id="2" w:name="DocNumber"/>
      <w:r w:rsidRPr="00B74F3B">
        <w:rPr>
          <w:i/>
        </w:rPr>
        <w:instrText>A9-0173/2024</w:instrText>
      </w:r>
      <w:bookmarkEnd w:id="2"/>
      <w:r w:rsidRPr="00B74F3B">
        <w:rPr>
          <w:i/>
        </w:rPr>
        <w:instrText xml:space="preserve"> - Relatora: Margarida Marques)"\l3 \n&gt; \* MERGEFORMAT </w:instrText>
      </w:r>
      <w:r w:rsidRPr="00B74F3B">
        <w:rPr>
          <w:i/>
        </w:rPr>
        <w:fldChar w:fldCharType="end"/>
      </w:r>
    </w:p>
    <w:p w14:paraId="3BF5547B" w14:textId="77777777" w:rsidR="00605EE7" w:rsidRPr="00B74F3B" w:rsidRDefault="00605EE7" w:rsidP="00605EE7">
      <w:pPr>
        <w:rPr>
          <w:vanish/>
        </w:rPr>
      </w:pPr>
      <w:bookmarkStart w:id="3" w:name="Commission"/>
      <w:r w:rsidRPr="00B74F3B">
        <w:rPr>
          <w:vanish/>
        </w:rPr>
        <w:t>Comissão dos Orçamentos</w:t>
      </w:r>
      <w:bookmarkEnd w:id="3"/>
    </w:p>
    <w:p w14:paraId="4DB6B897" w14:textId="77777777" w:rsidR="00605EE7" w:rsidRPr="00B74F3B" w:rsidRDefault="00605EE7" w:rsidP="00605EE7">
      <w:pPr>
        <w:rPr>
          <w:vanish/>
        </w:rPr>
      </w:pPr>
      <w:bookmarkStart w:id="4" w:name="PE"/>
      <w:r w:rsidRPr="00B74F3B">
        <w:rPr>
          <w:vanish/>
        </w:rPr>
        <w:t>PE759.750</w:t>
      </w:r>
      <w:bookmarkEnd w:id="4"/>
    </w:p>
    <w:p w14:paraId="75D464C0" w14:textId="0810860B" w:rsidR="00605EE7" w:rsidRPr="00B74F3B" w:rsidRDefault="00605EE7" w:rsidP="00605EE7">
      <w:pPr>
        <w:pStyle w:val="ATHeading3"/>
      </w:pPr>
      <w:bookmarkStart w:id="5" w:name="Sujet"/>
      <w:r w:rsidRPr="00B74F3B">
        <w:t xml:space="preserve">Resolução do Parlamento Europeu, de </w:t>
      </w:r>
      <w:r w:rsidR="00F54E80" w:rsidRPr="00B74F3B">
        <w:t>24</w:t>
      </w:r>
      <w:r w:rsidRPr="00B74F3B">
        <w:t xml:space="preserve"> de </w:t>
      </w:r>
      <w:r w:rsidR="00F54E80" w:rsidRPr="00B74F3B">
        <w:t>abril</w:t>
      </w:r>
      <w:r w:rsidRPr="00B74F3B">
        <w:t xml:space="preserve"> de 2024, sobre a proposta de decisão do Parlamento Europeu e do Conselho relativa à mobilização do Fundo Europeu de Ajustamento à Globalização a favor dos Trabalhadores De</w:t>
      </w:r>
      <w:r w:rsidR="00C67890">
        <w:t>spedidos (EGF/2024/000 TA 2024 –</w:t>
      </w:r>
      <w:r w:rsidRPr="00B74F3B">
        <w:t xml:space="preserve"> Assistência técnica por iniciativa da Comissão)</w:t>
      </w:r>
      <w:bookmarkEnd w:id="5"/>
      <w:r w:rsidRPr="00B74F3B">
        <w:t xml:space="preserve"> </w:t>
      </w:r>
      <w:bookmarkStart w:id="6" w:name="References"/>
      <w:r w:rsidR="00C67890">
        <w:t>(</w:t>
      </w:r>
      <w:proofErr w:type="gramStart"/>
      <w:r w:rsidR="00C67890">
        <w:t>COM(</w:t>
      </w:r>
      <w:proofErr w:type="gramEnd"/>
      <w:r w:rsidR="00C67890">
        <w:t>2024)0084 – C9</w:t>
      </w:r>
      <w:r w:rsidR="00C67890">
        <w:noBreakHyphen/>
      </w:r>
      <w:r w:rsidRPr="00B74F3B">
        <w:t>0042/2024 – 2024/0003(BUD))</w:t>
      </w:r>
      <w:bookmarkEnd w:id="6"/>
    </w:p>
    <w:p w14:paraId="702A092A" w14:textId="77777777" w:rsidR="00D75C9B" w:rsidRPr="00B74F3B" w:rsidRDefault="00D75C9B" w:rsidP="00D75C9B">
      <w:pPr>
        <w:pStyle w:val="EPComma"/>
        <w:rPr>
          <w:noProof/>
        </w:rPr>
      </w:pPr>
      <w:bookmarkStart w:id="7" w:name="TextBodyBegin"/>
      <w:bookmarkEnd w:id="7"/>
      <w:r w:rsidRPr="00B74F3B">
        <w:rPr>
          <w:i/>
          <w:iCs/>
        </w:rPr>
        <w:t>O Parlamento Europeu</w:t>
      </w:r>
      <w:r w:rsidRPr="00B74F3B">
        <w:t>,</w:t>
      </w:r>
    </w:p>
    <w:p w14:paraId="17AE945C" w14:textId="77777777" w:rsidR="00D75C9B" w:rsidRPr="00B74F3B" w:rsidRDefault="00D75C9B" w:rsidP="00D75C9B">
      <w:pPr>
        <w:pStyle w:val="NormalHanging12a"/>
        <w:rPr>
          <w:noProof/>
        </w:rPr>
      </w:pPr>
      <w:r w:rsidRPr="00B74F3B">
        <w:t>–</w:t>
      </w:r>
      <w:r w:rsidRPr="00B74F3B">
        <w:tab/>
        <w:t>Tendo em conta a proposta da Comissão ao Parlamento Europeu e ao Conselho (</w:t>
      </w:r>
      <w:proofErr w:type="gramStart"/>
      <w:r w:rsidRPr="00B74F3B">
        <w:t>COM(</w:t>
      </w:r>
      <w:proofErr w:type="gramEnd"/>
      <w:r w:rsidRPr="00B74F3B">
        <w:t>2024)0084 – C9</w:t>
      </w:r>
      <w:r w:rsidRPr="00B74F3B">
        <w:noBreakHyphen/>
        <w:t>0042/2024),</w:t>
      </w:r>
    </w:p>
    <w:p w14:paraId="1F7E49E4" w14:textId="77777777" w:rsidR="00D75C9B" w:rsidRPr="00B74F3B" w:rsidRDefault="00D75C9B" w:rsidP="00D75C9B">
      <w:pPr>
        <w:pStyle w:val="NormalHanging12a"/>
        <w:rPr>
          <w:noProof/>
        </w:rPr>
      </w:pPr>
      <w:r w:rsidRPr="00B74F3B">
        <w:t>–</w:t>
      </w:r>
      <w:r w:rsidRPr="00B74F3B">
        <w:tab/>
        <w:t>Tendo em conta o Regulamento (UE) 2021/691 do Parlamento Europeu e do Conselho, de 28 de abril de 2021, relativo ao Fundo Europeu de Ajustamento à Globalização a favor dos Trabalhadores Despedidos (FEG) e que revoga o Regulamento (UE) n.º 1309/2013</w:t>
      </w:r>
      <w:r w:rsidRPr="00B74F3B">
        <w:rPr>
          <w:rStyle w:val="FootnoteReference"/>
        </w:rPr>
        <w:footnoteReference w:id="1"/>
      </w:r>
      <w:r w:rsidRPr="00B74F3B">
        <w:t xml:space="preserve"> («Regulamento FEG»),</w:t>
      </w:r>
    </w:p>
    <w:p w14:paraId="4AE579B5" w14:textId="77777777" w:rsidR="00D75C9B" w:rsidRPr="00B74F3B" w:rsidRDefault="00D75C9B" w:rsidP="00D75C9B">
      <w:pPr>
        <w:pStyle w:val="NormalHanging12a"/>
      </w:pPr>
      <w:r w:rsidRPr="00B74F3B">
        <w:t>–</w:t>
      </w:r>
      <w:r w:rsidRPr="00B74F3B">
        <w:tab/>
        <w:t>Tendo em conta o Regulamento (UE, Euratom) 2020/2093 do Conselho, de 17 de dezembro de 2020, que estabelece o quadro financeiro plurianual para o período de 2021 a 2027</w:t>
      </w:r>
      <w:r w:rsidRPr="00B74F3B">
        <w:rPr>
          <w:rStyle w:val="FootnoteReference"/>
        </w:rPr>
        <w:footnoteReference w:id="2"/>
      </w:r>
      <w:r w:rsidRPr="00B74F3B">
        <w:t>, com a redação que lhe foi dada pelo Regulamento (UE, Euratom) 2024/765</w:t>
      </w:r>
      <w:r w:rsidRPr="00B74F3B">
        <w:rPr>
          <w:rStyle w:val="FootnoteReference"/>
          <w:bdr w:val="none" w:sz="0" w:space="0" w:color="auto" w:frame="1"/>
        </w:rPr>
        <w:footnoteReference w:id="3"/>
      </w:r>
      <w:r w:rsidRPr="00B74F3B">
        <w:t>, nomeadamente o artigo 8.º,</w:t>
      </w:r>
    </w:p>
    <w:p w14:paraId="607AF256" w14:textId="77777777" w:rsidR="00D75C9B" w:rsidRPr="00B74F3B" w:rsidRDefault="00D75C9B" w:rsidP="00D75C9B">
      <w:pPr>
        <w:pStyle w:val="NormalHanging12a"/>
      </w:pPr>
      <w:r w:rsidRPr="00B74F3B">
        <w:t>–</w:t>
      </w:r>
      <w:r w:rsidRPr="00B74F3B">
        <w:tab/>
        <w:t xml:space="preserve">Tendo em conta o Acordo Interinstitucional, de 16 de dezembro de 2020, entre o Parlamento Europeu, o Conselho da União Europeia e a Comissão Europeia sobre a disciplina orçamental, a cooperação em matéria orçamental e a boa gestão financeira, bem como sobre os novos recursos próprios, incluindo um roteiro para a introdução de </w:t>
      </w:r>
      <w:r w:rsidRPr="00B74F3B">
        <w:lastRenderedPageBreak/>
        <w:t>novos recursos próprios</w:t>
      </w:r>
      <w:r w:rsidRPr="00B74F3B">
        <w:rPr>
          <w:rStyle w:val="FootnoteReference"/>
        </w:rPr>
        <w:footnoteReference w:id="4"/>
      </w:r>
      <w:r w:rsidRPr="00B74F3B">
        <w:t>, nomeadamente o ponto 9,</w:t>
      </w:r>
    </w:p>
    <w:p w14:paraId="67AFC86C" w14:textId="77777777" w:rsidR="00D75C9B" w:rsidRPr="00B74F3B" w:rsidRDefault="00D75C9B" w:rsidP="00D75C9B">
      <w:pPr>
        <w:pStyle w:val="NormalHanging12a"/>
      </w:pPr>
      <w:r w:rsidRPr="00B74F3B">
        <w:t>–</w:t>
      </w:r>
      <w:r w:rsidRPr="00B74F3B">
        <w:tab/>
        <w:t>Tendo em conta o relatório da Comissão dos Orçamentos (A9</w:t>
      </w:r>
      <w:r w:rsidRPr="00B74F3B">
        <w:noBreakHyphen/>
        <w:t>0173/2024),</w:t>
      </w:r>
    </w:p>
    <w:p w14:paraId="5DA8C8C0" w14:textId="77777777" w:rsidR="00D75C9B" w:rsidRPr="00B74F3B" w:rsidRDefault="00D75C9B" w:rsidP="00D75C9B">
      <w:pPr>
        <w:spacing w:after="240"/>
        <w:ind w:left="567" w:hanging="567"/>
      </w:pPr>
      <w:r w:rsidRPr="00B74F3B">
        <w:t>A.</w:t>
      </w:r>
      <w:r w:rsidRPr="00B74F3B">
        <w:tab/>
        <w:t>Considerando que a União criou instrumentos legislativos e orçamentais para prestar apoio adicional aos trabalhadores que sofrem as consequências da globalização e das mudanças tecnológicas e ambientais, nomeadamente mudanças nos padrões do comércio mundial, litígios comerciais, alterações significativas nas relações comerciais da União ou na composição do mercado interno e crises económicas ou financeiras, bem como a transição para uma economia hipocarbónica, ou ainda as consequências da digitalização ou da automatização;</w:t>
      </w:r>
    </w:p>
    <w:p w14:paraId="2F2A4EB5" w14:textId="02C58882" w:rsidR="00D75C9B" w:rsidRPr="00B74F3B" w:rsidRDefault="00D75C9B" w:rsidP="00D75C9B">
      <w:pPr>
        <w:spacing w:after="240"/>
        <w:ind w:left="567" w:hanging="567"/>
        <w:rPr>
          <w:bdr w:val="none" w:sz="0" w:space="0" w:color="auto" w:frame="1"/>
        </w:rPr>
      </w:pPr>
      <w:proofErr w:type="gramStart"/>
      <w:r w:rsidRPr="00B74F3B">
        <w:rPr>
          <w:bdr w:val="none" w:sz="0" w:space="0" w:color="auto" w:frame="1"/>
        </w:rPr>
        <w:t>B.</w:t>
      </w:r>
      <w:r w:rsidRPr="00B74F3B">
        <w:rPr>
          <w:bdr w:val="none" w:sz="0" w:space="0" w:color="auto" w:frame="1"/>
        </w:rPr>
        <w:tab/>
      </w:r>
      <w:r w:rsidRPr="00B74F3B">
        <w:t>Considerando</w:t>
      </w:r>
      <w:proofErr w:type="gramEnd"/>
      <w:r w:rsidRPr="00B74F3B">
        <w:t xml:space="preserve"> que a assistência da União aos trabalhadores despedidos deve centrar</w:t>
      </w:r>
      <w:r w:rsidRPr="00B74F3B">
        <w:noBreakHyphen/>
        <w:t>se principalmente em medidas ativas do mercado de trabalho e em serviços personalizados que visem reintegrar rapidamente os beneficiários num emprego digno e sustentável, preparando</w:t>
      </w:r>
      <w:r w:rsidRPr="00B74F3B">
        <w:noBreakHyphen/>
        <w:t>os simultaneamente para uma economia europeia mais ecológica e mais digital, tendo devidamente em conta o Acordo Interinstitucional, de 16 de dezembro de 2020, no que se refere à adoção de decisões de mobilização do FEG;</w:t>
      </w:r>
    </w:p>
    <w:p w14:paraId="051A513F" w14:textId="77777777" w:rsidR="00D75C9B" w:rsidRPr="00B74F3B" w:rsidRDefault="00D75C9B" w:rsidP="00D75C9B">
      <w:pPr>
        <w:spacing w:after="240"/>
        <w:ind w:left="567" w:hanging="567"/>
      </w:pPr>
      <w:proofErr w:type="gramStart"/>
      <w:r w:rsidRPr="00B74F3B">
        <w:t>C.</w:t>
      </w:r>
      <w:r w:rsidRPr="00B74F3B">
        <w:tab/>
        <w:t>Considerando</w:t>
      </w:r>
      <w:proofErr w:type="gramEnd"/>
      <w:r w:rsidRPr="00B74F3B">
        <w:t xml:space="preserve"> que a União alargou, inicialmente, o âmbito de aplicação do FEG, a fim de prestar apoio financeiro em caso de grandes processos de reestruturação, cobrindo, assim, os efeitos económicos da crise da COVID</w:t>
      </w:r>
      <w:r w:rsidRPr="00B74F3B">
        <w:noBreakHyphen/>
        <w:t>19;</w:t>
      </w:r>
    </w:p>
    <w:p w14:paraId="5DAB890B" w14:textId="77777777" w:rsidR="00D75C9B" w:rsidRPr="00B74F3B" w:rsidRDefault="00D75C9B" w:rsidP="00D75C9B">
      <w:pPr>
        <w:spacing w:after="240"/>
        <w:ind w:left="567" w:hanging="567"/>
        <w:rPr>
          <w:bdr w:val="none" w:sz="0" w:space="0" w:color="auto" w:frame="1"/>
        </w:rPr>
      </w:pPr>
      <w:r w:rsidRPr="00B74F3B">
        <w:rPr>
          <w:bdr w:val="none" w:sz="0" w:space="0" w:color="auto" w:frame="1"/>
        </w:rPr>
        <w:t>D.</w:t>
      </w:r>
      <w:r w:rsidRPr="00B74F3B">
        <w:rPr>
          <w:bdr w:val="none" w:sz="0" w:space="0" w:color="auto" w:frame="1"/>
        </w:rPr>
        <w:tab/>
      </w:r>
      <w:r w:rsidRPr="00B74F3B">
        <w:t>Considerando que a adoção do novo Regulamento FEG em 2021 alargou ainda mais o âmbito de aplicação do FEG a grandes processos de reestruturação causados pela transição para uma economia hipocarbónica ou resultantes da digitalização ou da automatização, reduzindo, simultaneamente, de 500 para 200 o limiar de trabalhadores despedidos exigido para a ativação do FEG;</w:t>
      </w:r>
    </w:p>
    <w:p w14:paraId="18B55CD1" w14:textId="213A96FC" w:rsidR="00D75C9B" w:rsidRPr="00B74F3B" w:rsidRDefault="00D75C9B" w:rsidP="00D75C9B">
      <w:pPr>
        <w:spacing w:after="240"/>
        <w:ind w:left="567" w:hanging="567"/>
        <w:rPr>
          <w:bdr w:val="none" w:sz="0" w:space="0" w:color="auto" w:frame="1"/>
        </w:rPr>
      </w:pPr>
      <w:r w:rsidRPr="00B74F3B">
        <w:rPr>
          <w:bdr w:val="none" w:sz="0" w:space="0" w:color="auto" w:frame="1"/>
        </w:rPr>
        <w:t>E.</w:t>
      </w:r>
      <w:r w:rsidRPr="00B74F3B">
        <w:rPr>
          <w:bdr w:val="none" w:sz="0" w:space="0" w:color="auto" w:frame="1"/>
        </w:rPr>
        <w:tab/>
        <w:t xml:space="preserve">Considerando que a revisão do QFP reduz o montante anual máximo do FEG de 186 milhões de EUR para 30 milhões de EUR (preços de 2018), tal como previsto no artigo 8.º do Regulamento (UE, Euratom) 2020/2093 do Conselho, com a redação que lhe foi dada pelo Regulamento (UE, Euratom) 2024/765; </w:t>
      </w:r>
      <w:r w:rsidR="00C526F4" w:rsidRPr="00B74F3B">
        <w:rPr>
          <w:bdr w:val="none" w:sz="0" w:space="0" w:color="auto" w:frame="1"/>
        </w:rPr>
        <w:t xml:space="preserve">considerando </w:t>
      </w:r>
      <w:r w:rsidRPr="00B74F3B">
        <w:t>que a Comissão deve acompanhar a execução do FEG e todas as instituições devem tomar as medidas necessárias para assegurar que todos os pedidos justificados de apoio do FEG possam ser satisfeitos, como forma de demonstração da solidariedade da União;</w:t>
      </w:r>
    </w:p>
    <w:p w14:paraId="00B66E09" w14:textId="77777777" w:rsidR="00D75C9B" w:rsidRPr="00B74F3B" w:rsidRDefault="00D75C9B" w:rsidP="00D75C9B">
      <w:pPr>
        <w:spacing w:after="240"/>
        <w:ind w:left="567" w:hanging="567"/>
        <w:rPr>
          <w:bdr w:val="none" w:sz="0" w:space="0" w:color="auto" w:frame="1"/>
        </w:rPr>
      </w:pPr>
      <w:proofErr w:type="gramStart"/>
      <w:r w:rsidRPr="00B74F3B">
        <w:rPr>
          <w:bdr w:val="none" w:sz="0" w:space="0" w:color="auto" w:frame="1"/>
        </w:rPr>
        <w:t>F.</w:t>
      </w:r>
      <w:r w:rsidRPr="00B74F3B">
        <w:rPr>
          <w:bdr w:val="none" w:sz="0" w:space="0" w:color="auto" w:frame="1"/>
        </w:rPr>
        <w:tab/>
      </w:r>
      <w:r w:rsidRPr="00B74F3B">
        <w:t>Considerando</w:t>
      </w:r>
      <w:proofErr w:type="gramEnd"/>
      <w:r w:rsidRPr="00B74F3B">
        <w:t xml:space="preserve"> que, nos termos do artigo 11.º, n.º 1, do Regulamento FEG, até 0,5 % desse montante máximo pode ser disponibilizado para assistência técnica por iniciativa da Comissão;</w:t>
      </w:r>
    </w:p>
    <w:p w14:paraId="71A7F3E8" w14:textId="77777777" w:rsidR="00D75C9B" w:rsidRPr="00B74F3B" w:rsidRDefault="00D75C9B" w:rsidP="00D75C9B">
      <w:pPr>
        <w:spacing w:after="240"/>
        <w:ind w:left="567" w:hanging="567"/>
        <w:rPr>
          <w:bdr w:val="none" w:sz="0" w:space="0" w:color="auto" w:frame="1"/>
        </w:rPr>
      </w:pPr>
      <w:proofErr w:type="gramStart"/>
      <w:r w:rsidRPr="00B74F3B">
        <w:rPr>
          <w:bdr w:val="none" w:sz="0" w:space="0" w:color="auto" w:frame="1"/>
        </w:rPr>
        <w:t>G.</w:t>
      </w:r>
      <w:r w:rsidRPr="00B74F3B">
        <w:rPr>
          <w:bdr w:val="none" w:sz="0" w:space="0" w:color="auto" w:frame="1"/>
        </w:rPr>
        <w:tab/>
        <w:t>Considerando</w:t>
      </w:r>
      <w:proofErr w:type="gramEnd"/>
      <w:r w:rsidRPr="00B74F3B">
        <w:rPr>
          <w:bdr w:val="none" w:sz="0" w:space="0" w:color="auto" w:frame="1"/>
        </w:rPr>
        <w:t xml:space="preserve"> que a assistência técnica pode consistir em despesas técnicas e administrativas para a execução do FEG, tais como ações de preparação, acompanhamento, controlo, auditoria e avaliação, bem como de recolha de dados, nomeadamente relacionadas com os sistemas informáticos internos, as atividades de comunicação e as atividades para reforço da visibilidade do FEG enquanto fundo ou relativas a projetos específicos e outras medidas de assistência técnica;</w:t>
      </w:r>
    </w:p>
    <w:p w14:paraId="534504AA" w14:textId="77777777" w:rsidR="00D75C9B" w:rsidRPr="00B74F3B" w:rsidRDefault="00D75C9B" w:rsidP="00D75C9B">
      <w:pPr>
        <w:spacing w:after="240"/>
        <w:ind w:left="567" w:hanging="567"/>
        <w:rPr>
          <w:bdr w:val="none" w:sz="0" w:space="0" w:color="auto" w:frame="1"/>
        </w:rPr>
      </w:pPr>
      <w:proofErr w:type="gramStart"/>
      <w:r w:rsidRPr="00B74F3B">
        <w:rPr>
          <w:bdr w:val="none" w:sz="0" w:space="0" w:color="auto" w:frame="1"/>
        </w:rPr>
        <w:t>H.</w:t>
      </w:r>
      <w:r w:rsidRPr="00B74F3B">
        <w:rPr>
          <w:bdr w:val="none" w:sz="0" w:space="0" w:color="auto" w:frame="1"/>
        </w:rPr>
        <w:tab/>
      </w:r>
      <w:r w:rsidRPr="00B74F3B">
        <w:t>Considerando</w:t>
      </w:r>
      <w:proofErr w:type="gramEnd"/>
      <w:r w:rsidRPr="00B74F3B">
        <w:t xml:space="preserve"> que o montante proposto de 165 000 EUR corresponde a cerca de 0,49 % </w:t>
      </w:r>
      <w:r w:rsidRPr="00B74F3B">
        <w:lastRenderedPageBreak/>
        <w:t>do orçamento anual máximo disponível para o FEG em 2024;</w:t>
      </w:r>
    </w:p>
    <w:p w14:paraId="19D0DD07" w14:textId="77777777" w:rsidR="00D75C9B" w:rsidRPr="00B74F3B" w:rsidRDefault="00D75C9B" w:rsidP="00D75C9B">
      <w:pPr>
        <w:spacing w:after="240"/>
        <w:ind w:left="567" w:hanging="567"/>
        <w:rPr>
          <w:bdr w:val="none" w:sz="0" w:space="0" w:color="auto" w:frame="1"/>
        </w:rPr>
      </w:pPr>
      <w:r w:rsidRPr="00B74F3B">
        <w:rPr>
          <w:bdr w:val="none" w:sz="0" w:space="0" w:color="auto" w:frame="1"/>
        </w:rPr>
        <w:t>1.</w:t>
      </w:r>
      <w:r w:rsidRPr="00B74F3B">
        <w:rPr>
          <w:bdr w:val="none" w:sz="0" w:space="0" w:color="auto" w:frame="1"/>
        </w:rPr>
        <w:tab/>
        <w:t xml:space="preserve">Concorda com a mobilização de 165 000 EUR e que as medidas propostas pela Comissão sejam financiadas a título de assistência técnica nos termos do artigo 11.º, </w:t>
      </w:r>
      <w:proofErr w:type="spellStart"/>
      <w:proofErr w:type="gramStart"/>
      <w:r w:rsidRPr="00B74F3B">
        <w:rPr>
          <w:bdr w:val="none" w:sz="0" w:space="0" w:color="auto" w:frame="1"/>
        </w:rPr>
        <w:t>n.</w:t>
      </w:r>
      <w:r w:rsidRPr="00B74F3B">
        <w:rPr>
          <w:bdr w:val="none" w:sz="0" w:space="0" w:color="auto" w:frame="1"/>
          <w:vertAlign w:val="superscript"/>
        </w:rPr>
        <w:t>os</w:t>
      </w:r>
      <w:proofErr w:type="spellEnd"/>
      <w:proofErr w:type="gramEnd"/>
      <w:r w:rsidRPr="00B74F3B">
        <w:rPr>
          <w:bdr w:val="none" w:sz="0" w:space="0" w:color="auto" w:frame="1"/>
        </w:rPr>
        <w:t xml:space="preserve"> 1 e 4, e do artigo 12.º, </w:t>
      </w:r>
      <w:proofErr w:type="spellStart"/>
      <w:r w:rsidRPr="00B74F3B">
        <w:rPr>
          <w:bdr w:val="none" w:sz="0" w:space="0" w:color="auto" w:frame="1"/>
        </w:rPr>
        <w:t>n.</w:t>
      </w:r>
      <w:r w:rsidRPr="00B74F3B">
        <w:rPr>
          <w:bdr w:val="none" w:sz="0" w:space="0" w:color="auto" w:frame="1"/>
          <w:vertAlign w:val="superscript"/>
        </w:rPr>
        <w:t>os</w:t>
      </w:r>
      <w:proofErr w:type="spellEnd"/>
      <w:r w:rsidRPr="00B74F3B">
        <w:rPr>
          <w:bdr w:val="none" w:sz="0" w:space="0" w:color="auto" w:frame="1"/>
        </w:rPr>
        <w:t> 2, 3 e 4, do Regulamento FEG;</w:t>
      </w:r>
    </w:p>
    <w:p w14:paraId="7CBC2543" w14:textId="77777777" w:rsidR="00D75C9B" w:rsidRPr="00B74F3B" w:rsidRDefault="00D75C9B" w:rsidP="00D75C9B">
      <w:pPr>
        <w:spacing w:after="240"/>
        <w:ind w:left="567" w:hanging="567"/>
      </w:pPr>
      <w:proofErr w:type="gramStart"/>
      <w:r w:rsidRPr="00B74F3B">
        <w:t>2.</w:t>
      </w:r>
      <w:r w:rsidRPr="00B74F3B">
        <w:tab/>
        <w:t>Congratula</w:t>
      </w:r>
      <w:proofErr w:type="gramEnd"/>
      <w:r w:rsidRPr="00B74F3B">
        <w:noBreakHyphen/>
        <w:t>se com a continuação do trabalho sobre os procedimentos normalizados para as candidaturas ao FEG e a sua gestão, utilizando as funcionalidades do sistema eletrónico de intercâmbio de informações (sistema comum de gestão partilhada dos fundos – SFC), que permite simplificar e acelerar o tratamento das candidaturas, bem como melhorar a apresentação de relatórios;</w:t>
      </w:r>
    </w:p>
    <w:p w14:paraId="58EE85BB" w14:textId="77777777" w:rsidR="00D75C9B" w:rsidRPr="00B74F3B" w:rsidRDefault="00D75C9B" w:rsidP="00D75C9B">
      <w:pPr>
        <w:spacing w:after="240"/>
        <w:ind w:left="567" w:hanging="567"/>
      </w:pPr>
      <w:r w:rsidRPr="00B74F3B">
        <w:t>3.</w:t>
      </w:r>
      <w:r w:rsidRPr="00B74F3B">
        <w:tab/>
        <w:t>Toma nota de que a Comissão utilizará o orçamento disponível a título de apoio administrativo para organizar reuniões do grupo de peritos de contacto do FEG (dois membros de cada Estado</w:t>
      </w:r>
      <w:r w:rsidRPr="00B74F3B">
        <w:noBreakHyphen/>
        <w:t>Membro) e um seminário com a participação das entidades responsáveis pela execução do FEG e dos parceiros sociais, para promover a criação de redes entre os Estados</w:t>
      </w:r>
      <w:r w:rsidRPr="00B74F3B">
        <w:noBreakHyphen/>
        <w:t>Membros; solicita à Comissão que continue a convidar, sistematicamente, o Parlamento para essas reuniões e seminários, em conformidade com as disposições aplicáveis do Acordo</w:t>
      </w:r>
      <w:r w:rsidRPr="00B74F3B">
        <w:noBreakHyphen/>
        <w:t>quadro sobre as relações entre o Parlamento e a Comissão;</w:t>
      </w:r>
    </w:p>
    <w:p w14:paraId="518D43A7" w14:textId="77777777" w:rsidR="00D75C9B" w:rsidRPr="00B74F3B" w:rsidRDefault="00D75C9B" w:rsidP="00D75C9B">
      <w:pPr>
        <w:spacing w:after="240"/>
        <w:ind w:left="567" w:hanging="567"/>
      </w:pPr>
      <w:r w:rsidRPr="00B74F3B">
        <w:t>4.</w:t>
      </w:r>
      <w:r w:rsidRPr="00B74F3B">
        <w:tab/>
        <w:t>Insta a Comissão a adaptar as boas práticas desenvolvidas durante a pandemia de COVID</w:t>
      </w:r>
      <w:r w:rsidRPr="00B74F3B">
        <w:noBreakHyphen/>
        <w:t>19, em particular as medidas que podem ajudar a acelerar uma transição ecológica e digital inclusiva e apoiar as prioridades fundamentais da União, como a igualdade de género;</w:t>
      </w:r>
    </w:p>
    <w:p w14:paraId="33694D03" w14:textId="77777777" w:rsidR="00D75C9B" w:rsidRPr="00B74F3B" w:rsidRDefault="00D75C9B" w:rsidP="00D75C9B">
      <w:pPr>
        <w:spacing w:after="240"/>
        <w:ind w:left="567" w:hanging="567"/>
      </w:pPr>
      <w:r w:rsidRPr="00B74F3B">
        <w:t>5.</w:t>
      </w:r>
      <w:r w:rsidRPr="00B74F3B">
        <w:tab/>
        <w:t xml:space="preserve">Sublinha a necessidade de reforçar a sensibilização geral para o FEG e a sua visibilidade; chama a atenção para o facto de esse objetivo poder ser realizado referindo o FEG em diversas publicações e atividades audiovisuais da Comissão, tal como previsto no artigo 11.º, n.º 1, do Regulamento FEG; </w:t>
      </w:r>
      <w:r w:rsidRPr="00B74F3B">
        <w:rPr>
          <w:bdr w:val="none" w:sz="0" w:space="0" w:color="auto" w:frame="1"/>
        </w:rPr>
        <w:t>congratula</w:t>
      </w:r>
      <w:r w:rsidRPr="00B74F3B">
        <w:rPr>
          <w:bdr w:val="none" w:sz="0" w:space="0" w:color="auto" w:frame="1"/>
        </w:rPr>
        <w:noBreakHyphen/>
        <w:t>se, neste contexto, com a manutenção do sítio Web específico para o FEG; insta a Comissão a atualizá</w:t>
      </w:r>
      <w:r w:rsidRPr="00B74F3B">
        <w:rPr>
          <w:bdr w:val="none" w:sz="0" w:space="0" w:color="auto" w:frame="1"/>
        </w:rPr>
        <w:noBreakHyphen/>
        <w:t>lo e ampliá</w:t>
      </w:r>
      <w:r w:rsidRPr="00B74F3B">
        <w:rPr>
          <w:bdr w:val="none" w:sz="0" w:space="0" w:color="auto" w:frame="1"/>
        </w:rPr>
        <w:noBreakHyphen/>
        <w:t>lo regularmente, a fim de aumentar a visibilidade da solidariedade europeia, demonstrada pelo FEG junto do público em geral, e de aumentar a transparência da ação da União;</w:t>
      </w:r>
    </w:p>
    <w:p w14:paraId="69BC42C8" w14:textId="77777777" w:rsidR="00D75C9B" w:rsidRPr="00B74F3B" w:rsidRDefault="00D75C9B" w:rsidP="00D75C9B">
      <w:pPr>
        <w:spacing w:after="240"/>
        <w:ind w:left="567" w:hanging="567"/>
      </w:pPr>
      <w:r w:rsidRPr="00B74F3B">
        <w:t>6.</w:t>
      </w:r>
      <w:r w:rsidRPr="00B74F3B">
        <w:tab/>
        <w:t>Recorda aos Estados</w:t>
      </w:r>
      <w:r w:rsidRPr="00B74F3B">
        <w:noBreakHyphen/>
        <w:t>Membros requerentes o seu papel fundamental na ampla divulgação das ações financiadas pelo FEG junto dos beneficiários visados, das autoridades locais e regionais, dos parceiros sociais, dos meios de comunicação social e do público em geral, tal como definido no artigo 12.º do Regulamento FEG;</w:t>
      </w:r>
    </w:p>
    <w:p w14:paraId="765AD290" w14:textId="77777777" w:rsidR="00D75C9B" w:rsidRPr="00B74F3B" w:rsidRDefault="00D75C9B" w:rsidP="00D75C9B">
      <w:pPr>
        <w:spacing w:after="240"/>
        <w:ind w:left="567" w:hanging="567"/>
      </w:pPr>
      <w:proofErr w:type="gramStart"/>
      <w:r w:rsidRPr="00B74F3B">
        <w:t>7.</w:t>
      </w:r>
      <w:r w:rsidRPr="00B74F3B">
        <w:tab/>
        <w:t>Aprova</w:t>
      </w:r>
      <w:proofErr w:type="gramEnd"/>
      <w:r w:rsidRPr="00B74F3B">
        <w:t xml:space="preserve"> a decisão anexa à presente resolução;</w:t>
      </w:r>
    </w:p>
    <w:p w14:paraId="154CCB56" w14:textId="77777777" w:rsidR="00D75C9B" w:rsidRPr="00B74F3B" w:rsidRDefault="00D75C9B" w:rsidP="00D75C9B">
      <w:pPr>
        <w:spacing w:after="240"/>
        <w:ind w:left="567" w:hanging="567"/>
        <w:rPr>
          <w:rFonts w:ascii="Arial Unicode MS" w:hAnsi="Arial Unicode MS"/>
          <w:bdr w:val="none" w:sz="0" w:space="0" w:color="auto" w:frame="1"/>
        </w:rPr>
      </w:pPr>
      <w:proofErr w:type="gramStart"/>
      <w:r w:rsidRPr="00B74F3B">
        <w:t>8.</w:t>
      </w:r>
      <w:r w:rsidRPr="00B74F3B">
        <w:tab/>
      </w:r>
      <w:r w:rsidRPr="00B74F3B">
        <w:rPr>
          <w:bdr w:val="none" w:sz="0" w:space="0" w:color="auto" w:frame="1"/>
        </w:rPr>
        <w:t>Encarrega</w:t>
      </w:r>
      <w:proofErr w:type="gramEnd"/>
      <w:r w:rsidRPr="00B74F3B">
        <w:rPr>
          <w:bdr w:val="none" w:sz="0" w:space="0" w:color="auto" w:frame="1"/>
        </w:rPr>
        <w:t xml:space="preserve"> a sua Presidente de assinar a decisão em referência, juntamente com o Presidente do Conselho, e de prover à respetiva publicação no </w:t>
      </w:r>
      <w:r w:rsidRPr="00B74F3B">
        <w:rPr>
          <w:i/>
          <w:iCs/>
          <w:bdr w:val="none" w:sz="0" w:space="0" w:color="auto" w:frame="1"/>
        </w:rPr>
        <w:t>Jornal Oficial da União Europeia</w:t>
      </w:r>
      <w:r w:rsidRPr="00B74F3B">
        <w:rPr>
          <w:bdr w:val="none" w:sz="0" w:space="0" w:color="auto" w:frame="1"/>
        </w:rPr>
        <w:t>;</w:t>
      </w:r>
    </w:p>
    <w:p w14:paraId="3E2160CF" w14:textId="77777777" w:rsidR="00D75C9B" w:rsidRPr="00B74F3B" w:rsidRDefault="00D75C9B" w:rsidP="00D75C9B">
      <w:pPr>
        <w:spacing w:after="240"/>
        <w:ind w:left="567" w:hanging="567"/>
        <w:rPr>
          <w:noProof/>
        </w:rPr>
      </w:pPr>
      <w:proofErr w:type="gramStart"/>
      <w:r w:rsidRPr="00B74F3B">
        <w:rPr>
          <w:bdr w:val="none" w:sz="0" w:space="0" w:color="auto" w:frame="1"/>
        </w:rPr>
        <w:t>9.</w:t>
      </w:r>
      <w:r w:rsidRPr="00B74F3B">
        <w:rPr>
          <w:bdr w:val="none" w:sz="0" w:space="0" w:color="auto" w:frame="1"/>
        </w:rPr>
        <w:tab/>
        <w:t>Encarrega</w:t>
      </w:r>
      <w:proofErr w:type="gramEnd"/>
      <w:r w:rsidRPr="00B74F3B">
        <w:rPr>
          <w:bdr w:val="none" w:sz="0" w:space="0" w:color="auto" w:frame="1"/>
        </w:rPr>
        <w:t xml:space="preserve"> a sua Presidente de transmitir a presente resolução e o respetivo anexo ao Conselho e à Comissão.</w:t>
      </w:r>
    </w:p>
    <w:p w14:paraId="218BB261" w14:textId="77777777" w:rsidR="00D75C9B" w:rsidRPr="00B74F3B" w:rsidRDefault="00D75C9B" w:rsidP="00D75C9B">
      <w:pPr>
        <w:rPr>
          <w:noProof/>
        </w:rPr>
      </w:pPr>
    </w:p>
    <w:p w14:paraId="0746EA2A" w14:textId="77777777" w:rsidR="00D75C9B" w:rsidRPr="00B74F3B" w:rsidRDefault="00D75C9B" w:rsidP="00D75C9B">
      <w:pPr>
        <w:pStyle w:val="PageHeading"/>
        <w:rPr>
          <w:noProof/>
        </w:rPr>
        <w:sectPr w:rsidR="00D75C9B" w:rsidRPr="00B74F3B" w:rsidSect="00C8094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1B2A2A2" w14:textId="77777777" w:rsidR="00C67890" w:rsidRDefault="00C67890" w:rsidP="00D75C9B">
      <w:pPr>
        <w:pStyle w:val="PageHeading"/>
        <w:rPr>
          <w:rFonts w:ascii="Times New Roman" w:hAnsi="Times New Roman" w:cs="Times New Roman"/>
        </w:rPr>
      </w:pPr>
      <w:bookmarkStart w:id="9" w:name="_Toc164417035"/>
      <w:r>
        <w:rPr>
          <w:rFonts w:ascii="Times New Roman" w:hAnsi="Times New Roman" w:cs="Times New Roman"/>
        </w:rPr>
        <w:lastRenderedPageBreak/>
        <w:t>ANEXO</w:t>
      </w:r>
    </w:p>
    <w:p w14:paraId="46920634" w14:textId="405CC306" w:rsidR="00D75C9B" w:rsidRPr="00C67890" w:rsidRDefault="00D75C9B" w:rsidP="00D75C9B">
      <w:pPr>
        <w:pStyle w:val="PageHeading"/>
        <w:rPr>
          <w:rFonts w:ascii="Times New Roman" w:hAnsi="Times New Roman" w:cs="Times New Roman"/>
          <w:noProof/>
        </w:rPr>
      </w:pPr>
      <w:r w:rsidRPr="00C67890">
        <w:rPr>
          <w:rFonts w:ascii="Times New Roman" w:hAnsi="Times New Roman" w:cs="Times New Roman"/>
        </w:rPr>
        <w:t>DECISÃO DO PARLAMENTO EUROPEU E DO CONSELHO</w:t>
      </w:r>
      <w:bookmarkEnd w:id="9"/>
    </w:p>
    <w:p w14:paraId="6B04D487" w14:textId="45CAD41C" w:rsidR="00D75C9B" w:rsidRDefault="00D75C9B" w:rsidP="00D75C9B">
      <w:pPr>
        <w:pStyle w:val="Titreobjet"/>
      </w:pPr>
      <w:r w:rsidRPr="00B74F3B">
        <w:t>relativa à mobilização do Fundo Europeu de Ajustamento à Globalização a favor dos Trabalhadores De</w:t>
      </w:r>
      <w:r w:rsidR="00C67890">
        <w:t xml:space="preserve">spedidos (EGF/2024/000 </w:t>
      </w:r>
      <w:proofErr w:type="gramStart"/>
      <w:r w:rsidR="00C67890">
        <w:t>TA</w:t>
      </w:r>
      <w:proofErr w:type="gramEnd"/>
      <w:r w:rsidR="00C67890">
        <w:t xml:space="preserve"> 2024 –</w:t>
      </w:r>
      <w:r w:rsidRPr="00B74F3B">
        <w:t xml:space="preserve"> Assistência técnica por iniciativa da Comissão)</w:t>
      </w:r>
    </w:p>
    <w:p w14:paraId="4EE8EDDA" w14:textId="769295B9" w:rsidR="00C67890" w:rsidRPr="00C67890" w:rsidRDefault="00C67890" w:rsidP="00C67890">
      <w:pPr>
        <w:rPr>
          <w:i/>
          <w:lang w:eastAsia="en-US"/>
        </w:rPr>
      </w:pPr>
      <w:r w:rsidRPr="00C67890">
        <w:rPr>
          <w:i/>
          <w:lang w:eastAsia="en-US"/>
        </w:rPr>
        <w:t>(O texto deste anexo não é aqui reproduzido dado que corresponde ao ato final, Decisão (UE) 2024/1300.)</w:t>
      </w:r>
    </w:p>
    <w:sectPr w:rsidR="00C67890" w:rsidRPr="00C67890" w:rsidSect="00C8094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8FBA9A" w14:textId="77777777" w:rsidR="00605EE7" w:rsidRPr="00C80946" w:rsidRDefault="00605EE7">
      <w:r w:rsidRPr="00C80946">
        <w:separator/>
      </w:r>
    </w:p>
  </w:endnote>
  <w:endnote w:type="continuationSeparator" w:id="0">
    <w:p w14:paraId="26D30535" w14:textId="77777777" w:rsidR="00605EE7" w:rsidRPr="00C80946" w:rsidRDefault="00605EE7">
      <w:r w:rsidRPr="00C8094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F35747" w14:textId="77777777" w:rsidR="00D75C9B" w:rsidRPr="00C80946" w:rsidRDefault="00D75C9B" w:rsidP="00324A9D">
    <w:pPr>
      <w:pStyle w:val="EPFooter"/>
    </w:pPr>
    <w:r w:rsidRPr="00C80946">
      <w:t>PE</w:t>
    </w:r>
    <w:r w:rsidRPr="00C80946">
      <w:rPr>
        <w:rStyle w:val="HideTWBExt"/>
      </w:rPr>
      <w:t>&lt;</w:t>
    </w:r>
    <w:proofErr w:type="spellStart"/>
    <w:r w:rsidRPr="00C80946">
      <w:rPr>
        <w:rStyle w:val="HideTWBExt"/>
      </w:rPr>
      <w:t>NoPE</w:t>
    </w:r>
    <w:proofErr w:type="spellEnd"/>
    <w:r w:rsidRPr="00C80946">
      <w:rPr>
        <w:rStyle w:val="HideTWBExt"/>
      </w:rPr>
      <w:t>&gt;</w:t>
    </w:r>
    <w:r w:rsidRPr="00C80946">
      <w:t>759.750</w:t>
    </w:r>
    <w:r w:rsidRPr="00C80946">
      <w:rPr>
        <w:rStyle w:val="HideTWBExt"/>
      </w:rPr>
      <w:t>&lt;/</w:t>
    </w:r>
    <w:proofErr w:type="spellStart"/>
    <w:r w:rsidRPr="00C80946">
      <w:rPr>
        <w:rStyle w:val="HideTWBExt"/>
      </w:rPr>
      <w:t>NoPE</w:t>
    </w:r>
    <w:proofErr w:type="spellEnd"/>
    <w:r w:rsidRPr="00C80946">
      <w:rPr>
        <w:rStyle w:val="HideTWBExt"/>
      </w:rPr>
      <w:t>&gt;&lt;Version&gt;</w:t>
    </w:r>
    <w:r w:rsidRPr="00C80946">
      <w:t>v02</w:t>
    </w:r>
    <w:r w:rsidRPr="00C80946">
      <w:noBreakHyphen/>
      <w:t>00</w:t>
    </w:r>
    <w:r w:rsidRPr="00C80946">
      <w:rPr>
        <w:rStyle w:val="HideTWBExt"/>
      </w:rPr>
      <w:t>&lt;/</w:t>
    </w:r>
    <w:proofErr w:type="spellStart"/>
    <w:r w:rsidRPr="00C80946">
      <w:rPr>
        <w:rStyle w:val="HideTWBExt"/>
      </w:rPr>
      <w:t>Version</w:t>
    </w:r>
    <w:proofErr w:type="spellEnd"/>
    <w:r w:rsidRPr="00C80946">
      <w:rPr>
        <w:rStyle w:val="HideTWBExt"/>
      </w:rPr>
      <w:t>&gt;</w:t>
    </w:r>
    <w:r w:rsidRPr="00C80946">
      <w:tab/>
    </w:r>
    <w:r w:rsidRPr="00C80946">
      <w:fldChar w:fldCharType="begin"/>
    </w:r>
    <w:r w:rsidRPr="00C80946">
      <w:instrText xml:space="preserve"> PAGE  \* MERGEFORMAT </w:instrText>
    </w:r>
    <w:r w:rsidRPr="00C80946">
      <w:fldChar w:fldCharType="separate"/>
    </w:r>
    <w:r w:rsidRPr="00C80946">
      <w:rPr>
        <w:noProof/>
      </w:rPr>
      <w:t>4</w:t>
    </w:r>
    <w:r w:rsidRPr="00C80946">
      <w:fldChar w:fldCharType="end"/>
    </w:r>
    <w:r w:rsidRPr="00C80946">
      <w:t>/</w:t>
    </w:r>
    <w:fldSimple w:instr=" NUMPAGES  \* MERGEFORMAT ">
      <w:r w:rsidRPr="00C80946">
        <w:rPr>
          <w:noProof/>
        </w:rPr>
        <w:t>4</w:t>
      </w:r>
    </w:fldSimple>
    <w:r w:rsidRPr="00C80946">
      <w:tab/>
    </w:r>
    <w:r w:rsidRPr="00C80946">
      <w:rPr>
        <w:rStyle w:val="HideTWBExt"/>
      </w:rPr>
      <w:t>&lt;PathFdR&gt;</w:t>
    </w:r>
    <w:r w:rsidRPr="00C80946">
      <w:t>RR\1300716PT.docx</w:t>
    </w:r>
    <w:r w:rsidRPr="00C80946">
      <w:rPr>
        <w:rStyle w:val="HideTWBExt"/>
      </w:rPr>
      <w:t>&lt;/</w:t>
    </w:r>
    <w:proofErr w:type="spellStart"/>
    <w:r w:rsidRPr="00C80946">
      <w:rPr>
        <w:rStyle w:val="HideTWBExt"/>
      </w:rPr>
      <w:t>PathFdR</w:t>
    </w:r>
    <w:proofErr w:type="spellEnd"/>
    <w:r w:rsidRPr="00C80946">
      <w:rPr>
        <w:rStyle w:val="HideTWBExt"/>
      </w:rPr>
      <w:t>&gt;</w:t>
    </w:r>
  </w:p>
  <w:p w14:paraId="13684332" w14:textId="77777777" w:rsidR="00D75C9B" w:rsidRPr="00C80946" w:rsidRDefault="00D75C9B" w:rsidP="00324A9D">
    <w:pPr>
      <w:pStyle w:val="EPFooter2"/>
    </w:pPr>
    <w:r w:rsidRPr="00C80946">
      <w:t>PT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DB4FD7" w14:textId="77777777" w:rsidR="00D75C9B" w:rsidRPr="000A1458" w:rsidRDefault="00D75C9B" w:rsidP="000A1458">
    <w:pPr>
      <w:pStyle w:val="EPFooter2"/>
      <w:ind w:left="0"/>
      <w:rPr>
        <w:rFonts w:ascii="Times New Roman" w:hAnsi="Times New Roman" w:cs="Times New Roman"/>
        <w:b w:val="0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BAAB4" w14:textId="77777777" w:rsidR="00D75C9B" w:rsidRPr="00C80946" w:rsidRDefault="00D75C9B" w:rsidP="00324A9D">
    <w:pPr>
      <w:pStyle w:val="EPFooter"/>
    </w:pPr>
    <w:r w:rsidRPr="00C80946">
      <w:rPr>
        <w:rStyle w:val="HideTWBExt"/>
      </w:rPr>
      <w:t>&lt;PathFdR&gt;</w:t>
    </w:r>
    <w:r w:rsidRPr="00C80946">
      <w:t>RR\1300716PT.docx</w:t>
    </w:r>
    <w:r w:rsidRPr="00C80946">
      <w:rPr>
        <w:rStyle w:val="HideTWBExt"/>
      </w:rPr>
      <w:t>&lt;/</w:t>
    </w:r>
    <w:proofErr w:type="spellStart"/>
    <w:r w:rsidRPr="00C80946">
      <w:rPr>
        <w:rStyle w:val="HideTWBExt"/>
      </w:rPr>
      <w:t>PathFdR</w:t>
    </w:r>
    <w:proofErr w:type="spellEnd"/>
    <w:r w:rsidRPr="00C80946">
      <w:rPr>
        <w:rStyle w:val="HideTWBExt"/>
      </w:rPr>
      <w:t>&gt;</w:t>
    </w:r>
    <w:r w:rsidRPr="00C80946">
      <w:tab/>
    </w:r>
    <w:r w:rsidRPr="00C80946">
      <w:tab/>
      <w:t>PE</w:t>
    </w:r>
    <w:r w:rsidRPr="00C80946">
      <w:rPr>
        <w:rStyle w:val="HideTWBExt"/>
      </w:rPr>
      <w:t>&lt;</w:t>
    </w:r>
    <w:proofErr w:type="spellStart"/>
    <w:r w:rsidRPr="00C80946">
      <w:rPr>
        <w:rStyle w:val="HideTWBExt"/>
      </w:rPr>
      <w:t>NoPE</w:t>
    </w:r>
    <w:proofErr w:type="spellEnd"/>
    <w:r w:rsidRPr="00C80946">
      <w:rPr>
        <w:rStyle w:val="HideTWBExt"/>
      </w:rPr>
      <w:t>&gt;</w:t>
    </w:r>
    <w:r w:rsidRPr="00C80946">
      <w:t>759.750</w:t>
    </w:r>
    <w:r w:rsidRPr="00C80946">
      <w:rPr>
        <w:rStyle w:val="HideTWBExt"/>
      </w:rPr>
      <w:t>&lt;/</w:t>
    </w:r>
    <w:proofErr w:type="spellStart"/>
    <w:r w:rsidRPr="00C80946">
      <w:rPr>
        <w:rStyle w:val="HideTWBExt"/>
      </w:rPr>
      <w:t>NoPE</w:t>
    </w:r>
    <w:proofErr w:type="spellEnd"/>
    <w:r w:rsidRPr="00C80946">
      <w:rPr>
        <w:rStyle w:val="HideTWBExt"/>
      </w:rPr>
      <w:t>&gt;&lt;Version&gt;</w:t>
    </w:r>
    <w:r w:rsidRPr="00C80946">
      <w:t>v02</w:t>
    </w:r>
    <w:r w:rsidRPr="00C80946">
      <w:noBreakHyphen/>
      <w:t>00</w:t>
    </w:r>
    <w:r w:rsidRPr="00C80946">
      <w:rPr>
        <w:rStyle w:val="HideTWBExt"/>
      </w:rPr>
      <w:t>&lt;/</w:t>
    </w:r>
    <w:proofErr w:type="spellStart"/>
    <w:r w:rsidRPr="00C80946">
      <w:rPr>
        <w:rStyle w:val="HideTWBExt"/>
      </w:rPr>
      <w:t>Version</w:t>
    </w:r>
    <w:proofErr w:type="spellEnd"/>
    <w:r w:rsidRPr="00C80946">
      <w:rPr>
        <w:rStyle w:val="HideTWBExt"/>
      </w:rPr>
      <w:t>&gt;</w:t>
    </w:r>
  </w:p>
  <w:p w14:paraId="59F09D2C" w14:textId="77777777" w:rsidR="00D75C9B" w:rsidRPr="00C80946" w:rsidRDefault="00D75C9B" w:rsidP="00324A9D">
    <w:pPr>
      <w:pStyle w:val="EPFooter2"/>
    </w:pPr>
    <w:r w:rsidRPr="00C80946">
      <w:t>PT</w:t>
    </w:r>
    <w:r w:rsidRPr="00C80946">
      <w:tab/>
    </w:r>
    <w:r w:rsidRPr="00C80946">
      <w:rPr>
        <w:b w:val="0"/>
        <w:i/>
        <w:color w:val="C0C0C0"/>
        <w:sz w:val="22"/>
      </w:rPr>
      <w:t>Unida na diversidade</w:t>
    </w:r>
    <w:r w:rsidRPr="00C80946">
      <w:tab/>
      <w:t>PT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C6B94" w14:textId="77777777" w:rsidR="00064002" w:rsidRPr="00C80946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2D014" w14:textId="77777777" w:rsidR="00064002" w:rsidRPr="00C80946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8E9C5A" w14:textId="77777777" w:rsidR="00064002" w:rsidRPr="00C8094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CEA927" w14:textId="77777777" w:rsidR="00605EE7" w:rsidRPr="00C80946" w:rsidRDefault="00605EE7">
      <w:r w:rsidRPr="00C80946">
        <w:separator/>
      </w:r>
    </w:p>
  </w:footnote>
  <w:footnote w:type="continuationSeparator" w:id="0">
    <w:p w14:paraId="78F511C4" w14:textId="77777777" w:rsidR="00605EE7" w:rsidRPr="00C80946" w:rsidRDefault="00605EE7">
      <w:r w:rsidRPr="00C80946">
        <w:continuationSeparator/>
      </w:r>
    </w:p>
  </w:footnote>
  <w:footnote w:id="1">
    <w:p w14:paraId="1F6F74EE" w14:textId="77777777" w:rsidR="00D75C9B" w:rsidRPr="00B74F3B" w:rsidRDefault="00D75C9B" w:rsidP="00C80946">
      <w:pPr>
        <w:pStyle w:val="FootnoteText"/>
        <w:ind w:left="567" w:hanging="567"/>
        <w:rPr>
          <w:sz w:val="24"/>
          <w:lang w:val="da-DK"/>
        </w:rPr>
      </w:pPr>
      <w:r w:rsidRPr="00C80946">
        <w:rPr>
          <w:rStyle w:val="FootnoteReference"/>
          <w:sz w:val="24"/>
          <w:lang w:val="pt-PT"/>
        </w:rPr>
        <w:footnoteRef/>
      </w:r>
      <w:r w:rsidR="00C80946" w:rsidRPr="00B74F3B">
        <w:rPr>
          <w:sz w:val="24"/>
          <w:lang w:val="da-DK"/>
        </w:rPr>
        <w:t xml:space="preserve"> </w:t>
      </w:r>
      <w:r w:rsidR="00C80946" w:rsidRPr="00B74F3B">
        <w:rPr>
          <w:sz w:val="24"/>
          <w:lang w:val="da-DK"/>
        </w:rPr>
        <w:tab/>
      </w:r>
      <w:r w:rsidRPr="00B74F3B">
        <w:rPr>
          <w:sz w:val="24"/>
          <w:lang w:val="da-DK"/>
        </w:rPr>
        <w:t>JO L 153 de 3.5.2021, p. 48.</w:t>
      </w:r>
    </w:p>
  </w:footnote>
  <w:footnote w:id="2">
    <w:p w14:paraId="11E58FE0" w14:textId="79B726E4" w:rsidR="00D75C9B" w:rsidRPr="00B74F3B" w:rsidRDefault="00D75C9B" w:rsidP="00C80946">
      <w:pPr>
        <w:pStyle w:val="FootnoteText"/>
        <w:ind w:left="567" w:hanging="567"/>
        <w:rPr>
          <w:sz w:val="24"/>
          <w:lang w:val="da-DK"/>
        </w:rPr>
      </w:pPr>
      <w:r w:rsidRPr="00C80946">
        <w:rPr>
          <w:rStyle w:val="FootnoteReference"/>
          <w:sz w:val="24"/>
          <w:lang w:val="pt-PT"/>
        </w:rPr>
        <w:footnoteRef/>
      </w:r>
      <w:r w:rsidR="00C80946" w:rsidRPr="00B74F3B">
        <w:rPr>
          <w:sz w:val="24"/>
          <w:lang w:val="da-DK"/>
        </w:rPr>
        <w:t xml:space="preserve"> </w:t>
      </w:r>
      <w:r w:rsidR="00C80946" w:rsidRPr="00B74F3B">
        <w:rPr>
          <w:sz w:val="24"/>
          <w:lang w:val="da-DK"/>
        </w:rPr>
        <w:tab/>
      </w:r>
      <w:r w:rsidRPr="00B74F3B">
        <w:rPr>
          <w:sz w:val="24"/>
          <w:lang w:val="da-DK"/>
        </w:rPr>
        <w:t xml:space="preserve">JO L 433 </w:t>
      </w:r>
      <w:r w:rsidR="009F3946">
        <w:rPr>
          <w:sz w:val="24"/>
          <w:lang w:val="da-DK"/>
        </w:rPr>
        <w:t xml:space="preserve">I </w:t>
      </w:r>
      <w:bookmarkStart w:id="8" w:name="_GoBack"/>
      <w:bookmarkEnd w:id="8"/>
      <w:r w:rsidRPr="00B74F3B">
        <w:rPr>
          <w:sz w:val="24"/>
          <w:lang w:val="da-DK"/>
        </w:rPr>
        <w:t>de 22.12.2020, p. 11.</w:t>
      </w:r>
    </w:p>
  </w:footnote>
  <w:footnote w:id="3">
    <w:p w14:paraId="2ECD4DCE" w14:textId="1EB214B9" w:rsidR="00D75C9B" w:rsidRPr="00C80946" w:rsidRDefault="00D75C9B" w:rsidP="00C80946">
      <w:pPr>
        <w:pStyle w:val="FootnoteText"/>
        <w:ind w:left="567" w:hanging="567"/>
        <w:rPr>
          <w:sz w:val="24"/>
          <w:lang w:val="pt-PT"/>
        </w:rPr>
      </w:pPr>
      <w:r w:rsidRPr="00C80946">
        <w:rPr>
          <w:rStyle w:val="FootnoteReference"/>
          <w:sz w:val="24"/>
          <w:lang w:val="pt-PT"/>
        </w:rPr>
        <w:footnoteRef/>
      </w:r>
      <w:r w:rsidR="00C80946" w:rsidRPr="00C80946">
        <w:rPr>
          <w:color w:val="333333"/>
          <w:sz w:val="24"/>
          <w:shd w:val="clear" w:color="auto" w:fill="FFFFFF"/>
          <w:lang w:val="pt-PT"/>
        </w:rPr>
        <w:t xml:space="preserve"> </w:t>
      </w:r>
      <w:r w:rsidR="00C80946" w:rsidRPr="00C80946">
        <w:rPr>
          <w:color w:val="333333"/>
          <w:sz w:val="24"/>
          <w:shd w:val="clear" w:color="auto" w:fill="FFFFFF"/>
          <w:lang w:val="pt-PT"/>
        </w:rPr>
        <w:tab/>
      </w:r>
      <w:r w:rsidRPr="00B74F3B">
        <w:rPr>
          <w:sz w:val="24"/>
          <w:shd w:val="clear" w:color="auto" w:fill="FFFFFF"/>
          <w:lang w:val="pt-PT"/>
        </w:rPr>
        <w:t>Regulamento (UE, Euratom) 2024/765 do Conselho, de 29 de fevereiro de 2024, que altera o Regulamento (UE, Euratom) 2020/2093 que estabelece o quadro financeiro plurianual para o período de 2021 a 2027</w:t>
      </w:r>
      <w:r w:rsidRPr="00C526F4">
        <w:rPr>
          <w:sz w:val="24"/>
          <w:lang w:val="pt-PT"/>
        </w:rPr>
        <w:t xml:space="preserve"> (JO L, 2024/765, 29.2.2024, </w:t>
      </w:r>
      <w:r w:rsidRPr="00B74F3B">
        <w:rPr>
          <w:rStyle w:val="Emphasis"/>
          <w:i w:val="0"/>
          <w:sz w:val="24"/>
          <w:shd w:val="clear" w:color="auto" w:fill="FFFFFF"/>
          <w:lang w:val="pt-PT"/>
        </w:rPr>
        <w:t xml:space="preserve">ELI: </w:t>
      </w:r>
      <w:hyperlink r:id="rId1" w:history="1">
        <w:r w:rsidRPr="00B74F3B">
          <w:rPr>
            <w:rStyle w:val="Hyperlink"/>
            <w:lang w:val="pt-PT"/>
          </w:rPr>
          <w:t>http://data.europa.eu/eli/reg/2024/765/oj</w:t>
        </w:r>
      </w:hyperlink>
      <w:r w:rsidRPr="00C526F4">
        <w:rPr>
          <w:sz w:val="24"/>
          <w:lang w:val="pt-PT"/>
        </w:rPr>
        <w:t>).</w:t>
      </w:r>
    </w:p>
  </w:footnote>
  <w:footnote w:id="4">
    <w:p w14:paraId="152EB1FA" w14:textId="77777777" w:rsidR="00D75C9B" w:rsidRPr="00B74F3B" w:rsidRDefault="00D75C9B" w:rsidP="00C80946">
      <w:pPr>
        <w:pStyle w:val="FootnoteText"/>
        <w:ind w:left="567" w:hanging="567"/>
        <w:rPr>
          <w:sz w:val="24"/>
          <w:lang w:val="da-DK"/>
        </w:rPr>
      </w:pPr>
      <w:r w:rsidRPr="00C80946">
        <w:rPr>
          <w:rStyle w:val="FootnoteReference"/>
          <w:sz w:val="24"/>
          <w:lang w:val="pt-PT"/>
        </w:rPr>
        <w:footnoteRef/>
      </w:r>
      <w:r w:rsidR="00C80946" w:rsidRPr="00B74F3B">
        <w:rPr>
          <w:sz w:val="24"/>
          <w:lang w:val="da-DK"/>
        </w:rPr>
        <w:t xml:space="preserve"> </w:t>
      </w:r>
      <w:r w:rsidR="00C80946" w:rsidRPr="00B74F3B">
        <w:rPr>
          <w:sz w:val="24"/>
          <w:lang w:val="da-DK"/>
        </w:rPr>
        <w:tab/>
      </w:r>
      <w:r w:rsidRPr="00B74F3B">
        <w:rPr>
          <w:sz w:val="24"/>
          <w:lang w:val="da-DK"/>
        </w:rPr>
        <w:t>JO L 433 I de 22.12.2020, p. 28.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E0D93D" w14:textId="77777777" w:rsidR="00D75C9B" w:rsidRPr="00C80946" w:rsidRDefault="00D75C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C3239C" w14:textId="77777777" w:rsidR="00D75C9B" w:rsidRPr="00C80946" w:rsidRDefault="00D75C9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A3C2C0" w14:textId="77777777" w:rsidR="00D75C9B" w:rsidRPr="00C80946" w:rsidRDefault="00D75C9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131F9C" w14:textId="77777777" w:rsidR="00064002" w:rsidRPr="00C80946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44EDD9" w14:textId="77777777" w:rsidR="00064002" w:rsidRPr="00C80946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987280" w14:textId="77777777" w:rsidR="00064002" w:rsidRPr="00C8094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3/2024"/>
    <w:docVar w:name="dvlangue" w:val="PT"/>
    <w:docVar w:name="dvnumam" w:val="0"/>
    <w:docVar w:name="dvpe" w:val="759.750"/>
    <w:docVar w:name="dvrapporteur" w:val="Relatora: "/>
    <w:docVar w:name="dvtitre" w:val="Resolução do Parlamento Europeu, de ... de ... de 2024, sobre a proposta de decisão do Parlamento Europeu e do Conselho relativa à mobilização do Fundo Europeu de Ajustamento à Globalização a favor dos Trabalhadores Despedidos (EGF/2024/000 TA 2024 — Assistência técnica por iniciativa da Comissão)(COM(2024)0084 – C9-0042/2024 – 2024/0003(BUD))"/>
  </w:docVars>
  <w:rsids>
    <w:rsidRoot w:val="00605EE7"/>
    <w:rsid w:val="00002272"/>
    <w:rsid w:val="00064002"/>
    <w:rsid w:val="000677B9"/>
    <w:rsid w:val="000831BA"/>
    <w:rsid w:val="000A04AF"/>
    <w:rsid w:val="000A1458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1DC2"/>
    <w:rsid w:val="004C5D52"/>
    <w:rsid w:val="0050519A"/>
    <w:rsid w:val="005072A1"/>
    <w:rsid w:val="00514517"/>
    <w:rsid w:val="00545827"/>
    <w:rsid w:val="00560270"/>
    <w:rsid w:val="005953C1"/>
    <w:rsid w:val="005C2568"/>
    <w:rsid w:val="005D2B9F"/>
    <w:rsid w:val="006037C0"/>
    <w:rsid w:val="00605EE7"/>
    <w:rsid w:val="006631B6"/>
    <w:rsid w:val="00680577"/>
    <w:rsid w:val="006F74FA"/>
    <w:rsid w:val="0071383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488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3946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4F3B"/>
    <w:rsid w:val="00BD48FE"/>
    <w:rsid w:val="00BD7BD8"/>
    <w:rsid w:val="00BE6ADC"/>
    <w:rsid w:val="00C05BFE"/>
    <w:rsid w:val="00C23CD4"/>
    <w:rsid w:val="00C526F4"/>
    <w:rsid w:val="00C61C0C"/>
    <w:rsid w:val="00C67890"/>
    <w:rsid w:val="00C80946"/>
    <w:rsid w:val="00C941CB"/>
    <w:rsid w:val="00CC2357"/>
    <w:rsid w:val="00CF071A"/>
    <w:rsid w:val="00D058B8"/>
    <w:rsid w:val="00D5618A"/>
    <w:rsid w:val="00D56C11"/>
    <w:rsid w:val="00D75C9B"/>
    <w:rsid w:val="00D834A0"/>
    <w:rsid w:val="00D872DF"/>
    <w:rsid w:val="00D91E21"/>
    <w:rsid w:val="00DA7FCD"/>
    <w:rsid w:val="00E365E1"/>
    <w:rsid w:val="00E424B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E80"/>
    <w:rsid w:val="00F74202"/>
    <w:rsid w:val="00F87713"/>
    <w:rsid w:val="00F9761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05B5D5"/>
  <w15:chartTrackingRefBased/>
  <w15:docId w15:val="{311E4F44-8057-4EBD-A9CC-5F08E196E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Footnote,Footnote Reference Number,Footnote Reference Superscript,Footnote Reference_LVL6,Footnote Reference_LVL61,Footnote Reference_LVL62,Footnote Reference_LVL63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D75C9B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D75C9B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D75C9B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D75C9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D75C9B"/>
    <w:rPr>
      <w:sz w:val="24"/>
      <w:lang w:val="pt-PT"/>
    </w:rPr>
  </w:style>
  <w:style w:type="paragraph" w:customStyle="1" w:styleId="EPFooter">
    <w:name w:val="EPFooter"/>
    <w:basedOn w:val="Normal"/>
    <w:rsid w:val="00D75C9B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D75C9B"/>
    <w:pPr>
      <w:spacing w:before="480" w:after="240"/>
    </w:pPr>
  </w:style>
  <w:style w:type="paragraph" w:customStyle="1" w:styleId="Institutionquiagit">
    <w:name w:val="Institution qui agit"/>
    <w:basedOn w:val="Normal"/>
    <w:next w:val="Normal"/>
    <w:rsid w:val="00D75C9B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75C9B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75C9B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75C9B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75C9B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75C9B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D75C9B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D75C9B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D75C9B"/>
    <w:rPr>
      <w:i/>
      <w:iCs/>
    </w:rPr>
  </w:style>
  <w:style w:type="character" w:styleId="CommentReference">
    <w:name w:val="annotation reference"/>
    <w:basedOn w:val="DefaultParagraphFont"/>
    <w:rsid w:val="00F54E80"/>
    <w:rPr>
      <w:sz w:val="16"/>
      <w:szCs w:val="16"/>
    </w:rPr>
  </w:style>
  <w:style w:type="paragraph" w:styleId="CommentText">
    <w:name w:val="annotation text"/>
    <w:basedOn w:val="Normal"/>
    <w:link w:val="CommentTextChar"/>
    <w:rsid w:val="00F54E8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54E80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F54E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54E80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F54E8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54E80"/>
    <w:rPr>
      <w:rFonts w:ascii="Segoe UI" w:hAnsi="Segoe UI" w:cs="Segoe UI"/>
      <w:sz w:val="18"/>
      <w:szCs w:val="18"/>
      <w:lang w:val="pt-PT"/>
    </w:rPr>
  </w:style>
  <w:style w:type="character" w:styleId="Hyperlink">
    <w:name w:val="Hyperlink"/>
    <w:basedOn w:val="DefaultParagraphFont"/>
    <w:rsid w:val="00F54E8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5618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76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DF135B-BD4F-4D48-88A1-2FEAEC46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1180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MARTINSIsabelAlex</cp:lastModifiedBy>
  <cp:revision>2</cp:revision>
  <cp:lastPrinted>2004-11-19T15:42:00Z</cp:lastPrinted>
  <dcterms:created xsi:type="dcterms:W3CDTF">2024-09-25T08:40:00Z</dcterms:created>
  <dcterms:modified xsi:type="dcterms:W3CDTF">2024-09-25T08:40:00Z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P9_TA(2024)0334_</vt:lpwstr>
  </property>
  <property fmtid="{D5CDD505-2E9C-101B-9397-08002B2CF9AE}" pid="4" name="&lt;Type&gt;">
    <vt:lpwstr>RR</vt:lpwstr>
  </property>
</Properties>
</file>