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7683A" w14:paraId="0A6725E3" w14:textId="77777777" w:rsidTr="0010095E">
        <w:trPr>
          <w:trHeight w:hRule="exact" w:val="1418"/>
        </w:trPr>
        <w:tc>
          <w:tcPr>
            <w:tcW w:w="6804" w:type="dxa"/>
            <w:shd w:val="clear" w:color="auto" w:fill="auto"/>
            <w:vAlign w:val="center"/>
          </w:tcPr>
          <w:p w14:paraId="3FA819B9" w14:textId="77777777" w:rsidR="00751A4A" w:rsidRPr="00A7683A" w:rsidRDefault="00971CB9" w:rsidP="0010095E">
            <w:pPr>
              <w:pStyle w:val="EPName"/>
            </w:pPr>
            <w:r w:rsidRPr="00A7683A">
              <w:t>Parlamentul European</w:t>
            </w:r>
          </w:p>
          <w:p w14:paraId="2EEFB768" w14:textId="77777777" w:rsidR="00751A4A" w:rsidRPr="00A7683A" w:rsidRDefault="00817416" w:rsidP="00756632">
            <w:pPr>
              <w:pStyle w:val="EPTerm"/>
              <w:rPr>
                <w:rStyle w:val="HideTWBExt"/>
                <w:noProof w:val="0"/>
                <w:vanish w:val="0"/>
                <w:color w:val="auto"/>
              </w:rPr>
            </w:pPr>
            <w:r w:rsidRPr="00A7683A">
              <w:t>2019-2024</w:t>
            </w:r>
          </w:p>
        </w:tc>
        <w:tc>
          <w:tcPr>
            <w:tcW w:w="2268" w:type="dxa"/>
            <w:shd w:val="clear" w:color="auto" w:fill="auto"/>
          </w:tcPr>
          <w:p w14:paraId="3D5BEB85" w14:textId="77777777" w:rsidR="00751A4A" w:rsidRPr="00A7683A" w:rsidRDefault="00187494" w:rsidP="0010095E">
            <w:pPr>
              <w:pStyle w:val="EPLogo"/>
            </w:pPr>
            <w:r w:rsidRPr="00A7683A">
              <w:rPr>
                <w:noProof/>
                <w:lang w:val="en-GB"/>
              </w:rPr>
              <w:drawing>
                <wp:inline distT="0" distB="0" distL="0" distR="0" wp14:anchorId="620C5534" wp14:editId="0E2D94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251D67" w14:textId="77777777" w:rsidR="00D058B8" w:rsidRPr="00A7683A" w:rsidRDefault="00D058B8" w:rsidP="004C5D52">
      <w:pPr>
        <w:pStyle w:val="LineTop"/>
      </w:pPr>
    </w:p>
    <w:p w14:paraId="54E5CB23" w14:textId="77777777" w:rsidR="00680577" w:rsidRPr="00A7683A" w:rsidRDefault="00971CB9" w:rsidP="00680577">
      <w:pPr>
        <w:pStyle w:val="EPBodyTA1"/>
      </w:pPr>
      <w:r w:rsidRPr="00A7683A">
        <w:t>TEXTE ADOPTATE</w:t>
      </w:r>
    </w:p>
    <w:p w14:paraId="0EAEEBF0" w14:textId="77777777" w:rsidR="00D058B8" w:rsidRPr="00A7683A" w:rsidRDefault="00D058B8" w:rsidP="00D058B8">
      <w:pPr>
        <w:pStyle w:val="LineBottom"/>
      </w:pPr>
    </w:p>
    <w:p w14:paraId="679E1114" w14:textId="3AB53FAB" w:rsidR="00971CB9" w:rsidRPr="00A7683A" w:rsidRDefault="00971CB9" w:rsidP="00971CB9">
      <w:pPr>
        <w:pStyle w:val="ATHeading1"/>
      </w:pPr>
      <w:bookmarkStart w:id="0" w:name="TANumber"/>
      <w:r w:rsidRPr="00A7683A">
        <w:t>P9_TA(2024)0</w:t>
      </w:r>
      <w:bookmarkEnd w:id="0"/>
      <w:r w:rsidR="00A7683A" w:rsidRPr="00A7683A">
        <w:t>334</w:t>
      </w:r>
    </w:p>
    <w:p w14:paraId="360223A1" w14:textId="498009E8" w:rsidR="00971CB9" w:rsidRPr="00A7683A" w:rsidRDefault="00971CB9" w:rsidP="00971CB9">
      <w:pPr>
        <w:pStyle w:val="ATHeading2"/>
      </w:pPr>
      <w:bookmarkStart w:id="1" w:name="title"/>
      <w:r w:rsidRPr="00A7683A">
        <w:t xml:space="preserve">Mobilizarea Fondului european de ajustare la globalizare: Cererea EGF/2024/000 TA 2024 </w:t>
      </w:r>
      <w:r w:rsidR="00651E18">
        <w:rPr>
          <w:noProof/>
        </w:rPr>
        <w:t>–</w:t>
      </w:r>
      <w:r w:rsidR="00651E18" w:rsidRPr="0013142A">
        <w:rPr>
          <w:noProof/>
        </w:rPr>
        <w:t xml:space="preserve"> </w:t>
      </w:r>
      <w:r w:rsidRPr="00A7683A">
        <w:t>Asistență tehnică la inițiativa Comisiei</w:t>
      </w:r>
      <w:bookmarkEnd w:id="1"/>
    </w:p>
    <w:p w14:paraId="0B1D9888" w14:textId="77777777" w:rsidR="00971CB9" w:rsidRPr="00A7683A" w:rsidRDefault="00971CB9" w:rsidP="00971CB9">
      <w:pPr>
        <w:rPr>
          <w:i/>
          <w:vanish/>
        </w:rPr>
      </w:pPr>
      <w:r w:rsidRPr="00A7683A">
        <w:rPr>
          <w:i/>
        </w:rPr>
        <w:fldChar w:fldCharType="begin"/>
      </w:r>
      <w:r w:rsidRPr="00A7683A">
        <w:rPr>
          <w:i/>
        </w:rPr>
        <w:instrText xml:space="preserve"> TC"(</w:instrText>
      </w:r>
      <w:bookmarkStart w:id="2" w:name="DocNumber"/>
      <w:r w:rsidRPr="00A7683A">
        <w:rPr>
          <w:i/>
        </w:rPr>
        <w:instrText>A9-0173/2024</w:instrText>
      </w:r>
      <w:bookmarkEnd w:id="2"/>
      <w:r w:rsidRPr="00A7683A">
        <w:rPr>
          <w:i/>
        </w:rPr>
        <w:instrText xml:space="preserve"> - Raportoare: Margarida Marques)"\l3 \n&gt; \* MERGEFORMAT </w:instrText>
      </w:r>
      <w:r w:rsidRPr="00A7683A">
        <w:rPr>
          <w:i/>
        </w:rPr>
        <w:fldChar w:fldCharType="end"/>
      </w:r>
    </w:p>
    <w:p w14:paraId="09713FFF" w14:textId="77777777" w:rsidR="00971CB9" w:rsidRPr="00A7683A" w:rsidRDefault="00971CB9" w:rsidP="00971CB9">
      <w:pPr>
        <w:rPr>
          <w:vanish/>
        </w:rPr>
      </w:pPr>
      <w:bookmarkStart w:id="3" w:name="Commission"/>
      <w:r w:rsidRPr="00A7683A">
        <w:rPr>
          <w:vanish/>
        </w:rPr>
        <w:t>Comisia pentru bugete</w:t>
      </w:r>
      <w:bookmarkEnd w:id="3"/>
    </w:p>
    <w:p w14:paraId="58B0E204" w14:textId="77777777" w:rsidR="00971CB9" w:rsidRPr="00A7683A" w:rsidRDefault="00971CB9" w:rsidP="00971CB9">
      <w:pPr>
        <w:rPr>
          <w:vanish/>
        </w:rPr>
      </w:pPr>
      <w:bookmarkStart w:id="4" w:name="PE"/>
      <w:r w:rsidRPr="00A7683A">
        <w:rPr>
          <w:vanish/>
        </w:rPr>
        <w:t>PE759.750</w:t>
      </w:r>
      <w:bookmarkEnd w:id="4"/>
    </w:p>
    <w:p w14:paraId="14DB9F21" w14:textId="2CEC90F6" w:rsidR="00971CB9" w:rsidRPr="00A7683A" w:rsidRDefault="00971CB9" w:rsidP="00971CB9">
      <w:pPr>
        <w:pStyle w:val="ATHeading3"/>
      </w:pPr>
      <w:bookmarkStart w:id="5" w:name="Sujet"/>
      <w:r w:rsidRPr="00A7683A">
        <w:t>Rezoluția Parlamentului European din 24 aprilie 2024 referitoare la propunerea de decizie a Parlamentului European și a Consiliului privind mobilizarea Fondului european de ajustare la globalizare pentru lucrătorii disponibilizați (EGF/2024/000 TA 2024 – Asistență tehnică la inițiativa Comisiei)</w:t>
      </w:r>
      <w:bookmarkEnd w:id="5"/>
      <w:r w:rsidRPr="00A7683A">
        <w:t xml:space="preserve"> </w:t>
      </w:r>
      <w:bookmarkStart w:id="6" w:name="References"/>
      <w:r w:rsidRPr="00A7683A">
        <w:t>(COM(2024)0084 – C9-0042/2024 – 2024/0003(BUD))</w:t>
      </w:r>
      <w:bookmarkEnd w:id="6"/>
    </w:p>
    <w:p w14:paraId="48746923" w14:textId="77777777" w:rsidR="00EA3BB0" w:rsidRPr="00A7683A" w:rsidRDefault="00EA3BB0" w:rsidP="00EA3BB0">
      <w:pPr>
        <w:pStyle w:val="EPComma"/>
        <w:rPr>
          <w:noProof/>
        </w:rPr>
      </w:pPr>
      <w:bookmarkStart w:id="7" w:name="TextBodyBegin"/>
      <w:bookmarkEnd w:id="7"/>
      <w:r w:rsidRPr="00A7683A">
        <w:rPr>
          <w:i/>
        </w:rPr>
        <w:t>Parlamentul European</w:t>
      </w:r>
      <w:r w:rsidRPr="00A7683A">
        <w:t>,</w:t>
      </w:r>
    </w:p>
    <w:p w14:paraId="34F24DBD" w14:textId="77777777" w:rsidR="00EA3BB0" w:rsidRPr="00A7683A" w:rsidRDefault="00EA3BB0" w:rsidP="00EA3BB0">
      <w:pPr>
        <w:pStyle w:val="NormalHanging12a"/>
        <w:rPr>
          <w:noProof/>
        </w:rPr>
      </w:pPr>
      <w:r w:rsidRPr="00A7683A">
        <w:t>–</w:t>
      </w:r>
      <w:r w:rsidRPr="00A7683A">
        <w:tab/>
        <w:t>având în vedere propunerea Comisiei prezentată Parlamentului European și Consiliului (COM(2024)0084 – C9</w:t>
      </w:r>
      <w:r w:rsidRPr="00A7683A">
        <w:noBreakHyphen/>
        <w:t>0042/2024),</w:t>
      </w:r>
    </w:p>
    <w:p w14:paraId="4E9D2653" w14:textId="77777777" w:rsidR="00EA3BB0" w:rsidRPr="00A7683A" w:rsidRDefault="00EA3BB0" w:rsidP="00EA3BB0">
      <w:pPr>
        <w:pStyle w:val="NormalHanging12a"/>
        <w:rPr>
          <w:noProof/>
        </w:rPr>
      </w:pPr>
      <w:r w:rsidRPr="00A7683A">
        <w:t>–</w:t>
      </w:r>
      <w:r w:rsidRPr="00A7683A">
        <w:tab/>
        <w:t>având în vedere Regulamentul (UE) 2021/691 al Parlamentului European și al Consiliului din 28 aprilie 2021 privind Fondul european de ajustare la globalizare pentru lucrătorii disponibilizați (FEG) și de abrogare a Regulamentului (UE) nr. 1309/2013</w:t>
      </w:r>
      <w:r w:rsidRPr="00A7683A">
        <w:rPr>
          <w:rStyle w:val="FootnoteReference"/>
        </w:rPr>
        <w:footnoteReference w:id="1"/>
      </w:r>
      <w:r w:rsidRPr="00A7683A">
        <w:t xml:space="preserve"> („Regulamentul privind FEG”),</w:t>
      </w:r>
    </w:p>
    <w:p w14:paraId="7DD40FBF" w14:textId="77777777" w:rsidR="00EA3BB0" w:rsidRPr="00A7683A" w:rsidRDefault="00EA3BB0" w:rsidP="00EA3BB0">
      <w:pPr>
        <w:pStyle w:val="NormalHanging12a"/>
      </w:pPr>
      <w:r w:rsidRPr="00A7683A">
        <w:t>–</w:t>
      </w:r>
      <w:r w:rsidRPr="00A7683A">
        <w:tab/>
        <w:t>având în vedere Regulamentul (UE, Euratom) 2020/2093 al Consiliului din 17 decembrie 2020 de stabilire a cadrului financiar multianual pentru perioada 2021-2027</w:t>
      </w:r>
      <w:r w:rsidRPr="00A7683A">
        <w:rPr>
          <w:rStyle w:val="FootnoteReference"/>
        </w:rPr>
        <w:footnoteReference w:id="2"/>
      </w:r>
      <w:r w:rsidRPr="00A7683A">
        <w:t xml:space="preserve">, </w:t>
      </w:r>
      <w:r w:rsidRPr="00A7683A">
        <w:rPr>
          <w:bdr w:val="none" w:sz="0" w:space="0" w:color="auto" w:frame="1"/>
        </w:rPr>
        <w:t>astfel cum a fost modificat prin Regulamentul (UE, Euratom) 2024/765</w:t>
      </w:r>
      <w:r w:rsidRPr="00A7683A">
        <w:rPr>
          <w:rStyle w:val="FootnoteReference"/>
          <w:bdr w:val="none" w:sz="0" w:space="0" w:color="auto" w:frame="1"/>
        </w:rPr>
        <w:footnoteReference w:id="3"/>
      </w:r>
      <w:r w:rsidRPr="00A7683A">
        <w:t>, în special articolul 8,</w:t>
      </w:r>
    </w:p>
    <w:p w14:paraId="4B6D0B2C" w14:textId="77777777" w:rsidR="00EA3BB0" w:rsidRPr="00A7683A" w:rsidRDefault="00EA3BB0" w:rsidP="00EA3BB0">
      <w:pPr>
        <w:pStyle w:val="NormalHanging12a"/>
      </w:pPr>
      <w:r w:rsidRPr="00A7683A">
        <w:t>–</w:t>
      </w:r>
      <w:r w:rsidRPr="00A7683A">
        <w:tab/>
        <w:t xml:space="preserve">având în vedere Acordul interinstituțional din 16 decembrie 2020 dintre Parlamentul European, Consiliul Uniunii Europene și Comisia Europeană privind disciplina bugetară, cooperarea în chestiuni bugetare și buna gestiune financiară, precum și privind noile resurse proprii, inclusiv o foaie de parcurs în vederea introducerii de noi resurse </w:t>
      </w:r>
      <w:r w:rsidRPr="00A7683A">
        <w:lastRenderedPageBreak/>
        <w:t>proprii</w:t>
      </w:r>
      <w:r w:rsidRPr="00A7683A">
        <w:rPr>
          <w:rStyle w:val="FootnoteReference"/>
        </w:rPr>
        <w:footnoteReference w:id="4"/>
      </w:r>
      <w:r w:rsidRPr="00A7683A">
        <w:t>, în special punctul 9,</w:t>
      </w:r>
    </w:p>
    <w:p w14:paraId="31526955" w14:textId="77777777" w:rsidR="00EA3BB0" w:rsidRPr="00A7683A" w:rsidRDefault="00EA3BB0" w:rsidP="00EA3BB0">
      <w:pPr>
        <w:pStyle w:val="NormalHanging12a"/>
      </w:pPr>
      <w:r w:rsidRPr="00A7683A">
        <w:t>–</w:t>
      </w:r>
      <w:r w:rsidRPr="00A7683A">
        <w:tab/>
        <w:t>având în vedere raportul Comisiei pentru bugete (A9-0173/2024),</w:t>
      </w:r>
    </w:p>
    <w:p w14:paraId="419FAD42" w14:textId="77777777" w:rsidR="00EA3BB0" w:rsidRPr="00A7683A" w:rsidRDefault="00EA3BB0" w:rsidP="00EA3BB0">
      <w:pPr>
        <w:spacing w:after="240"/>
        <w:ind w:left="567" w:hanging="567"/>
      </w:pPr>
      <w:r w:rsidRPr="00A7683A">
        <w:t>A.</w:t>
      </w:r>
      <w:r w:rsidRPr="00A7683A">
        <w:tab/>
        <w:t>întrucât Uniunea a instituit instrumente legislative și bugetare pentru a oferi un sprijin suplimentar lucrătorilor afectați de consecințele globalizării și ale schimbărilor tehnologice și de mediu, cum ar fi schimbările în structura comerțului mondial, litigiile comerciale, schimbările importante în relațiile comerciale ale Uniunii sau în componența pieței interne și crizele financiare sau economice, precum și tranziția către o economie cu emisii scăzute de dioxid de carbon, sau de consecințele digitalizării sau ale automatizării;</w:t>
      </w:r>
    </w:p>
    <w:p w14:paraId="25C68C7A" w14:textId="65363627" w:rsidR="00EA3BB0" w:rsidRPr="00A7683A" w:rsidRDefault="00EA3BB0" w:rsidP="00EA3BB0">
      <w:pPr>
        <w:spacing w:after="240"/>
        <w:ind w:left="567" w:hanging="567"/>
        <w:rPr>
          <w:bdr w:val="none" w:sz="0" w:space="0" w:color="auto" w:frame="1"/>
        </w:rPr>
      </w:pPr>
      <w:r w:rsidRPr="00A7683A">
        <w:rPr>
          <w:bdr w:val="none" w:sz="0" w:space="0" w:color="auto" w:frame="1"/>
        </w:rPr>
        <w:t>B.</w:t>
      </w:r>
      <w:r w:rsidRPr="00A7683A">
        <w:rPr>
          <w:bdr w:val="none" w:sz="0" w:space="0" w:color="auto" w:frame="1"/>
        </w:rPr>
        <w:tab/>
      </w:r>
      <w:r w:rsidRPr="00A7683A">
        <w:t xml:space="preserve">întrucât asistența acordată de Uniune lucrătorilor disponibilizați ar trebui să fie orientată în primul rând către măsuri de politică active în domeniul pieței forței de muncă și către servicii personalizate care vizează reintegrarea rapidă a beneficiarilor în locuri de muncă decente și sustenabile, pregătindu-i totodată pentru o economie europeană mai ecologică și mai digitală, </w:t>
      </w:r>
      <w:r w:rsidRPr="00A7683A">
        <w:rPr>
          <w:bdr w:val="none" w:sz="0" w:space="0" w:color="auto" w:frame="1"/>
        </w:rPr>
        <w:t>ținând seama în mod corespunzător</w:t>
      </w:r>
      <w:r w:rsidRPr="00A7683A">
        <w:t xml:space="preserve"> de Acordul interinstituțional din 16 decembrie 2020 </w:t>
      </w:r>
      <w:r w:rsidRPr="00A7683A">
        <w:rPr>
          <w:bdr w:val="none" w:sz="0" w:space="0" w:color="auto" w:frame="1"/>
        </w:rPr>
        <w:t>în ceea ce privește adoptarea deciziilor de mobilizare a FEG;</w:t>
      </w:r>
    </w:p>
    <w:p w14:paraId="4D07F372" w14:textId="77777777" w:rsidR="00EA3BB0" w:rsidRPr="00A7683A" w:rsidRDefault="00EA3BB0" w:rsidP="00EA3BB0">
      <w:pPr>
        <w:spacing w:after="240"/>
        <w:ind w:left="567" w:hanging="567"/>
      </w:pPr>
      <w:r w:rsidRPr="00A7683A">
        <w:t>C.</w:t>
      </w:r>
      <w:r w:rsidRPr="00A7683A">
        <w:tab/>
        <w:t>întrucât Uniunea a extins mai întâi domeniul de aplicare al FEG pentru a oferi sprijin financiar în cazul unei restructurări majore, cuprinzând astfel efectele economice ale crizei provocate de COVID-19;</w:t>
      </w:r>
    </w:p>
    <w:p w14:paraId="45132F0F" w14:textId="77777777" w:rsidR="00EA3BB0" w:rsidRPr="00A7683A" w:rsidRDefault="00EA3BB0" w:rsidP="00EA3BB0">
      <w:pPr>
        <w:spacing w:after="240"/>
        <w:ind w:left="567" w:hanging="567"/>
        <w:rPr>
          <w:bdr w:val="none" w:sz="0" w:space="0" w:color="auto" w:frame="1"/>
        </w:rPr>
      </w:pPr>
      <w:r w:rsidRPr="00A7683A">
        <w:rPr>
          <w:bdr w:val="none" w:sz="0" w:space="0" w:color="auto" w:frame="1"/>
        </w:rPr>
        <w:t>D.</w:t>
      </w:r>
      <w:r w:rsidRPr="00A7683A">
        <w:rPr>
          <w:bdr w:val="none" w:sz="0" w:space="0" w:color="auto" w:frame="1"/>
        </w:rPr>
        <w:tab/>
        <w:t>întrucât odată cu adoptarea noului Regulament FEG în 2021 s-a extins și mai mult domeniul de aplicare al FEG la restructurările majore provocate de tranziția către o economie cu emisii scăzute de dioxid de carbon sau de procesul de digitalizare sau automatizare</w:t>
      </w:r>
      <w:r w:rsidRPr="00A7683A">
        <w:t>, reducând totodată pragul necesar pentru activarea FEG de la 500 la 200 de lucrători disponibilizați</w:t>
      </w:r>
      <w:r w:rsidRPr="00A7683A">
        <w:rPr>
          <w:bdr w:val="none" w:sz="0" w:space="0" w:color="auto" w:frame="1"/>
        </w:rPr>
        <w:t>;</w:t>
      </w:r>
    </w:p>
    <w:p w14:paraId="0C0139B4" w14:textId="77777777" w:rsidR="00EA3BB0" w:rsidRPr="00A7683A" w:rsidRDefault="00EA3BB0" w:rsidP="00EA3BB0">
      <w:pPr>
        <w:spacing w:after="240"/>
        <w:ind w:left="567" w:hanging="567"/>
        <w:rPr>
          <w:bdr w:val="none" w:sz="0" w:space="0" w:color="auto" w:frame="1"/>
        </w:rPr>
      </w:pPr>
      <w:r w:rsidRPr="00A7683A">
        <w:rPr>
          <w:bdr w:val="none" w:sz="0" w:space="0" w:color="auto" w:frame="1"/>
        </w:rPr>
        <w:t>E.</w:t>
      </w:r>
      <w:r w:rsidRPr="00A7683A">
        <w:rPr>
          <w:bdr w:val="none" w:sz="0" w:space="0" w:color="auto" w:frame="1"/>
        </w:rPr>
        <w:tab/>
        <w:t xml:space="preserve">întrucât revizuirea CFM reduce cuantumul anual maxim al FEG de la 186 de milioane EUR la 30 de milioane EUR (la prețurile din 2018), astfel cum se prevede la articolul 8 din Regulamentul (UE, Euratom) 2020/2093 al Consiliului, astfel cum a fost modificat prin Regulamentul (UE, Euratom) 2024/765; </w:t>
      </w:r>
      <w:r w:rsidRPr="00A7683A">
        <w:t>întrucât Comisia ar trebui să monitorizeze punerea în aplicare a FEG și toate instituțiile ar trebui să ia toate măsurile necesare pentru a se asigura că se poate da curs tuturor cererilor justificate de sprijin din partea FEG, ca o manifestare a solidarității Uniunii;</w:t>
      </w:r>
    </w:p>
    <w:p w14:paraId="260F6D68" w14:textId="77777777" w:rsidR="00EA3BB0" w:rsidRPr="00A7683A" w:rsidRDefault="00EA3BB0" w:rsidP="00EA3BB0">
      <w:pPr>
        <w:spacing w:after="240"/>
        <w:ind w:left="567" w:hanging="567"/>
        <w:rPr>
          <w:bdr w:val="none" w:sz="0" w:space="0" w:color="auto" w:frame="1"/>
        </w:rPr>
      </w:pPr>
      <w:r w:rsidRPr="00A7683A">
        <w:rPr>
          <w:bdr w:val="none" w:sz="0" w:space="0" w:color="auto" w:frame="1"/>
        </w:rPr>
        <w:t>F.</w:t>
      </w:r>
      <w:r w:rsidRPr="00A7683A">
        <w:rPr>
          <w:bdr w:val="none" w:sz="0" w:space="0" w:color="auto" w:frame="1"/>
        </w:rPr>
        <w:tab/>
      </w:r>
      <w:r w:rsidRPr="00A7683A">
        <w:t>întrucât articolul 11 alineatul (1) din Regulamentul privind FEG prevede că, la inițiativa Comisiei, un procentaj de până la 0,5 % din acest cuantum maxim se poate aloca pentru asistență tehnică;</w:t>
      </w:r>
    </w:p>
    <w:p w14:paraId="38E4FF68" w14:textId="77777777" w:rsidR="00EA3BB0" w:rsidRPr="00A7683A" w:rsidRDefault="00EA3BB0" w:rsidP="00EA3BB0">
      <w:pPr>
        <w:spacing w:after="240"/>
        <w:ind w:left="567" w:hanging="567"/>
        <w:rPr>
          <w:bdr w:val="none" w:sz="0" w:space="0" w:color="auto" w:frame="1"/>
        </w:rPr>
      </w:pPr>
      <w:r w:rsidRPr="00A7683A">
        <w:rPr>
          <w:bdr w:val="none" w:sz="0" w:space="0" w:color="auto" w:frame="1"/>
        </w:rPr>
        <w:t>G.</w:t>
      </w:r>
      <w:r w:rsidRPr="00A7683A">
        <w:rPr>
          <w:bdr w:val="none" w:sz="0" w:space="0" w:color="auto" w:frame="1"/>
        </w:rPr>
        <w:tab/>
        <w:t>întrucât asistența tehnică poate consta în cheltuieli tehnice și administrative pentru executarea FEG, precum activități de pregătire, monitorizare, control, audit și evaluare, precum și de colectare de date, inclusiv în raport cu sistemele de tehnologie a informației ale întreprinderilor, activități de comunicare și de creștere a vizibilității FEG ca fond sau legat de anumite proiecte și alte măsuri de asistență tehnică;</w:t>
      </w:r>
    </w:p>
    <w:p w14:paraId="4426FD57" w14:textId="77777777" w:rsidR="00EA3BB0" w:rsidRPr="00A7683A" w:rsidRDefault="00EA3BB0" w:rsidP="00EA3BB0">
      <w:pPr>
        <w:spacing w:after="240"/>
        <w:ind w:left="567" w:hanging="567"/>
        <w:rPr>
          <w:bdr w:val="none" w:sz="0" w:space="0" w:color="auto" w:frame="1"/>
        </w:rPr>
      </w:pPr>
      <w:r w:rsidRPr="00A7683A">
        <w:rPr>
          <w:bdr w:val="none" w:sz="0" w:space="0" w:color="auto" w:frame="1"/>
        </w:rPr>
        <w:t>H.</w:t>
      </w:r>
      <w:r w:rsidRPr="00A7683A">
        <w:rPr>
          <w:bdr w:val="none" w:sz="0" w:space="0" w:color="auto" w:frame="1"/>
        </w:rPr>
        <w:tab/>
        <w:t>întrucât suma propusă de 165 000 EUR corespunde unui procent de aproximativ</w:t>
      </w:r>
      <w:r w:rsidRPr="00A7683A">
        <w:t xml:space="preserve"> 0,49 %</w:t>
      </w:r>
      <w:r w:rsidRPr="00A7683A">
        <w:rPr>
          <w:bdr w:val="none" w:sz="0" w:space="0" w:color="auto" w:frame="1"/>
        </w:rPr>
        <w:t xml:space="preserve"> din bugetul anual maxim disponibil pentru FEG în 2024,</w:t>
      </w:r>
    </w:p>
    <w:p w14:paraId="26D1D42A" w14:textId="77777777" w:rsidR="00EA3BB0" w:rsidRPr="00A7683A" w:rsidRDefault="00EA3BB0" w:rsidP="00EA3BB0">
      <w:pPr>
        <w:spacing w:after="240"/>
        <w:ind w:left="567" w:hanging="567"/>
        <w:rPr>
          <w:bdr w:val="none" w:sz="0" w:space="0" w:color="auto" w:frame="1"/>
        </w:rPr>
      </w:pPr>
      <w:r w:rsidRPr="00A7683A">
        <w:rPr>
          <w:bdr w:val="none" w:sz="0" w:space="0" w:color="auto" w:frame="1"/>
        </w:rPr>
        <w:lastRenderedPageBreak/>
        <w:t>1.</w:t>
      </w:r>
      <w:r w:rsidRPr="00A7683A">
        <w:rPr>
          <w:bdr w:val="none" w:sz="0" w:space="0" w:color="auto" w:frame="1"/>
        </w:rPr>
        <w:tab/>
        <w:t>este de acord cu mobilizarea a 165 000 EUR și cu măsurile propuse de Comisie care urmează să fie finanțate cu titlu de asistență tehnică în conformitate cu articolul 11 alineatele (1) și (4) și cu articolul 12 alineatele (2), (3) și (4) din Regulamentul privind FEG;</w:t>
      </w:r>
    </w:p>
    <w:p w14:paraId="5AC515C4" w14:textId="77777777" w:rsidR="00EA3BB0" w:rsidRPr="00A7683A" w:rsidRDefault="00EA3BB0" w:rsidP="00EA3BB0">
      <w:pPr>
        <w:spacing w:after="240"/>
        <w:ind w:left="567" w:hanging="567"/>
      </w:pPr>
      <w:r w:rsidRPr="00A7683A">
        <w:t>2.</w:t>
      </w:r>
      <w:r w:rsidRPr="00A7683A">
        <w:tab/>
        <w:t>salută efortul constant de standardizare a procedurilor pentru cererile și gestionarea FEG, utilizând funcționalitățile sistemului electronic de schimb de date (Sistemul comun de gestionare partajată a fondurilor - SFC), care permite o procesare simplificată și mai rapidă a cererilor și o raportare mai fidelă;</w:t>
      </w:r>
    </w:p>
    <w:p w14:paraId="55E0D71E" w14:textId="77777777" w:rsidR="00EA3BB0" w:rsidRPr="00A7683A" w:rsidRDefault="00EA3BB0" w:rsidP="00EA3BB0">
      <w:pPr>
        <w:spacing w:after="240"/>
        <w:ind w:left="567" w:hanging="567"/>
      </w:pPr>
      <w:r w:rsidRPr="00A7683A">
        <w:t>3.</w:t>
      </w:r>
      <w:r w:rsidRPr="00A7683A">
        <w:tab/>
        <w:t>ia act de faptul că Comisia se va folosi de bugetul disponibil pentru sprijin administrativ pentru a organiza reuniuni ale grupului de experți al persoanelor de contact ale FEG (câte doi membri din fiecare stat membru) și un seminar cu participarea organismelor de implementare a FEG și a partenerilor sociali pentru a promova colaborarea în rețea între statele membre; cere Comisiei să invite în continuare sistematic Parlamentul la aceste reuniuni și seminare, conform dispozițiilor relevante din Acordul-cadru privind relațiile dintre Parlament și Comisie;</w:t>
      </w:r>
    </w:p>
    <w:p w14:paraId="2DA98EB7" w14:textId="77777777" w:rsidR="00EA3BB0" w:rsidRPr="00A7683A" w:rsidRDefault="00EA3BB0" w:rsidP="00EA3BB0">
      <w:pPr>
        <w:spacing w:after="240"/>
        <w:ind w:left="567" w:hanging="567"/>
      </w:pPr>
      <w:r w:rsidRPr="00A7683A">
        <w:t>4.</w:t>
      </w:r>
      <w:r w:rsidRPr="00A7683A">
        <w:tab/>
        <w:t>invită Comisia să adapteze cele mai bune practici care s-au cristalizat în perioada pandemiei de COVID-19, în special măsurile care pot contribui la accelerarea unei tranziții verzi și digitale favorabile incluziunii și la susținerea priorităților fundamentale ale Uniunii, cum ar fi egalitatea de gen;</w:t>
      </w:r>
    </w:p>
    <w:p w14:paraId="5CD4BCC6" w14:textId="77777777" w:rsidR="00EA3BB0" w:rsidRPr="00A7683A" w:rsidRDefault="00EA3BB0" w:rsidP="00EA3BB0">
      <w:pPr>
        <w:spacing w:after="240"/>
        <w:ind w:left="567" w:hanging="567"/>
      </w:pPr>
      <w:r w:rsidRPr="00A7683A">
        <w:t>5.</w:t>
      </w:r>
      <w:r w:rsidRPr="00A7683A">
        <w:tab/>
        <w:t xml:space="preserve">subliniază că trebuie să se pună mai mult accent pe informarea publicului și vizibilitatea FEG; atrage atenția că acest obiectiv se poate realiza inserând informații despre FEG în diferite publicații și activități audiovizuale ale Comisiei, după cum se prevede la articolul 11 alineatul (1) din Regulamentul privind FEG; </w:t>
      </w:r>
      <w:r w:rsidRPr="00A7683A">
        <w:rPr>
          <w:bdr w:val="none" w:sz="0" w:space="0" w:color="auto" w:frame="1"/>
        </w:rPr>
        <w:t>salută, în acest context, întreținerea site-ului internet dedicat FEG și invită Comisia să îl actualizeze și să îl dezvolte constant, pentru a face mai vizibilă în rândul populației solidaritatea europeană demonstrată de acest fond și pentru a face mai transparente acțiunile Uniunii;</w:t>
      </w:r>
    </w:p>
    <w:p w14:paraId="685ADDE8" w14:textId="77777777" w:rsidR="00EA3BB0" w:rsidRPr="00A7683A" w:rsidRDefault="00EA3BB0" w:rsidP="00EA3BB0">
      <w:pPr>
        <w:spacing w:after="240"/>
        <w:ind w:left="567" w:hanging="567"/>
      </w:pPr>
      <w:r w:rsidRPr="00A7683A">
        <w:t>6.</w:t>
      </w:r>
      <w:r w:rsidRPr="00A7683A">
        <w:tab/>
        <w:t>reamintește statelor membre solicitante că le revine rolul-cheie de a asigura publicitatea pe scară largă a acțiunilor finanțate de FEG în rândul beneficiarilor vizați, al autorităților locale și regionale, al partenerilor sociali, al mass-mediei și al publicului larg, conform prevederilor de la articolul 12 din Regulamentul privind FEG;</w:t>
      </w:r>
    </w:p>
    <w:p w14:paraId="00FFEF4B" w14:textId="77777777" w:rsidR="00EA3BB0" w:rsidRPr="00A7683A" w:rsidRDefault="00EA3BB0" w:rsidP="00EA3BB0">
      <w:pPr>
        <w:spacing w:after="240"/>
        <w:ind w:left="567" w:hanging="567"/>
      </w:pPr>
      <w:r w:rsidRPr="00A7683A">
        <w:t>7.</w:t>
      </w:r>
      <w:r w:rsidRPr="00A7683A">
        <w:tab/>
        <w:t>aprobă decizia anexată la prezenta rezoluție;</w:t>
      </w:r>
    </w:p>
    <w:p w14:paraId="758BB3D6" w14:textId="77777777" w:rsidR="00EA3BB0" w:rsidRPr="00A7683A" w:rsidRDefault="00EA3BB0" w:rsidP="00EA3BB0">
      <w:pPr>
        <w:spacing w:after="240"/>
        <w:ind w:left="567" w:hanging="567"/>
        <w:rPr>
          <w:rFonts w:ascii="Arial Unicode MS" w:hAnsi="Arial Unicode MS"/>
          <w:bdr w:val="none" w:sz="0" w:space="0" w:color="auto" w:frame="1"/>
        </w:rPr>
      </w:pPr>
      <w:r w:rsidRPr="00A7683A">
        <w:t>8.</w:t>
      </w:r>
      <w:r w:rsidRPr="00A7683A">
        <w:tab/>
      </w:r>
      <w:r w:rsidRPr="00A7683A">
        <w:rPr>
          <w:bdr w:val="none" w:sz="0" w:space="0" w:color="auto" w:frame="1"/>
        </w:rPr>
        <w:t xml:space="preserve">încredințează Președintei sarcina de a semna această decizie împreună cu Președintele Consiliului și de a asigura publicarea sa în </w:t>
      </w:r>
      <w:r w:rsidRPr="00A7683A">
        <w:rPr>
          <w:i/>
          <w:iCs/>
          <w:bdr w:val="none" w:sz="0" w:space="0" w:color="auto" w:frame="1"/>
        </w:rPr>
        <w:t>Jurnalul Oficial al Uniunii Europene</w:t>
      </w:r>
      <w:r w:rsidRPr="00A7683A">
        <w:rPr>
          <w:bdr w:val="none" w:sz="0" w:space="0" w:color="auto" w:frame="1"/>
        </w:rPr>
        <w:t>;</w:t>
      </w:r>
    </w:p>
    <w:p w14:paraId="0B7EFD4D" w14:textId="77777777" w:rsidR="00EA3BB0" w:rsidRPr="00A7683A" w:rsidRDefault="00EA3BB0" w:rsidP="00EA3BB0">
      <w:pPr>
        <w:spacing w:after="240"/>
        <w:ind w:left="567" w:hanging="567"/>
        <w:rPr>
          <w:noProof/>
        </w:rPr>
      </w:pPr>
      <w:r w:rsidRPr="00A7683A">
        <w:rPr>
          <w:bdr w:val="none" w:sz="0" w:space="0" w:color="auto" w:frame="1"/>
        </w:rPr>
        <w:t>9.</w:t>
      </w:r>
      <w:r w:rsidRPr="00A7683A">
        <w:rPr>
          <w:bdr w:val="none" w:sz="0" w:space="0" w:color="auto" w:frame="1"/>
        </w:rPr>
        <w:tab/>
        <w:t>încredințează Președintei sarcina de a transmite prezenta rezoluție, împreună cu anexa, Consiliului și Comisiei.</w:t>
      </w:r>
    </w:p>
    <w:p w14:paraId="21C828D9" w14:textId="77777777" w:rsidR="00EA3BB0" w:rsidRPr="00A7683A" w:rsidRDefault="00EA3BB0" w:rsidP="00EA3BB0">
      <w:pPr>
        <w:rPr>
          <w:noProof/>
        </w:rPr>
      </w:pPr>
    </w:p>
    <w:p w14:paraId="16D3D750" w14:textId="77777777" w:rsidR="00EA3BB0" w:rsidRPr="00A7683A" w:rsidRDefault="00EA3BB0" w:rsidP="00EA3BB0">
      <w:pPr>
        <w:pStyle w:val="PageHeading"/>
        <w:rPr>
          <w:noProof/>
        </w:rPr>
        <w:sectPr w:rsidR="00EA3BB0" w:rsidRPr="00A7683A" w:rsidSect="00A55D0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218B2A71" w14:textId="77777777" w:rsidR="00651E18" w:rsidRDefault="00EA3BB0" w:rsidP="00EA3BB0">
      <w:pPr>
        <w:pStyle w:val="PageHeading"/>
        <w:rPr>
          <w:rFonts w:ascii="Times New Roman" w:hAnsi="Times New Roman" w:cs="Times New Roman"/>
        </w:rPr>
      </w:pPr>
      <w:bookmarkStart w:id="8" w:name="_Toc164405941"/>
      <w:r w:rsidRPr="00651E18">
        <w:rPr>
          <w:rFonts w:ascii="Times New Roman" w:hAnsi="Times New Roman" w:cs="Times New Roman"/>
        </w:rPr>
        <w:lastRenderedPageBreak/>
        <w:t>ANEXĂ</w:t>
      </w:r>
    </w:p>
    <w:p w14:paraId="57F7E0AB" w14:textId="3AB73579" w:rsidR="00EA3BB0" w:rsidRPr="00651E18" w:rsidRDefault="00EA3BB0" w:rsidP="00EA3BB0">
      <w:pPr>
        <w:pStyle w:val="PageHeading"/>
        <w:rPr>
          <w:rFonts w:ascii="Times New Roman" w:hAnsi="Times New Roman" w:cs="Times New Roman"/>
          <w:noProof/>
        </w:rPr>
      </w:pPr>
      <w:r w:rsidRPr="00651E18">
        <w:rPr>
          <w:rFonts w:ascii="Times New Roman" w:hAnsi="Times New Roman" w:cs="Times New Roman"/>
        </w:rPr>
        <w:t>DECIZIA PARLAMENTULUI EUROPEAN ȘI A CONSILIULUI</w:t>
      </w:r>
      <w:bookmarkEnd w:id="8"/>
    </w:p>
    <w:p w14:paraId="5B72DA55" w14:textId="0A820723" w:rsidR="00EA3BB0" w:rsidRPr="00651E18" w:rsidRDefault="00EA3BB0" w:rsidP="00EA3BB0">
      <w:pPr>
        <w:pStyle w:val="Titreobjet"/>
        <w:rPr>
          <w:noProof/>
        </w:rPr>
      </w:pPr>
      <w:r w:rsidRPr="00651E18">
        <w:t>privind mobilizarea Fondului european de ajustare la globalizare pentru lucrătorii disponibilizați (EGF/2024/000 TA 2024 – Asistență tehnică la inițiativa Comisiei)</w:t>
      </w:r>
    </w:p>
    <w:p w14:paraId="2295374E" w14:textId="0A3B16D4" w:rsidR="00E365E1" w:rsidRPr="00A7683A" w:rsidRDefault="00090F94" w:rsidP="00651E18">
      <w:pPr>
        <w:widowControl/>
        <w:spacing w:before="120"/>
        <w:rPr>
          <w:i/>
        </w:rPr>
      </w:pPr>
      <w:bookmarkStart w:id="9" w:name="TextBodyEnd"/>
      <w:bookmarkEnd w:id="9"/>
      <w:r w:rsidRPr="00090F94">
        <w:rPr>
          <w:i/>
          <w:noProof/>
        </w:rPr>
        <w:t>(Textul prezentei anexe nu este reprodus aici, întrucât corespunde cu actul final, Decizia (UE) 2024/</w:t>
      </w:r>
      <w:r>
        <w:rPr>
          <w:i/>
          <w:noProof/>
        </w:rPr>
        <w:t>1300</w:t>
      </w:r>
      <w:r w:rsidRPr="00090F94">
        <w:rPr>
          <w:i/>
          <w:noProof/>
        </w:rPr>
        <w:t>.)</w:t>
      </w:r>
      <w:bookmarkStart w:id="10" w:name="_GoBack"/>
      <w:bookmarkEnd w:id="10"/>
    </w:p>
    <w:sectPr w:rsidR="00E365E1" w:rsidRPr="00A7683A" w:rsidSect="00A55D0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51E5D4" w14:textId="77777777" w:rsidR="00971CB9" w:rsidRPr="00A55D01" w:rsidRDefault="00971CB9">
      <w:r w:rsidRPr="00A55D01">
        <w:separator/>
      </w:r>
    </w:p>
  </w:endnote>
  <w:endnote w:type="continuationSeparator" w:id="0">
    <w:p w14:paraId="7C999D36" w14:textId="77777777" w:rsidR="00971CB9" w:rsidRPr="00A55D01" w:rsidRDefault="00971CB9">
      <w:r w:rsidRPr="00A55D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altName w:val="Malgun Gothic Semilight"/>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E7800" w14:textId="77777777" w:rsidR="00EA3BB0" w:rsidRPr="00A55D01" w:rsidRDefault="00EA3BB0" w:rsidP="007D2489">
    <w:pPr>
      <w:pStyle w:val="EPFooter"/>
    </w:pPr>
    <w:r w:rsidRPr="00A55D01">
      <w:t>PE</w:t>
    </w:r>
    <w:r w:rsidRPr="00A55D01">
      <w:rPr>
        <w:rStyle w:val="HideTWBExt"/>
      </w:rPr>
      <w:t>&lt;NoPE&gt;</w:t>
    </w:r>
    <w:r w:rsidRPr="00A55D01">
      <w:t>759.750</w:t>
    </w:r>
    <w:r w:rsidRPr="00A55D01">
      <w:rPr>
        <w:rStyle w:val="HideTWBExt"/>
      </w:rPr>
      <w:t>&lt;/NoPE&gt;&lt;Version&gt;</w:t>
    </w:r>
    <w:r w:rsidRPr="00A55D01">
      <w:t>v02-00</w:t>
    </w:r>
    <w:r w:rsidRPr="00A55D01">
      <w:rPr>
        <w:rStyle w:val="HideTWBExt"/>
      </w:rPr>
      <w:t>&lt;/Version&gt;</w:t>
    </w:r>
    <w:r w:rsidRPr="00A55D01">
      <w:tab/>
    </w:r>
    <w:r w:rsidRPr="00A55D01">
      <w:fldChar w:fldCharType="begin"/>
    </w:r>
    <w:r w:rsidRPr="00A55D01">
      <w:instrText xml:space="preserve"> PAGE  \* MERGEFORMAT </w:instrText>
    </w:r>
    <w:r w:rsidRPr="00A55D01">
      <w:fldChar w:fldCharType="separate"/>
    </w:r>
    <w:r w:rsidRPr="00A55D01">
      <w:rPr>
        <w:noProof/>
      </w:rPr>
      <w:t>2</w:t>
    </w:r>
    <w:r w:rsidRPr="00A55D01">
      <w:fldChar w:fldCharType="end"/>
    </w:r>
    <w:r w:rsidRPr="00A55D01">
      <w:t>/</w:t>
    </w:r>
    <w:r w:rsidR="00651E18">
      <w:fldChar w:fldCharType="begin"/>
    </w:r>
    <w:r w:rsidR="00651E18">
      <w:instrText xml:space="preserve"> NUMPAGES  \* MERGEFORMAT </w:instrText>
    </w:r>
    <w:r w:rsidR="00651E18">
      <w:fldChar w:fldCharType="separate"/>
    </w:r>
    <w:r w:rsidRPr="00A55D01">
      <w:rPr>
        <w:noProof/>
      </w:rPr>
      <w:t>2</w:t>
    </w:r>
    <w:r w:rsidR="00651E18">
      <w:rPr>
        <w:noProof/>
      </w:rPr>
      <w:fldChar w:fldCharType="end"/>
    </w:r>
    <w:r w:rsidRPr="00A55D01">
      <w:tab/>
    </w:r>
    <w:r w:rsidRPr="00A55D01">
      <w:rPr>
        <w:rStyle w:val="HideTWBExt"/>
      </w:rPr>
      <w:t>&lt;PathFdR&gt;</w:t>
    </w:r>
    <w:r w:rsidRPr="00A55D01">
      <w:t>RR\1300716RO.docx</w:t>
    </w:r>
    <w:r w:rsidRPr="00A55D01">
      <w:rPr>
        <w:rStyle w:val="HideTWBExt"/>
      </w:rPr>
      <w:t>&lt;/PathFdR&gt;</w:t>
    </w:r>
  </w:p>
  <w:p w14:paraId="5E9E8F6F" w14:textId="77777777" w:rsidR="00EA3BB0" w:rsidRPr="00A55D01" w:rsidRDefault="00EA3BB0" w:rsidP="007D2489">
    <w:pPr>
      <w:pStyle w:val="EPFooter2"/>
    </w:pPr>
    <w:r w:rsidRPr="00A55D01">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5BCC3C" w14:textId="77777777" w:rsidR="00EA3BB0" w:rsidRPr="00A55D01" w:rsidRDefault="00EA3BB0" w:rsidP="007D2489">
    <w:pPr>
      <w:pStyle w:val="EPFooter"/>
    </w:pPr>
    <w:r w:rsidRPr="00A55D01">
      <w:rPr>
        <w:rStyle w:val="HideTWBExt"/>
      </w:rPr>
      <w:t>&lt;PathFdR&gt;</w:t>
    </w:r>
    <w:r w:rsidRPr="00A55D01">
      <w:t>RR\1300716RO.docx</w:t>
    </w:r>
    <w:r w:rsidRPr="00A55D01">
      <w:rPr>
        <w:rStyle w:val="HideTWBExt"/>
      </w:rPr>
      <w:t>&lt;/PathFdR&gt;</w:t>
    </w:r>
    <w:r w:rsidRPr="00A55D01">
      <w:tab/>
    </w:r>
    <w:r w:rsidRPr="00A55D01">
      <w:tab/>
      <w:t>PE</w:t>
    </w:r>
    <w:r w:rsidRPr="00A55D01">
      <w:rPr>
        <w:rStyle w:val="HideTWBExt"/>
      </w:rPr>
      <w:t>&lt;NoPE&gt;</w:t>
    </w:r>
    <w:r w:rsidRPr="00A55D01">
      <w:t>759.750</w:t>
    </w:r>
    <w:r w:rsidRPr="00A55D01">
      <w:rPr>
        <w:rStyle w:val="HideTWBExt"/>
      </w:rPr>
      <w:t>&lt;/NoPE&gt;&lt;Version&gt;</w:t>
    </w:r>
    <w:r w:rsidRPr="00A55D01">
      <w:t>v02-00</w:t>
    </w:r>
    <w:r w:rsidRPr="00A55D01">
      <w:rPr>
        <w:rStyle w:val="HideTWBExt"/>
      </w:rPr>
      <w:t>&lt;/Version&gt;</w:t>
    </w:r>
  </w:p>
  <w:p w14:paraId="53B700AC" w14:textId="77777777" w:rsidR="00EA3BB0" w:rsidRPr="00A55D01" w:rsidRDefault="00EA3BB0" w:rsidP="007D2489">
    <w:pPr>
      <w:pStyle w:val="EPFooter2"/>
    </w:pPr>
    <w:r w:rsidRPr="00A55D01">
      <w:t>RO</w:t>
    </w:r>
    <w:r w:rsidRPr="00A55D01">
      <w:tab/>
    </w:r>
    <w:r w:rsidRPr="00A55D01">
      <w:rPr>
        <w:b w:val="0"/>
        <w:i/>
        <w:color w:val="C0C0C0"/>
        <w:sz w:val="22"/>
      </w:rPr>
      <w:t>Unită în diversitate</w:t>
    </w:r>
    <w:r w:rsidRPr="00A55D01">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EDE0B" w14:textId="77777777" w:rsidR="00064002" w:rsidRPr="00A55D0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7AB6C1" w14:textId="77777777" w:rsidR="00064002" w:rsidRPr="00A55D0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65111F" w14:textId="77777777" w:rsidR="00064002" w:rsidRPr="00A55D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0B797" w14:textId="77777777" w:rsidR="00971CB9" w:rsidRPr="00A55D01" w:rsidRDefault="00971CB9">
      <w:r w:rsidRPr="00A55D01">
        <w:separator/>
      </w:r>
    </w:p>
  </w:footnote>
  <w:footnote w:type="continuationSeparator" w:id="0">
    <w:p w14:paraId="294ECAFA" w14:textId="77777777" w:rsidR="00971CB9" w:rsidRPr="00A55D01" w:rsidRDefault="00971CB9">
      <w:r w:rsidRPr="00A55D01">
        <w:continuationSeparator/>
      </w:r>
    </w:p>
  </w:footnote>
  <w:footnote w:id="1">
    <w:p w14:paraId="7135A1B9" w14:textId="77777777" w:rsidR="00EA3BB0" w:rsidRPr="00A55D01" w:rsidRDefault="00EA3BB0" w:rsidP="00A55D01">
      <w:pPr>
        <w:pStyle w:val="FootnoteText"/>
        <w:ind w:left="567" w:hanging="567"/>
        <w:rPr>
          <w:sz w:val="24"/>
          <w:lang w:val="ro-RO"/>
        </w:rPr>
      </w:pPr>
      <w:r w:rsidRPr="00A55D01">
        <w:rPr>
          <w:rStyle w:val="FootnoteReference"/>
          <w:sz w:val="24"/>
          <w:lang w:val="ro-RO"/>
        </w:rPr>
        <w:footnoteRef/>
      </w:r>
      <w:r w:rsidR="00A55D01" w:rsidRPr="00A55D01">
        <w:rPr>
          <w:sz w:val="24"/>
          <w:lang w:val="ro-RO"/>
        </w:rPr>
        <w:t xml:space="preserve"> </w:t>
      </w:r>
      <w:r w:rsidR="00A55D01" w:rsidRPr="00A55D01">
        <w:rPr>
          <w:sz w:val="24"/>
          <w:lang w:val="ro-RO"/>
        </w:rPr>
        <w:tab/>
      </w:r>
      <w:r w:rsidRPr="00A55D01">
        <w:rPr>
          <w:sz w:val="24"/>
          <w:lang w:val="ro-RO"/>
        </w:rPr>
        <w:t>JO L 153, 3.5.2021, p. 48.</w:t>
      </w:r>
    </w:p>
  </w:footnote>
  <w:footnote w:id="2">
    <w:p w14:paraId="318A1E49" w14:textId="77777777" w:rsidR="00EA3BB0" w:rsidRPr="00A55D01" w:rsidRDefault="00EA3BB0" w:rsidP="00A55D01">
      <w:pPr>
        <w:pStyle w:val="FootnoteText"/>
        <w:ind w:left="567" w:hanging="567"/>
        <w:rPr>
          <w:sz w:val="24"/>
          <w:lang w:val="ro-RO"/>
        </w:rPr>
      </w:pPr>
      <w:r w:rsidRPr="00A55D01">
        <w:rPr>
          <w:rStyle w:val="FootnoteReference"/>
          <w:sz w:val="24"/>
          <w:lang w:val="ro-RO"/>
        </w:rPr>
        <w:footnoteRef/>
      </w:r>
      <w:r w:rsidR="00A55D01" w:rsidRPr="00A55D01">
        <w:rPr>
          <w:sz w:val="24"/>
          <w:lang w:val="ro-RO"/>
        </w:rPr>
        <w:t xml:space="preserve"> </w:t>
      </w:r>
      <w:r w:rsidR="00A55D01" w:rsidRPr="00A55D01">
        <w:rPr>
          <w:sz w:val="24"/>
          <w:lang w:val="ro-RO"/>
        </w:rPr>
        <w:tab/>
      </w:r>
      <w:r w:rsidRPr="00A55D01">
        <w:rPr>
          <w:sz w:val="24"/>
          <w:lang w:val="ro-RO"/>
        </w:rPr>
        <w:t>JO L 433 I, 22.12.2020, p. 11.</w:t>
      </w:r>
    </w:p>
  </w:footnote>
  <w:footnote w:id="3">
    <w:p w14:paraId="1AB89589" w14:textId="2C09ACE8" w:rsidR="00EA3BB0" w:rsidRPr="00A55D01" w:rsidRDefault="00EA3BB0" w:rsidP="00A55D01">
      <w:pPr>
        <w:pStyle w:val="FootnoteText"/>
        <w:ind w:left="567" w:hanging="567"/>
        <w:rPr>
          <w:sz w:val="24"/>
          <w:lang w:val="ro-RO"/>
        </w:rPr>
      </w:pPr>
      <w:r w:rsidRPr="00A55D01">
        <w:rPr>
          <w:rStyle w:val="FootnoteReference"/>
          <w:sz w:val="24"/>
          <w:lang w:val="ro-RO"/>
        </w:rPr>
        <w:footnoteRef/>
      </w:r>
      <w:r w:rsidR="00A55D01" w:rsidRPr="00A55D01">
        <w:rPr>
          <w:sz w:val="24"/>
          <w:lang w:val="ro-RO"/>
        </w:rPr>
        <w:t xml:space="preserve"> </w:t>
      </w:r>
      <w:r w:rsidR="00A55D01" w:rsidRPr="00A55D01">
        <w:rPr>
          <w:sz w:val="24"/>
          <w:lang w:val="ro-RO"/>
        </w:rPr>
        <w:tab/>
      </w:r>
      <w:r w:rsidRPr="00A55D01">
        <w:rPr>
          <w:sz w:val="24"/>
          <w:lang w:val="ro-RO"/>
        </w:rPr>
        <w:t>Regulamentul (UE, Euratom) 2024/765 al Consiliului din 29 februarie 2024 de modificare a Regulamentului (UE, Euratom) 2020/2093 de stabilire a cadrului financiar multianual pentru perioada 2021-2027 (JO L, 2024/765, 29.2.2024, ELI:</w:t>
      </w:r>
      <w:r w:rsidRPr="00A55D01">
        <w:rPr>
          <w:iCs/>
          <w:sz w:val="24"/>
          <w:lang w:val="ro-RO"/>
        </w:rPr>
        <w:t xml:space="preserve"> </w:t>
      </w:r>
      <w:hyperlink r:id="rId1" w:history="1">
        <w:r w:rsidR="00651E18" w:rsidRPr="00FC2846">
          <w:rPr>
            <w:rStyle w:val="Hyperlink"/>
            <w:iCs/>
            <w:sz w:val="24"/>
            <w:lang w:val="ro-RO"/>
          </w:rPr>
          <w:t>http://data.europa.eu/eli/reg/2024/765/oj</w:t>
        </w:r>
      </w:hyperlink>
      <w:r w:rsidRPr="00A55D01">
        <w:rPr>
          <w:iCs/>
          <w:sz w:val="24"/>
          <w:lang w:val="ro-RO"/>
        </w:rPr>
        <w:t>).</w:t>
      </w:r>
    </w:p>
  </w:footnote>
  <w:footnote w:id="4">
    <w:p w14:paraId="364D7965" w14:textId="77777777" w:rsidR="00EA3BB0" w:rsidRPr="00A55D01" w:rsidRDefault="00EA3BB0" w:rsidP="00A55D01">
      <w:pPr>
        <w:pStyle w:val="FootnoteText"/>
        <w:ind w:left="567" w:hanging="567"/>
        <w:rPr>
          <w:sz w:val="24"/>
          <w:lang w:val="ro-RO"/>
        </w:rPr>
      </w:pPr>
      <w:r w:rsidRPr="00A55D01">
        <w:rPr>
          <w:rStyle w:val="FootnoteReference"/>
          <w:sz w:val="24"/>
          <w:lang w:val="ro-RO"/>
        </w:rPr>
        <w:footnoteRef/>
      </w:r>
      <w:r w:rsidR="00A55D01" w:rsidRPr="00A55D01">
        <w:rPr>
          <w:sz w:val="24"/>
          <w:lang w:val="ro-RO"/>
        </w:rPr>
        <w:t xml:space="preserve"> </w:t>
      </w:r>
      <w:r w:rsidR="00A55D01" w:rsidRPr="00A55D01">
        <w:rPr>
          <w:sz w:val="24"/>
          <w:lang w:val="ro-RO"/>
        </w:rPr>
        <w:tab/>
      </w:r>
      <w:r w:rsidRPr="00A55D01">
        <w:rPr>
          <w:sz w:val="24"/>
          <w:lang w:val="ro-RO"/>
        </w:rPr>
        <w:t>JO L 433 I, 22.12.2020, p.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D227D5" w14:textId="77777777" w:rsidR="00064002" w:rsidRPr="00A55D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A2DFB" w14:textId="77777777" w:rsidR="00064002" w:rsidRPr="00A55D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F70C3" w14:textId="77777777" w:rsidR="00064002" w:rsidRPr="00A55D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73/2024"/>
    <w:docVar w:name="dvlangue" w:val="RO"/>
    <w:docVar w:name="dvnumam" w:val="0"/>
    <w:docVar w:name="dvpe" w:val="759.750"/>
    <w:docVar w:name="dvrapporteur" w:val="Raportoare: "/>
    <w:docVar w:name="dvtitre" w:val="Rezoluția legislativă a Parlamentului European din 24 aprilie 2024 referitoare la propunerea de decizie a Parlamentului European și a Consiliului privind mobilizarea Fondului european de ajustare la globalizare pentru lucrătorii disponibilizați (EGF/2024/000 TA 2024 – Asistență tehnică la inițiativa Comisiei)(COM(2024)0084 – C9-0042/2024 – 2024/0003(BUD))"/>
  </w:docVars>
  <w:rsids>
    <w:rsidRoot w:val="00971CB9"/>
    <w:rsid w:val="00002272"/>
    <w:rsid w:val="00064002"/>
    <w:rsid w:val="000677B9"/>
    <w:rsid w:val="000831BA"/>
    <w:rsid w:val="00090F94"/>
    <w:rsid w:val="000A42CC"/>
    <w:rsid w:val="000C768D"/>
    <w:rsid w:val="000E7DD9"/>
    <w:rsid w:val="0010095E"/>
    <w:rsid w:val="00125B37"/>
    <w:rsid w:val="00187494"/>
    <w:rsid w:val="001F32AE"/>
    <w:rsid w:val="002767FF"/>
    <w:rsid w:val="002B18FE"/>
    <w:rsid w:val="002B5493"/>
    <w:rsid w:val="00343214"/>
    <w:rsid w:val="00361C00"/>
    <w:rsid w:val="00395FA1"/>
    <w:rsid w:val="003B6F8E"/>
    <w:rsid w:val="003C1120"/>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1E1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1CB9"/>
    <w:rsid w:val="00981893"/>
    <w:rsid w:val="00A1687D"/>
    <w:rsid w:val="00A43E52"/>
    <w:rsid w:val="00A4678D"/>
    <w:rsid w:val="00A55D01"/>
    <w:rsid w:val="00A7683A"/>
    <w:rsid w:val="00A778C7"/>
    <w:rsid w:val="00AB441E"/>
    <w:rsid w:val="00AB6293"/>
    <w:rsid w:val="00AE0928"/>
    <w:rsid w:val="00AF0965"/>
    <w:rsid w:val="00AF3B82"/>
    <w:rsid w:val="00B12E95"/>
    <w:rsid w:val="00B12E9D"/>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3BB0"/>
    <w:rsid w:val="00EB006A"/>
    <w:rsid w:val="00EB4772"/>
    <w:rsid w:val="00ED169E"/>
    <w:rsid w:val="00ED4235"/>
    <w:rsid w:val="00F04346"/>
    <w:rsid w:val="00F075DC"/>
    <w:rsid w:val="00F149E9"/>
    <w:rsid w:val="00F27368"/>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ECE081"/>
  <w15:chartTrackingRefBased/>
  <w15:docId w15:val="{3CD70EA4-DE08-40D9-BF3E-0529BA3C9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A3BB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EA3BB0"/>
    <w:pPr>
      <w:keepNext/>
      <w:spacing w:after="480"/>
      <w:jc w:val="center"/>
    </w:pPr>
    <w:rPr>
      <w:rFonts w:ascii="Arial" w:hAnsi="Arial" w:cs="Arial"/>
      <w:b/>
    </w:rPr>
  </w:style>
  <w:style w:type="paragraph" w:customStyle="1" w:styleId="NormalHanging12a">
    <w:name w:val="NormalHanging12a"/>
    <w:basedOn w:val="Normal"/>
    <w:rsid w:val="00EA3BB0"/>
    <w:pPr>
      <w:spacing w:after="240"/>
      <w:ind w:left="567" w:hanging="567"/>
    </w:pPr>
  </w:style>
  <w:style w:type="paragraph" w:styleId="Header">
    <w:name w:val="header"/>
    <w:basedOn w:val="Normal"/>
    <w:link w:val="HeaderChar"/>
    <w:rsid w:val="00EA3BB0"/>
    <w:pPr>
      <w:tabs>
        <w:tab w:val="center" w:pos="4513"/>
        <w:tab w:val="right" w:pos="9026"/>
      </w:tabs>
    </w:pPr>
  </w:style>
  <w:style w:type="character" w:customStyle="1" w:styleId="HeaderChar">
    <w:name w:val="Header Char"/>
    <w:basedOn w:val="DefaultParagraphFont"/>
    <w:link w:val="Header"/>
    <w:rsid w:val="00EA3BB0"/>
    <w:rPr>
      <w:sz w:val="24"/>
      <w:lang w:val="ro-RO"/>
    </w:rPr>
  </w:style>
  <w:style w:type="paragraph" w:customStyle="1" w:styleId="EPFooter">
    <w:name w:val="EPFooter"/>
    <w:basedOn w:val="Normal"/>
    <w:rsid w:val="00EA3BB0"/>
    <w:pPr>
      <w:tabs>
        <w:tab w:val="center" w:pos="4535"/>
        <w:tab w:val="right" w:pos="9071"/>
      </w:tabs>
      <w:spacing w:before="240" w:after="240"/>
    </w:pPr>
    <w:rPr>
      <w:color w:val="010000"/>
      <w:sz w:val="22"/>
    </w:rPr>
  </w:style>
  <w:style w:type="paragraph" w:customStyle="1" w:styleId="EPComma">
    <w:name w:val="EPComma"/>
    <w:basedOn w:val="Normal"/>
    <w:rsid w:val="00EA3BB0"/>
    <w:pPr>
      <w:spacing w:before="480" w:after="240"/>
    </w:pPr>
  </w:style>
  <w:style w:type="paragraph" w:customStyle="1" w:styleId="Institutionquiagit">
    <w:name w:val="Institution qui agit"/>
    <w:basedOn w:val="Normal"/>
    <w:next w:val="Normal"/>
    <w:rsid w:val="00EA3BB0"/>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EA3BB0"/>
    <w:pPr>
      <w:keepNext/>
      <w:widowControl/>
      <w:tabs>
        <w:tab w:val="left" w:pos="4252"/>
      </w:tabs>
      <w:spacing w:before="720"/>
      <w:jc w:val="both"/>
    </w:pPr>
    <w:rPr>
      <w:rFonts w:eastAsiaTheme="minorHAnsi"/>
      <w:i/>
      <w:szCs w:val="22"/>
      <w:lang w:eastAsia="en-US"/>
    </w:rPr>
  </w:style>
  <w:style w:type="paragraph" w:customStyle="1" w:styleId="Personnequisigne">
    <w:name w:val="Personne qui signe"/>
    <w:basedOn w:val="Normal"/>
    <w:next w:val="Institutionquisigne"/>
    <w:rsid w:val="00EA3BB0"/>
    <w:pPr>
      <w:widowControl/>
      <w:tabs>
        <w:tab w:val="left" w:pos="4252"/>
      </w:tabs>
    </w:pPr>
    <w:rPr>
      <w:rFonts w:eastAsiaTheme="minorHAnsi"/>
      <w:i/>
      <w:szCs w:val="22"/>
      <w:lang w:eastAsia="en-US"/>
    </w:rPr>
  </w:style>
  <w:style w:type="paragraph" w:customStyle="1" w:styleId="Fait">
    <w:name w:val="Fait à"/>
    <w:basedOn w:val="Normal"/>
    <w:next w:val="Institutionquisigne"/>
    <w:rsid w:val="00EA3BB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A3BB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A3BB0"/>
    <w:pPr>
      <w:keepNext/>
      <w:widowControl/>
      <w:spacing w:before="120" w:after="120"/>
      <w:jc w:val="both"/>
    </w:pPr>
    <w:rPr>
      <w:rFonts w:eastAsiaTheme="minorHAnsi"/>
      <w:szCs w:val="22"/>
      <w:lang w:eastAsia="en-US"/>
    </w:rPr>
  </w:style>
  <w:style w:type="paragraph" w:customStyle="1" w:styleId="ManualConsidrant">
    <w:name w:val="Manual Considérant"/>
    <w:basedOn w:val="Normal"/>
    <w:rsid w:val="00EA3BB0"/>
    <w:pPr>
      <w:widowControl/>
      <w:spacing w:before="120" w:after="120"/>
      <w:ind w:left="709" w:hanging="709"/>
      <w:jc w:val="both"/>
    </w:pPr>
    <w:rPr>
      <w:rFonts w:eastAsiaTheme="minorHAnsi"/>
      <w:szCs w:val="22"/>
      <w:lang w:eastAsia="en-US"/>
    </w:rPr>
  </w:style>
  <w:style w:type="paragraph" w:customStyle="1" w:styleId="Titreobjet">
    <w:name w:val="Titre objet"/>
    <w:basedOn w:val="Normal"/>
    <w:next w:val="Normal"/>
    <w:rsid w:val="00EA3BB0"/>
    <w:pPr>
      <w:widowControl/>
      <w:spacing w:before="360" w:after="360"/>
      <w:jc w:val="center"/>
    </w:pPr>
    <w:rPr>
      <w:rFonts w:eastAsiaTheme="minorHAnsi"/>
      <w:b/>
      <w:szCs w:val="22"/>
      <w:lang w:eastAsia="en-US"/>
    </w:rPr>
  </w:style>
  <w:style w:type="paragraph" w:styleId="Footer">
    <w:name w:val="footer"/>
    <w:basedOn w:val="Normal"/>
    <w:link w:val="FooterChar"/>
    <w:rsid w:val="000C768D"/>
    <w:pPr>
      <w:tabs>
        <w:tab w:val="center" w:pos="4513"/>
        <w:tab w:val="right" w:pos="9026"/>
      </w:tabs>
    </w:pPr>
  </w:style>
  <w:style w:type="character" w:customStyle="1" w:styleId="FooterChar">
    <w:name w:val="Footer Char"/>
    <w:basedOn w:val="DefaultParagraphFont"/>
    <w:link w:val="Footer"/>
    <w:rsid w:val="000C768D"/>
    <w:rPr>
      <w:sz w:val="24"/>
      <w:lang w:val="ro-RO"/>
    </w:rPr>
  </w:style>
  <w:style w:type="paragraph" w:styleId="BalloonText">
    <w:name w:val="Balloon Text"/>
    <w:basedOn w:val="Normal"/>
    <w:link w:val="BalloonTextChar"/>
    <w:rsid w:val="000C768D"/>
    <w:rPr>
      <w:rFonts w:ascii="Segoe UI" w:hAnsi="Segoe UI" w:cs="Segoe UI"/>
      <w:sz w:val="18"/>
      <w:szCs w:val="18"/>
    </w:rPr>
  </w:style>
  <w:style w:type="character" w:customStyle="1" w:styleId="BalloonTextChar">
    <w:name w:val="Balloon Text Char"/>
    <w:basedOn w:val="DefaultParagraphFont"/>
    <w:link w:val="BalloonText"/>
    <w:rsid w:val="000C768D"/>
    <w:rPr>
      <w:rFonts w:ascii="Segoe UI" w:hAnsi="Segoe UI" w:cs="Segoe UI"/>
      <w:sz w:val="18"/>
      <w:szCs w:val="18"/>
      <w:lang w:val="ro-RO"/>
    </w:rPr>
  </w:style>
  <w:style w:type="character" w:styleId="CommentReference">
    <w:name w:val="annotation reference"/>
    <w:basedOn w:val="DefaultParagraphFont"/>
    <w:rsid w:val="000C768D"/>
    <w:rPr>
      <w:sz w:val="16"/>
      <w:szCs w:val="16"/>
    </w:rPr>
  </w:style>
  <w:style w:type="paragraph" w:styleId="CommentText">
    <w:name w:val="annotation text"/>
    <w:basedOn w:val="Normal"/>
    <w:link w:val="CommentTextChar"/>
    <w:rsid w:val="000C768D"/>
    <w:rPr>
      <w:sz w:val="20"/>
    </w:rPr>
  </w:style>
  <w:style w:type="character" w:customStyle="1" w:styleId="CommentTextChar">
    <w:name w:val="Comment Text Char"/>
    <w:basedOn w:val="DefaultParagraphFont"/>
    <w:link w:val="CommentText"/>
    <w:rsid w:val="000C768D"/>
    <w:rPr>
      <w:lang w:val="ro-RO"/>
    </w:rPr>
  </w:style>
  <w:style w:type="paragraph" w:styleId="CommentSubject">
    <w:name w:val="annotation subject"/>
    <w:basedOn w:val="CommentText"/>
    <w:next w:val="CommentText"/>
    <w:link w:val="CommentSubjectChar"/>
    <w:rsid w:val="000C768D"/>
    <w:rPr>
      <w:b/>
      <w:bCs/>
    </w:rPr>
  </w:style>
  <w:style w:type="character" w:customStyle="1" w:styleId="CommentSubjectChar">
    <w:name w:val="Comment Subject Char"/>
    <w:basedOn w:val="CommentTextChar"/>
    <w:link w:val="CommentSubject"/>
    <w:rsid w:val="000C768D"/>
    <w:rPr>
      <w:b/>
      <w:bCs/>
      <w:lang w:val="ro-RO"/>
    </w:rPr>
  </w:style>
  <w:style w:type="character" w:styleId="Hyperlink">
    <w:name w:val="Hyperlink"/>
    <w:basedOn w:val="DefaultParagraphFont"/>
    <w:rsid w:val="000C768D"/>
    <w:rPr>
      <w:color w:val="0563C1" w:themeColor="hyperlink"/>
      <w:u w:val="single"/>
    </w:rPr>
  </w:style>
  <w:style w:type="character" w:styleId="FollowedHyperlink">
    <w:name w:val="FollowedHyperlink"/>
    <w:basedOn w:val="DefaultParagraphFont"/>
    <w:rsid w:val="00AF096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397A99-A511-4372-BB82-20ED4C96C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1113</Words>
  <Characters>6721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2024-09-09T14:28:00Z</dcterms:created>
  <dcterms:modified xsi:type="dcterms:W3CDTF">2024-09-09T14:28:00Z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P9_TA(2024)0334_</vt:lpwstr>
  </property>
  <property fmtid="{D5CDD505-2E9C-101B-9397-08002B2CF9AE}" pid="4" name="&lt;Type&gt;">
    <vt:lpwstr>RR</vt:lpwstr>
  </property>
</Properties>
</file>