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3520" w:rsidTr="0010095E">
        <w:trPr>
          <w:trHeight w:hRule="exact" w:val="1418"/>
        </w:trPr>
        <w:tc>
          <w:tcPr>
            <w:tcW w:w="6804" w:type="dxa"/>
            <w:shd w:val="clear" w:color="auto" w:fill="auto"/>
            <w:vAlign w:val="center"/>
          </w:tcPr>
          <w:p w:rsidR="00751A4A" w:rsidRPr="00843520" w:rsidRDefault="001620DF" w:rsidP="0010095E">
            <w:pPr>
              <w:pStyle w:val="EPName"/>
            </w:pPr>
            <w:r w:rsidRPr="00843520">
              <w:t>Parlament Europejski</w:t>
            </w:r>
          </w:p>
          <w:p w:rsidR="00751A4A" w:rsidRPr="00843520" w:rsidRDefault="00817416" w:rsidP="00756632">
            <w:pPr>
              <w:pStyle w:val="EPTerm"/>
              <w:rPr>
                <w:rStyle w:val="HideTWBExt"/>
                <w:noProof w:val="0"/>
                <w:vanish w:val="0"/>
                <w:color w:val="auto"/>
              </w:rPr>
            </w:pPr>
            <w:r w:rsidRPr="00843520">
              <w:t>2019-2024</w:t>
            </w:r>
          </w:p>
        </w:tc>
        <w:tc>
          <w:tcPr>
            <w:tcW w:w="2268" w:type="dxa"/>
            <w:shd w:val="clear" w:color="auto" w:fill="auto"/>
          </w:tcPr>
          <w:p w:rsidR="00751A4A" w:rsidRPr="00843520" w:rsidRDefault="00187494" w:rsidP="0010095E">
            <w:pPr>
              <w:pStyle w:val="EPLogo"/>
            </w:pPr>
            <w:r w:rsidRPr="008435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3520" w:rsidRDefault="00D058B8" w:rsidP="004C5D52">
      <w:pPr>
        <w:pStyle w:val="LineTop"/>
      </w:pPr>
    </w:p>
    <w:p w:rsidR="00680577" w:rsidRPr="00843520" w:rsidRDefault="001620DF" w:rsidP="00680577">
      <w:pPr>
        <w:pStyle w:val="EPBodyTA1"/>
      </w:pPr>
      <w:r w:rsidRPr="00843520">
        <w:t>TEKSTY PRZYJĘTE</w:t>
      </w:r>
    </w:p>
    <w:p w:rsidR="00D058B8" w:rsidRPr="00843520" w:rsidRDefault="00D058B8" w:rsidP="00D058B8">
      <w:pPr>
        <w:pStyle w:val="LineBottom"/>
      </w:pPr>
    </w:p>
    <w:p w:rsidR="001620DF" w:rsidRPr="00843520" w:rsidRDefault="001620DF" w:rsidP="001620DF">
      <w:pPr>
        <w:pStyle w:val="ATHeading1"/>
      </w:pPr>
      <w:bookmarkStart w:id="0" w:name="TANumber"/>
      <w:r w:rsidRPr="00843520">
        <w:t>P9_TA(2024)0</w:t>
      </w:r>
      <w:bookmarkEnd w:id="0"/>
      <w:r w:rsidR="00D35DC9">
        <w:t>336</w:t>
      </w:r>
    </w:p>
    <w:p w:rsidR="001620DF" w:rsidRPr="00843520" w:rsidRDefault="00DB2762" w:rsidP="00DB2762">
      <w:pPr>
        <w:pStyle w:val="ATHeading2"/>
      </w:pPr>
      <w:r w:rsidRPr="00DB2762">
        <w:rPr>
          <w:bCs/>
        </w:rPr>
        <w:t>Środki koordynacji i współpracy mające ułatwić ochronę konsularną niereprezentowanych obywateli</w:t>
      </w:r>
      <w:r>
        <w:rPr>
          <w:bCs/>
        </w:rPr>
        <w:t xml:space="preserve"> </w:t>
      </w:r>
      <w:r w:rsidRPr="00DB2762">
        <w:rPr>
          <w:bCs/>
        </w:rPr>
        <w:t>Unii w państwach trzecich</w:t>
      </w:r>
    </w:p>
    <w:p w:rsidR="001620DF" w:rsidRPr="00843520" w:rsidRDefault="001620DF" w:rsidP="001620DF">
      <w:pPr>
        <w:rPr>
          <w:i/>
          <w:vanish/>
        </w:rPr>
      </w:pPr>
      <w:r w:rsidRPr="00843520">
        <w:rPr>
          <w:i/>
        </w:rPr>
        <w:fldChar w:fldCharType="begin"/>
      </w:r>
      <w:r w:rsidRPr="00843520">
        <w:rPr>
          <w:i/>
        </w:rPr>
        <w:instrText xml:space="preserve"> TC"(</w:instrText>
      </w:r>
      <w:bookmarkStart w:id="1" w:name="DocNumber"/>
      <w:r w:rsidRPr="00843520">
        <w:rPr>
          <w:i/>
        </w:rPr>
        <w:instrText>A9-0178/2024</w:instrText>
      </w:r>
      <w:bookmarkEnd w:id="1"/>
      <w:r w:rsidRPr="00843520">
        <w:rPr>
          <w:i/>
        </w:rPr>
        <w:instrText xml:space="preserve"> - Sprawozdawca: Loránt Vincze)"\l3 \n&gt; \* MERGEFORMAT </w:instrText>
      </w:r>
      <w:r w:rsidRPr="00843520">
        <w:rPr>
          <w:i/>
        </w:rPr>
        <w:fldChar w:fldCharType="end"/>
      </w:r>
    </w:p>
    <w:p w:rsidR="001620DF" w:rsidRPr="00843520" w:rsidRDefault="001620DF" w:rsidP="001620DF">
      <w:pPr>
        <w:rPr>
          <w:vanish/>
        </w:rPr>
      </w:pPr>
      <w:bookmarkStart w:id="2" w:name="Commission"/>
      <w:r w:rsidRPr="00843520">
        <w:rPr>
          <w:vanish/>
        </w:rPr>
        <w:t>Komisja Wolności Obywatelskich, Sprawiedliwości i Spraw Wewnętrznych</w:t>
      </w:r>
      <w:bookmarkEnd w:id="2"/>
    </w:p>
    <w:p w:rsidR="001620DF" w:rsidRPr="00843520" w:rsidRDefault="001620DF" w:rsidP="001620DF">
      <w:pPr>
        <w:rPr>
          <w:vanish/>
        </w:rPr>
      </w:pPr>
      <w:bookmarkStart w:id="3" w:name="PE"/>
      <w:r w:rsidRPr="00843520">
        <w:rPr>
          <w:vanish/>
        </w:rPr>
        <w:t>PE759.050</w:t>
      </w:r>
      <w:bookmarkEnd w:id="3"/>
    </w:p>
    <w:p w:rsidR="001620DF" w:rsidRPr="00843520" w:rsidRDefault="001620DF" w:rsidP="001620DF">
      <w:pPr>
        <w:pStyle w:val="ATHeading3"/>
      </w:pPr>
      <w:bookmarkStart w:id="4" w:name="Sujet"/>
      <w:r w:rsidRPr="00843520">
        <w:t xml:space="preserve">Rezolucja ustawodawcza Parlamentu Europejskiego z dnia </w:t>
      </w:r>
      <w:r w:rsidR="00DB2762">
        <w:t>24 kwietnia</w:t>
      </w:r>
      <w:r w:rsidRPr="00843520">
        <w:t xml:space="preserve"> 2024 r. w sprawie wniosku dotyczącego dyrektywy Rady zmieniającej dyrektywę (UE) 2015/637 w sprawie środków koordynacji i współpracy mających ułatwić ochronę konsularną niereprezentowanych obywateli Unii w państwach trzecich oraz dyrektywę (UE) 2019/997 ustanawiającą unijny tymczasowy dokument podróży</w:t>
      </w:r>
      <w:bookmarkEnd w:id="4"/>
      <w:r w:rsidRPr="00843520">
        <w:t xml:space="preserve"> </w:t>
      </w:r>
      <w:bookmarkStart w:id="5" w:name="References"/>
      <w:r w:rsidRPr="00843520">
        <w:t>(COM</w:t>
      </w:r>
      <w:proofErr w:type="gramStart"/>
      <w:r w:rsidRPr="00843520">
        <w:t>(2023)0930 – C</w:t>
      </w:r>
      <w:proofErr w:type="gramEnd"/>
      <w:r w:rsidRPr="00843520">
        <w:t>9-0015/2024 – 2023/0441(CNS))</w:t>
      </w:r>
      <w:bookmarkEnd w:id="5"/>
    </w:p>
    <w:p w:rsidR="001620DF" w:rsidRPr="00843520" w:rsidRDefault="001620DF" w:rsidP="001620DF"/>
    <w:p w:rsidR="006F7F2D" w:rsidRPr="00843520" w:rsidRDefault="006F7F2D" w:rsidP="006F7F2D">
      <w:pPr>
        <w:pStyle w:val="NormalBold"/>
      </w:pPr>
      <w:bookmarkStart w:id="6" w:name="TextBodyBegin"/>
      <w:bookmarkEnd w:id="6"/>
      <w:r w:rsidRPr="00843520">
        <w:t>(Specjalna procedura ustawodawcza – konsultacja)</w:t>
      </w:r>
    </w:p>
    <w:p w:rsidR="006F7F2D" w:rsidRPr="00843520" w:rsidRDefault="006F7F2D" w:rsidP="006F7F2D">
      <w:pPr>
        <w:pStyle w:val="EPComma"/>
      </w:pPr>
      <w:r w:rsidRPr="00843520">
        <w:rPr>
          <w:i/>
        </w:rPr>
        <w:t>Parlament Europejski</w:t>
      </w:r>
      <w:r w:rsidRPr="00843520">
        <w:t>,</w:t>
      </w:r>
    </w:p>
    <w:p w:rsidR="006F7F2D" w:rsidRPr="00843520" w:rsidRDefault="006F7F2D" w:rsidP="006F7F2D">
      <w:pPr>
        <w:pStyle w:val="NormalHanging12a"/>
      </w:pPr>
      <w:r w:rsidRPr="00843520">
        <w:t>–</w:t>
      </w:r>
      <w:r w:rsidRPr="00843520">
        <w:tab/>
        <w:t>uwzględniając wniosek Komisji przedstawiony Radzie (COM(2023)0930),</w:t>
      </w:r>
    </w:p>
    <w:p w:rsidR="006F7F2D" w:rsidRPr="00843520" w:rsidRDefault="006F7F2D" w:rsidP="006F7F2D">
      <w:pPr>
        <w:pStyle w:val="NormalHanging12a"/>
      </w:pPr>
      <w:r w:rsidRPr="00843520">
        <w:t>–</w:t>
      </w:r>
      <w:r w:rsidRPr="00843520">
        <w:tab/>
        <w:t>uwzględniając art. 23 ust. 2 Traktatu o funkcjonowaniu Unii Europejskiej, na mocy którego Rada skonsultowała się z Parlamentem (C9</w:t>
      </w:r>
      <w:r w:rsidRPr="00843520">
        <w:noBreakHyphen/>
        <w:t>0015/2024),</w:t>
      </w:r>
    </w:p>
    <w:p w:rsidR="006F7F2D" w:rsidRPr="00843520" w:rsidRDefault="006F7F2D" w:rsidP="006F7F2D">
      <w:pPr>
        <w:pStyle w:val="NormalHanging12a"/>
      </w:pPr>
      <w:r w:rsidRPr="00843520">
        <w:t>–</w:t>
      </w:r>
      <w:r w:rsidRPr="00843520">
        <w:tab/>
        <w:t>uwzględniając art. 82 Regulaminu,</w:t>
      </w:r>
    </w:p>
    <w:p w:rsidR="006F7F2D" w:rsidRPr="00843520" w:rsidRDefault="006F7F2D" w:rsidP="006F7F2D">
      <w:pPr>
        <w:pStyle w:val="NormalHanging12a"/>
      </w:pPr>
      <w:r w:rsidRPr="00843520">
        <w:t>–</w:t>
      </w:r>
      <w:r w:rsidRPr="00843520">
        <w:tab/>
        <w:t>uwzględniając opinie przedstawione przez Komisję Spraw Zagranicznych i Komisję Prawną,</w:t>
      </w:r>
    </w:p>
    <w:p w:rsidR="006F7F2D" w:rsidRPr="00843520" w:rsidRDefault="006F7F2D" w:rsidP="006F7F2D">
      <w:pPr>
        <w:pStyle w:val="NormalHanging12a"/>
      </w:pPr>
      <w:r w:rsidRPr="00843520">
        <w:t>–</w:t>
      </w:r>
      <w:r w:rsidRPr="00843520">
        <w:tab/>
        <w:t>uwzględniając sprawozdanie Komisji Wolności Obywatelskich, Sprawiedliwości i Spraw Wewnętrznych (A9-0178/2024),</w:t>
      </w:r>
    </w:p>
    <w:p w:rsidR="006F7F2D" w:rsidRPr="00843520" w:rsidRDefault="006F7F2D" w:rsidP="006F7F2D">
      <w:pPr>
        <w:pStyle w:val="NormalHanging12a"/>
      </w:pPr>
      <w:r w:rsidRPr="00843520">
        <w:t>1.</w:t>
      </w:r>
      <w:r w:rsidRPr="00843520">
        <w:tab/>
      </w:r>
      <w:proofErr w:type="gramStart"/>
      <w:r w:rsidRPr="00843520">
        <w:t>zatwierdza</w:t>
      </w:r>
      <w:proofErr w:type="gramEnd"/>
      <w:r w:rsidRPr="00843520">
        <w:t xml:space="preserve"> po poprawkach wniosek Komisji;</w:t>
      </w:r>
    </w:p>
    <w:p w:rsidR="006F7F2D" w:rsidRPr="00843520" w:rsidRDefault="006F7F2D" w:rsidP="006F7F2D">
      <w:pPr>
        <w:pStyle w:val="NormalHanging12a"/>
      </w:pPr>
      <w:r w:rsidRPr="00843520">
        <w:t>2.</w:t>
      </w:r>
      <w:r w:rsidRPr="00843520">
        <w:tab/>
      </w:r>
      <w:proofErr w:type="gramStart"/>
      <w:r w:rsidRPr="00843520">
        <w:t>zwraca</w:t>
      </w:r>
      <w:proofErr w:type="gramEnd"/>
      <w:r w:rsidRPr="00843520">
        <w:t xml:space="preserve"> się do Komisji o odpowiednią zmianę jej wniosku, zgodnie z art. 293 ust. 2 Traktatu o funkcjonowaniu Unii Europejskiej;</w:t>
      </w:r>
    </w:p>
    <w:p w:rsidR="006F7F2D" w:rsidRPr="00843520" w:rsidRDefault="006F7F2D" w:rsidP="006F7F2D">
      <w:pPr>
        <w:pStyle w:val="NormalHanging12a"/>
      </w:pPr>
      <w:r w:rsidRPr="00843520">
        <w:t>3.</w:t>
      </w:r>
      <w:r w:rsidRPr="00843520">
        <w:tab/>
      </w:r>
      <w:proofErr w:type="gramStart"/>
      <w:r w:rsidRPr="00843520">
        <w:t>zwraca</w:t>
      </w:r>
      <w:proofErr w:type="gramEnd"/>
      <w:r w:rsidRPr="00843520">
        <w:t xml:space="preserve"> się do Rady o poinformowanie go, jeśli uzna ona za stosowne odejście od tekstu przyjętego przez Parlament;</w:t>
      </w:r>
    </w:p>
    <w:p w:rsidR="006F7F2D" w:rsidRPr="00843520" w:rsidRDefault="006F7F2D" w:rsidP="006F7F2D">
      <w:pPr>
        <w:pStyle w:val="NormalHanging12a"/>
      </w:pPr>
      <w:r w:rsidRPr="00843520">
        <w:t>4.</w:t>
      </w:r>
      <w:r w:rsidRPr="00843520">
        <w:tab/>
      </w:r>
      <w:proofErr w:type="gramStart"/>
      <w:r w:rsidRPr="00843520">
        <w:t>zwraca</w:t>
      </w:r>
      <w:proofErr w:type="gramEnd"/>
      <w:r w:rsidRPr="00843520">
        <w:t xml:space="preserve"> się do Rady o ponowne skonsultowanie się z Parlamentem, jeśli uzna ona za stosowne wprowadzenie znaczących zmian do wniosku Komisji;</w:t>
      </w:r>
    </w:p>
    <w:p w:rsidR="006F7F2D" w:rsidRPr="00843520" w:rsidRDefault="006F7F2D" w:rsidP="006F7F2D">
      <w:pPr>
        <w:pStyle w:val="NormalHanging12a"/>
      </w:pPr>
      <w:r w:rsidRPr="00843520">
        <w:t>5.</w:t>
      </w:r>
      <w:r w:rsidRPr="00843520">
        <w:tab/>
      </w:r>
      <w:proofErr w:type="gramStart"/>
      <w:r w:rsidRPr="00843520">
        <w:t>zobowiązuje</w:t>
      </w:r>
      <w:proofErr w:type="gramEnd"/>
      <w:r w:rsidRPr="00843520">
        <w:t xml:space="preserve"> swoją przewodniczącą do przekazania stanowiska Parlamentu Radzie i Komisji oraz parlamentom narodowym.</w:t>
      </w:r>
    </w:p>
    <w:p w:rsidR="00DB2762" w:rsidRDefault="00DB2762">
      <w:pPr>
        <w:widowControl/>
      </w:pPr>
      <w:r>
        <w:lastRenderedPageBreak/>
        <w:br w:type="page"/>
      </w:r>
    </w:p>
    <w:p w:rsidR="006F7F2D" w:rsidRPr="00843520" w:rsidRDefault="006F7F2D" w:rsidP="006F7F2D"/>
    <w:p w:rsidR="006F7F2D" w:rsidRPr="00843520" w:rsidRDefault="006F7F2D" w:rsidP="006F7F2D">
      <w:pPr>
        <w:pStyle w:val="AmNumberTabs"/>
        <w:keepNext/>
      </w:pPr>
      <w:r w:rsidRPr="00843520">
        <w:t>Poprawka</w:t>
      </w:r>
      <w:r w:rsidRPr="00843520">
        <w:tab/>
      </w:r>
      <w:r w:rsidRPr="00843520">
        <w:tab/>
        <w:t>1</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(1a</w:t>
            </w:r>
            <w:proofErr w:type="gramStart"/>
            <w:r w:rsidRPr="00843520">
              <w:rPr>
                <w:b/>
                <w:i/>
              </w:rPr>
              <w:t>)</w:t>
            </w:r>
            <w:r w:rsidRPr="00843520">
              <w:rPr>
                <w:b/>
                <w:i/>
              </w:rPr>
              <w:tab/>
              <w:t>Zakres</w:t>
            </w:r>
            <w:proofErr w:type="gramEnd"/>
            <w:r w:rsidRPr="00843520">
              <w:rPr>
                <w:b/>
                <w:i/>
              </w:rPr>
              <w:t xml:space="preserve"> dyrektywy (UE) 2015/637 należy również rozszerzyć, poza obywateli Unii, na wszystkie inne osoby prawnie upoważnione do ochrony konsularnej państwa członkowskiego, aby umożliwić im uzyskanie takiej ochrony od innego państwa członkowskiego na takich samych warunkach jak niereprezentowani obywatele. Ta kategoria osób może obejmować osoby uznane za uchodźców, bezpaństwowców oraz inne osoby, które nie posiadają obywatelstwa żadnego kraju, osoby przebywające legalnie w państwie członkowskim i posiadające dokument podróży wydany przez to państwo członkowskie oraz osoby korzystające z tymczasowej ochrony.</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(2)</w:t>
            </w:r>
            <w:r w:rsidRPr="00843520">
              <w:tab/>
              <w:t>Częstotliwość</w:t>
            </w:r>
            <w:proofErr w:type="gramEnd"/>
            <w:r w:rsidRPr="00843520">
              <w:t xml:space="preserve"> występowania i skala kryzysów skutkujących wnioskami o ochronę konsularną jest coraz większa. Pandemia COVID-19, kryzys w Afganistanie, rosyjska wojna napastnicza przeciwko Ukrainie, konflikt w Sudanie, repatriacje z Izraela i ze Strefy Gazy oraz inne podobne sytuacje kryzysowe pozwoliły zidentyfikować niedociągnięcia i przemyśleć sposoby dalszego ułatwienia korzystania z prawa do ochrony konsularnej. Opierając się na wnioskach z tych doświadczeń oraz dążąc do uproszczenia procedur dla obywateli i organów konsularnych, należy doprecyzować i usprawnić przepisy i procedury określone w dyrektywie (UE) </w:t>
            </w:r>
            <w:r w:rsidRPr="00843520">
              <w:lastRenderedPageBreak/>
              <w:t>2015/637, aby zwiększyć skuteczność udzielania ochrony konsularnej niereprezentowanym obywatelom Unii, w szczególności w sytuacjach kryzysowych. Należy jak najlepiej wykorzystać zasoby dostępne na szczeblu państw członkowskich i Unii, zarówno na poziomie lokalnym w państwach trzecich, jak i na poziomie stolic.</w:t>
            </w:r>
          </w:p>
        </w:tc>
        <w:tc>
          <w:tcPr>
            <w:tcW w:w="4876" w:type="dxa"/>
          </w:tcPr>
          <w:p w:rsidR="006F7F2D" w:rsidRPr="00843520" w:rsidRDefault="006F7F2D" w:rsidP="0079002B">
            <w:pPr>
              <w:pStyle w:val="Normal6"/>
              <w:rPr>
                <w:szCs w:val="24"/>
              </w:rPr>
            </w:pPr>
            <w:proofErr w:type="gramStart"/>
            <w:r w:rsidRPr="00843520">
              <w:lastRenderedPageBreak/>
              <w:t>(2)</w:t>
            </w:r>
            <w:r w:rsidRPr="00843520">
              <w:tab/>
              <w:t>Częstotliwość</w:t>
            </w:r>
            <w:proofErr w:type="gramEnd"/>
            <w:r w:rsidRPr="00843520">
              <w:t xml:space="preserve"> występowania i skala kryzysów skutkujących wnioskami o ochronę konsularną jest coraz większa. Pandemia COVID-19, kryzys w Afganistanie</w:t>
            </w:r>
            <w:r w:rsidRPr="00843520">
              <w:rPr>
                <w:b/>
                <w:i/>
              </w:rPr>
              <w:t xml:space="preserve"> w 2021 r.</w:t>
            </w:r>
            <w:r w:rsidRPr="00843520">
              <w:t>, rosyjska wojna napastnicza przeciwko Ukrainie, konflikt w Sudanie, repatriacje z Izraela i ze Strefy Gazy</w:t>
            </w:r>
            <w:r w:rsidRPr="00843520">
              <w:rPr>
                <w:b/>
                <w:i/>
              </w:rPr>
              <w:t>, mnożące się kryzysy humanitarne, klęski żywiołowe i katastrofy spowodowane przez człowieka</w:t>
            </w:r>
            <w:r w:rsidRPr="00843520">
              <w:t xml:space="preserve"> oraz inne podobne sytuacje kryzysowe pozwoliły zidentyfikować niedociągnięcia i przemyśleć sposoby dalszego ułatwienia korzystania z prawa do ochrony konsularnej</w:t>
            </w:r>
            <w:r w:rsidRPr="00843520">
              <w:rPr>
                <w:b/>
                <w:i/>
              </w:rPr>
              <w:t xml:space="preserve">. Należy wzmocnić zdolność Unii do reagowania na te mnożące się kryzysy, aby zaradzić wszelkim </w:t>
            </w:r>
            <w:r w:rsidRPr="00843520">
              <w:rPr>
                <w:b/>
                <w:i/>
              </w:rPr>
              <w:lastRenderedPageBreak/>
              <w:t>niedociągnięciom i wzmocnić nasze zdolności w zakresie gotowości, gromadzenia informacji i podejmowania decyzji przed sytuacjami kryzysowymi i w ich trakcie</w:t>
            </w:r>
            <w:r w:rsidRPr="00843520">
              <w:t>. Opierając się na wnioskach z tych doświadczeń oraz dążąc do uproszczenia procedur dla obywateli i organów konsularnych, należy doprecyzować i usprawnić przepisy i procedury określone w dyrektywie (UE) 2015/637, aby zwiększyć skuteczność udzielania ochrony konsularnej niereprezentowanym obywatelom Unii, w szczególności w sytuacjach kryzysowych. Należy jak najlepiej wykorzystać zasoby dostępne na szczeblu państw członkowskich i Unii, zarówno na poziomie lokalnym w państwach trzecich, jak i na poziomie stolic.</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3</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(4)</w:t>
            </w:r>
            <w:r w:rsidRPr="00843520">
              <w:tab/>
              <w:t>Mając</w:t>
            </w:r>
            <w:proofErr w:type="gramEnd"/>
            <w:r w:rsidRPr="00843520">
              <w:t xml:space="preserve"> na uwadze zwiększenie pewności prawa dla organów konsularnych i obywateli, należy określić bardziej szczegółowe kryteria, pomagające ocenić, czy obywatela Unii należy uznać za niereprezentowanego i w związku z tym za kwalifikującego się do otrzymania ochrony konsularnej od państwa członkowskiego, do którego organów konsularnych się zwrócono. Kryteria te powinny być dostatecznie elastyczne i należy je stosować w świetle uwarunkowań lokalnych, takich jak łatwość podróżowania lub sytuacja w zakresie bezpieczeństwa w danym państwie trzecim. Istotnymi czynnikami powinny pozostać w tym kontekście dostępność i</w:t>
            </w:r>
            <w:r w:rsidRPr="00843520">
              <w:rPr>
                <w:b/>
                <w:i/>
              </w:rPr>
              <w:t> </w:t>
            </w:r>
            <w:r w:rsidRPr="00843520">
              <w:t>bliskość.</w:t>
            </w:r>
          </w:p>
        </w:tc>
        <w:tc>
          <w:tcPr>
            <w:tcW w:w="4876" w:type="dxa"/>
          </w:tcPr>
          <w:p w:rsidR="006F7F2D" w:rsidRPr="00843520" w:rsidRDefault="006F7F2D" w:rsidP="0079002B">
            <w:pPr>
              <w:pStyle w:val="Normal6"/>
              <w:rPr>
                <w:szCs w:val="24"/>
              </w:rPr>
            </w:pPr>
            <w:proofErr w:type="gramStart"/>
            <w:r w:rsidRPr="00843520">
              <w:t>(4)</w:t>
            </w:r>
            <w:r w:rsidRPr="00843520">
              <w:tab/>
              <w:t>Mając</w:t>
            </w:r>
            <w:proofErr w:type="gramEnd"/>
            <w:r w:rsidRPr="00843520">
              <w:t xml:space="preserve"> na uwadze zwiększenie pewności prawa dla organów konsularnych i obywateli, należy określić bardziej szczegółowe kryteria, pomagające ocenić, czy obywatela Unii należy uznać za niereprezentowanego i w związku z tym za kwalifikującego się do otrzymania ochrony konsularnej od państwa członkowskiego, do którego organów konsularnych się zwrócono. Kryteria te powinny być dostatecznie </w:t>
            </w:r>
            <w:r w:rsidRPr="00843520">
              <w:rPr>
                <w:b/>
                <w:i/>
              </w:rPr>
              <w:t xml:space="preserve">pragmatyczne, </w:t>
            </w:r>
            <w:r w:rsidRPr="00843520">
              <w:t>elastyczne i należy je stosować w świetle uwarunkowań lokalnych, takich jak łatwość podróżowania lub sytuacja w zakresie bezpieczeństwa w danym państwie trzecim. Istotnymi czynnikami powinny pozostać w tym kontekście dostępność i</w:t>
            </w:r>
            <w:r w:rsidRPr="00843520">
              <w:rPr>
                <w:b/>
                <w:i/>
              </w:rPr>
              <w:t xml:space="preserve"> </w:t>
            </w:r>
            <w:r w:rsidRPr="00843520">
              <w:t>bliskość</w:t>
            </w:r>
            <w:r w:rsidRPr="00843520">
              <w:rPr>
                <w:b/>
                <w:i/>
              </w:rPr>
              <w:t xml:space="preserve"> oraz bezpieczeństwo</w:t>
            </w:r>
            <w:r w:rsidRPr="00843520">
              <w:t>.</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4</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(5)</w:t>
            </w:r>
            <w:r w:rsidRPr="00843520">
              <w:tab/>
              <w:t>Jako</w:t>
            </w:r>
            <w:proofErr w:type="gramEnd"/>
            <w:r w:rsidRPr="00843520">
              <w:t xml:space="preserve"> pierwsze kryterium organy konsularne powinny brać pod uwagę trudności obywateli w bezpiecznym dotarciu do ambasady lub konsulatu państwa członkowskiego, którego są obywatelami, lub trudności tych organów w dotarciu do obywateli, w terminie</w:t>
            </w:r>
            <w:r w:rsidRPr="00843520">
              <w:rPr>
                <w:b/>
                <w:i/>
              </w:rPr>
              <w:t>, który można uznać za rozsądny</w:t>
            </w:r>
            <w:r w:rsidRPr="00843520">
              <w:t>, uwzględniając przy tym charakter i pilność wnioskowanej pomocy oraz środki będące do dyspozycji organów konsularnych, zwłaszcza środki finansowe. Na przykład konieczność uzyskania unijnego tymczasowego dokumentu podróży w następstwie utraty dokumentów podróży powinna, co do zasady, prowadzić do uznania obywatela za niereprezentowanego, jeżeli dotarcie do ambasady lub konsulatu jego państwa członkowskiego wymagałoby podróży nocą lub podróży lotniczej, jako że nie można oczekiwać od niego podróży w takich okolicznościach.</w:t>
            </w:r>
          </w:p>
        </w:tc>
        <w:tc>
          <w:tcPr>
            <w:tcW w:w="4876" w:type="dxa"/>
          </w:tcPr>
          <w:p w:rsidR="006F7F2D" w:rsidRPr="00843520" w:rsidRDefault="006F7F2D" w:rsidP="0079002B">
            <w:pPr>
              <w:pStyle w:val="Normal6"/>
              <w:rPr>
                <w:szCs w:val="24"/>
              </w:rPr>
            </w:pPr>
            <w:proofErr w:type="gramStart"/>
            <w:r w:rsidRPr="00843520">
              <w:t>(5)</w:t>
            </w:r>
            <w:r w:rsidRPr="00843520">
              <w:tab/>
              <w:t>Jako</w:t>
            </w:r>
            <w:proofErr w:type="gramEnd"/>
            <w:r w:rsidRPr="00843520">
              <w:t xml:space="preserve"> pierwsze kryterium organy konsularne powinny brać pod uwagę trudności obywateli w bezpiecznym dotarciu do ambasady lub konsulatu państwa członkowskiego, którego są obywatelami, lub trudności tych organów w dotarciu do obywateli, w terminie</w:t>
            </w:r>
            <w:r w:rsidRPr="00843520">
              <w:rPr>
                <w:b/>
                <w:i/>
              </w:rPr>
              <w:t xml:space="preserve"> 48 godzin</w:t>
            </w:r>
            <w:r w:rsidRPr="00843520">
              <w:t>, uwzględniając przy tym charakter i pilność wnioskowanej pomocy oraz środki będące do dyspozycji organów konsularnych, zwłaszcza środki finansowe</w:t>
            </w:r>
            <w:r w:rsidRPr="00843520">
              <w:rPr>
                <w:b/>
                <w:i/>
              </w:rPr>
              <w:t>. Odpowiedni termin będzie zależał od specyfiki każdego wniosku o pomoc, ale czas na bezpieczne dotarcie obywateli do ambasady lub konsulatu ich państwa członkowskiego lub na dotarcie tych organów do obywateli nie powinien w żadnym wypadku przekraczać 48 godzin</w:t>
            </w:r>
            <w:r w:rsidRPr="00843520">
              <w:t>. Na przykład konieczność uzyskania unijnego tymczasowego dokumentu podróży w następstwie utraty dokumentów podróży powinna, co do zasady, prowadzić do uznania obywatela za niereprezentowanego, jeżeli dotarcie do ambasady lub konsulatu jego państwa członkowskiego wymagałoby podróży nocą lub podróży lotniczej, jako że nie można oczekiwać od niego podróży w takich okolicznościach.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5</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(7)</w:t>
            </w:r>
            <w:r w:rsidRPr="00843520">
              <w:tab/>
              <w:t>Pojęcie</w:t>
            </w:r>
            <w:proofErr w:type="gramEnd"/>
            <w:r w:rsidRPr="00843520">
              <w:t xml:space="preserve"> braku reprezentacji należy interpretować w celu zapewnienia skuteczności prawa do ochrony konsularnej. Jeżeli w następstwie przekierowania obywatela do ambasady lub konsulatu jego państwa członkowskiego, zagrożona mogłaby zostać ochrona konsularna, w szczególności gdy pilny charakter sprawy wymaga natychmiastowego </w:t>
            </w:r>
            <w:r w:rsidRPr="00843520">
              <w:lastRenderedPageBreak/>
              <w:t>działania ze strony ambasady lub konsulatu, do których się zwrócono, takiego obywatela należy również uznać za niereprezentowanego. Jest to szczególnie istotne w sytuacjach kryzysowych, w których brak terminowej pomocy może mieć szczególnie negatywny wpływ na danego obywatela.</w:t>
            </w:r>
          </w:p>
        </w:tc>
        <w:tc>
          <w:tcPr>
            <w:tcW w:w="4876" w:type="dxa"/>
          </w:tcPr>
          <w:p w:rsidR="006F7F2D" w:rsidRPr="00843520" w:rsidRDefault="006F7F2D" w:rsidP="0079002B">
            <w:pPr>
              <w:pStyle w:val="Normal6"/>
              <w:rPr>
                <w:szCs w:val="24"/>
              </w:rPr>
            </w:pPr>
            <w:proofErr w:type="gramStart"/>
            <w:r w:rsidRPr="00843520">
              <w:lastRenderedPageBreak/>
              <w:t>(7)</w:t>
            </w:r>
            <w:r w:rsidRPr="00843520">
              <w:tab/>
              <w:t>Pojęcie</w:t>
            </w:r>
            <w:proofErr w:type="gramEnd"/>
            <w:r w:rsidRPr="00843520">
              <w:t xml:space="preserve"> braku reprezentacji należy interpretować w celu zapewnienia skuteczności prawa do ochrony konsularnej. Jeżeli w następstwie przekierowania obywatela do ambasady lub konsulatu jego państwa członkowskiego, zagrożona mogłaby zostać ochrona konsularna, w szczególności gdy pilny charakter sprawy wymaga natychmiastowego </w:t>
            </w:r>
            <w:r w:rsidRPr="00843520">
              <w:lastRenderedPageBreak/>
              <w:t xml:space="preserve">działania ze strony ambasady lub konsulatu, do których się zwrócono, takiego obywatela należy również uznać za niereprezentowanego. Jest to szczególnie istotne w sytuacjach kryzysowych, w których brak terminowej pomocy może mieć szczególnie negatywny wpływ na danego obywatela. </w:t>
            </w:r>
            <w:r w:rsidRPr="00843520">
              <w:rPr>
                <w:b/>
                <w:i/>
              </w:rPr>
              <w:t>Ponadto należy wziąć pod uwagę znaczne zmniejszenie liczby personelu ambasady lub konsulatu, które może istotnie wpłynąć na skuteczność i efektywność ich działań, ponieważ może to jeszcze pogłębić wyzwania stojące przed obywatelami ubiegającymi się o pomoc konsularną.</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6</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(11)</w:t>
            </w:r>
            <w:r w:rsidRPr="00843520">
              <w:tab/>
              <w:t>Wniosków</w:t>
            </w:r>
            <w:proofErr w:type="gramEnd"/>
            <w:r w:rsidRPr="00843520">
              <w:t xml:space="preserve"> nie należy przekazywać, jeżeli mogłoby to zagrozić ochronie konsularnej, w szczególności jeżeli pilny charakter sprawy wymaga natychmiastowego działania ze strony ambasady lub konsulatu państwa członkowskiego, do których się zwrócono. Może tak być na przykład w przypadku poważnych i nagłych sytuacji o charakterze medycznym lub aresztowań, które wydają się być arbitralne. Ponadto o każdym takim przekazaniu należy poinformować niereprezentowanego obywatela.</w:t>
            </w:r>
          </w:p>
        </w:tc>
        <w:tc>
          <w:tcPr>
            <w:tcW w:w="4876" w:type="dxa"/>
          </w:tcPr>
          <w:p w:rsidR="006F7F2D" w:rsidRPr="00843520" w:rsidRDefault="006F7F2D" w:rsidP="0079002B">
            <w:pPr>
              <w:pStyle w:val="Normal6"/>
              <w:rPr>
                <w:szCs w:val="24"/>
              </w:rPr>
            </w:pPr>
            <w:proofErr w:type="gramStart"/>
            <w:r w:rsidRPr="00843520">
              <w:t>(11)</w:t>
            </w:r>
            <w:r w:rsidRPr="00843520">
              <w:tab/>
              <w:t>Wniosków</w:t>
            </w:r>
            <w:proofErr w:type="gramEnd"/>
            <w:r w:rsidRPr="00843520">
              <w:t xml:space="preserve"> nie należy przekazywać, jeżeli mogłoby to zagrozić ochronie konsularnej, w szczególności jeżeli pilny charakter sprawy wymaga natychmiastowego działania ze strony ambasady lub konsulatu państwa członkowskiego, do których się zwrócono. Może tak być na przykład w przypadku poważnych i nagłych sytuacji o charakterze medycznym lub aresztowań, które wydają się być arbitralne</w:t>
            </w:r>
            <w:r w:rsidRPr="00843520">
              <w:rPr>
                <w:b/>
                <w:i/>
              </w:rPr>
              <w:t xml:space="preserve"> lub umotywowane politycznie</w:t>
            </w:r>
            <w:r w:rsidRPr="00843520">
              <w:t>. Ponadto o każdym takim przekazaniu należy poinformować niereprezentowanego obywatela.</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7</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(13)</w:t>
            </w:r>
            <w:r w:rsidRPr="00843520">
              <w:tab/>
              <w:t>Udzielając</w:t>
            </w:r>
            <w:proofErr w:type="gramEnd"/>
            <w:r w:rsidRPr="00843520">
              <w:t xml:space="preserve"> ochrony konsularnej niereprezentowanym obywatelom, państwa członkowskie powinny uwzględniać </w:t>
            </w:r>
            <w:r w:rsidRPr="00843520">
              <w:rPr>
                <w:b/>
                <w:i/>
              </w:rPr>
              <w:t>określone potrzeby</w:t>
            </w:r>
            <w:r w:rsidRPr="00843520">
              <w:t xml:space="preserve"> grup szczególnie wrażliwych, takich jak małoletni bez </w:t>
            </w:r>
            <w:r w:rsidRPr="00843520">
              <w:lastRenderedPageBreak/>
              <w:t>opieki, kobiety w ciąży, osoby o ograniczonej możliwości poruszania się, osoby z niepełnosprawnościami lub osoby zagrożone dyskryminacją z jakichkolwiek względów, takich jak te, o których mowa w art. 21 karty.</w:t>
            </w:r>
          </w:p>
        </w:tc>
        <w:tc>
          <w:tcPr>
            <w:tcW w:w="4876" w:type="dxa"/>
          </w:tcPr>
          <w:p w:rsidR="006F7F2D" w:rsidRPr="00843520" w:rsidRDefault="006F7F2D" w:rsidP="0079002B">
            <w:pPr>
              <w:pStyle w:val="Normal6"/>
              <w:rPr>
                <w:szCs w:val="24"/>
              </w:rPr>
            </w:pPr>
            <w:proofErr w:type="gramStart"/>
            <w:r w:rsidRPr="00843520">
              <w:lastRenderedPageBreak/>
              <w:t>(13)</w:t>
            </w:r>
            <w:r w:rsidRPr="00843520">
              <w:tab/>
              <w:t>Udzielając</w:t>
            </w:r>
            <w:proofErr w:type="gramEnd"/>
            <w:r w:rsidRPr="00843520">
              <w:t xml:space="preserve"> ochrony konsularnej niereprezentowanym obywatelom, państwa członkowskie powinny uwzględniać </w:t>
            </w:r>
            <w:r w:rsidRPr="00843520">
              <w:rPr>
                <w:b/>
                <w:i/>
              </w:rPr>
              <w:t xml:space="preserve">podejście </w:t>
            </w:r>
            <w:proofErr w:type="spellStart"/>
            <w:r w:rsidRPr="00843520">
              <w:rPr>
                <w:b/>
                <w:i/>
              </w:rPr>
              <w:t>intersekcjonalne</w:t>
            </w:r>
            <w:proofErr w:type="spellEnd"/>
            <w:r w:rsidRPr="00843520">
              <w:rPr>
                <w:b/>
                <w:i/>
              </w:rPr>
              <w:t xml:space="preserve"> do określonych potrzeb</w:t>
            </w:r>
            <w:r w:rsidRPr="00843520">
              <w:t xml:space="preserve"> grup szczególnie wrażliwych, </w:t>
            </w:r>
            <w:r w:rsidRPr="00843520">
              <w:lastRenderedPageBreak/>
              <w:t xml:space="preserve">takich jak małoletni bez opieki, </w:t>
            </w:r>
            <w:r w:rsidRPr="00843520">
              <w:rPr>
                <w:b/>
                <w:i/>
              </w:rPr>
              <w:t xml:space="preserve">ofiary przymusowego małżeństwa i niewoli małżeńskiej, którym należy zapewnić wsparcie prawne i psychologiczne, </w:t>
            </w:r>
            <w:r w:rsidRPr="00843520">
              <w:t>kobiety w ciąży, osoby o ograniczonej możliwości poruszania się</w:t>
            </w:r>
            <w:r w:rsidRPr="00843520">
              <w:rPr>
                <w:b/>
                <w:i/>
              </w:rPr>
              <w:t>, osoby starsze</w:t>
            </w:r>
            <w:r w:rsidRPr="00843520">
              <w:t>, osoby z niepełnosprawnościami lub osoby zagrożone dyskryminacją z jakichkolwiek względów, takich jak te, o których mowa w art. 21 karty.</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8</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(19)</w:t>
            </w:r>
            <w:r w:rsidRPr="00843520">
              <w:tab/>
              <w:t>Aby</w:t>
            </w:r>
            <w:proofErr w:type="gramEnd"/>
            <w:r w:rsidRPr="00843520">
              <w:t xml:space="preserve"> zapewnić gotowość na wypadek ewentualnych kryzysów konsularnych wiążących się z koniecznością udzielenia pomocy niereprezentowanym obywatelom, lokalna współpraca konsularna między państwami członkowskimi i delegaturami Unii w państwach trzecich powinna przewidywać wymianę informacji dotyczących kwestii istotnych dla takich obywateli, w tym ich bezpieczeństwa, ustanowienie wspólnych konsularnych planów </w:t>
            </w:r>
            <w:proofErr w:type="spellStart"/>
            <w:r w:rsidRPr="00843520">
              <w:t>ewentualnościowych</w:t>
            </w:r>
            <w:proofErr w:type="spellEnd"/>
            <w:r w:rsidRPr="00843520">
              <w:t xml:space="preserve"> oraz organizację ćwiczeń konsularnych. W tym kontekście szczególnie istotne może być włączenie do takiej lokalnej współpracy – na etapie koordynowania gotowości na kryzysy konsularne i reagowania w przypadku takiego kryzysu – organów konsularnych niereprezentowanych państw członkowskich.</w:t>
            </w:r>
          </w:p>
        </w:tc>
        <w:tc>
          <w:tcPr>
            <w:tcW w:w="4876" w:type="dxa"/>
          </w:tcPr>
          <w:p w:rsidR="006F7F2D" w:rsidRPr="00843520" w:rsidRDefault="006F7F2D" w:rsidP="0079002B">
            <w:pPr>
              <w:pStyle w:val="Normal6"/>
              <w:rPr>
                <w:szCs w:val="24"/>
              </w:rPr>
            </w:pPr>
            <w:proofErr w:type="gramStart"/>
            <w:r w:rsidRPr="00843520">
              <w:t>(19)</w:t>
            </w:r>
            <w:r w:rsidRPr="00843520">
              <w:tab/>
              <w:t>Aby</w:t>
            </w:r>
            <w:proofErr w:type="gramEnd"/>
            <w:r w:rsidRPr="00843520">
              <w:t xml:space="preserve"> zapewnić gotowość na wypadek ewentualnych kryzysów konsularnych wiążących się z koniecznością udzielenia pomocy niereprezentowanym obywatelom</w:t>
            </w:r>
            <w:r w:rsidRPr="00843520">
              <w:rPr>
                <w:b/>
                <w:i/>
              </w:rPr>
              <w:t xml:space="preserve"> – w tym klęsk żywiołowych</w:t>
            </w:r>
            <w:r w:rsidRPr="00843520">
              <w:t>,</w:t>
            </w:r>
            <w:r w:rsidRPr="00843520">
              <w:rPr>
                <w:b/>
                <w:i/>
              </w:rPr>
              <w:t xml:space="preserve"> niepokojów politycznych lub ataków terrorystycznych –</w:t>
            </w:r>
            <w:r w:rsidRPr="00843520">
              <w:t xml:space="preserve"> lokalna współpraca konsularna między państwami członkowskimi i delegaturami Unii w państwach trzecich powinna przewidywać wymianę informacji dotyczących kwestii istotnych dla takich obywateli, w tym ich bezpieczeństwa, ustanowienie wspólnych konsularnych planów </w:t>
            </w:r>
            <w:proofErr w:type="spellStart"/>
            <w:r w:rsidRPr="00843520">
              <w:t>ewentualnościowych</w:t>
            </w:r>
            <w:proofErr w:type="spellEnd"/>
            <w:r w:rsidRPr="00843520">
              <w:rPr>
                <w:b/>
                <w:i/>
              </w:rPr>
              <w:t xml:space="preserve"> i mechanizmów szybkiego reagowania</w:t>
            </w:r>
            <w:r w:rsidRPr="00843520">
              <w:t xml:space="preserve"> oraz organizację ćwiczeń konsularnych. W tym kontekście szczególnie istotne może być włączenie do takiej lokalnej współpracy – na etapie koordynowania gotowości na kryzysy konsularne i reagowania w przypadku takiego kryzysu – organów konsularnych niereprezentowanych państw członkowskich.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9</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(23)</w:t>
            </w:r>
            <w:r w:rsidRPr="00843520">
              <w:tab/>
              <w:t>Aby</w:t>
            </w:r>
            <w:proofErr w:type="gramEnd"/>
            <w:r w:rsidRPr="00843520">
              <w:t xml:space="preserve"> zapewnić skuteczną koordynację pomocy konsularnej, należy, w stosownych przypadkach, uwzględnić we wspólnych konsularnych planach </w:t>
            </w:r>
            <w:proofErr w:type="spellStart"/>
            <w:r w:rsidRPr="00843520">
              <w:t>ewentualnościowych</w:t>
            </w:r>
            <w:proofErr w:type="spellEnd"/>
            <w:r w:rsidRPr="00843520">
              <w:t xml:space="preserve"> role i obowiązki państw wiodących, tj. państw członkowskich reprezentowanych w danym państwie trzecim, które odpowiadają za koordynację pomocy dla niereprezentowanych obywateli w okresie kryzysu i kierowanie taką pomocą. Ponadto wspólne konsularne plany </w:t>
            </w:r>
            <w:proofErr w:type="spellStart"/>
            <w:r w:rsidRPr="00843520">
              <w:t>ewentualnościowe</w:t>
            </w:r>
            <w:proofErr w:type="spellEnd"/>
            <w:r w:rsidRPr="00843520">
              <w:t xml:space="preserve"> powinny być poddawane corocznej ocenie w kontekście ćwiczeń konsularnych. Pozwoli to zagwarantować stałą adekwatność takich planów. Jednocześnie przez wspólne konsularne plany </w:t>
            </w:r>
            <w:proofErr w:type="spellStart"/>
            <w:r w:rsidRPr="00843520">
              <w:t>ewentualnościowe</w:t>
            </w:r>
            <w:proofErr w:type="spellEnd"/>
            <w:r w:rsidRPr="00843520">
              <w:t xml:space="preserve"> nie należy rozumieć planów, które zastępują istniejące krajowe plany </w:t>
            </w:r>
            <w:proofErr w:type="spellStart"/>
            <w:r w:rsidRPr="00843520">
              <w:t>ewentualnościowe</w:t>
            </w:r>
            <w:proofErr w:type="spellEnd"/>
            <w:r w:rsidRPr="00843520">
              <w:t xml:space="preserve"> poszczególnych państw członkowskich lub które mają wpływ na ich odpowiedzialność za udzielanie pomocy konsularnej swoim obywatelom.</w:t>
            </w:r>
          </w:p>
        </w:tc>
        <w:tc>
          <w:tcPr>
            <w:tcW w:w="4876" w:type="dxa"/>
          </w:tcPr>
          <w:p w:rsidR="006F7F2D" w:rsidRPr="00843520" w:rsidRDefault="006F7F2D" w:rsidP="0079002B">
            <w:pPr>
              <w:pStyle w:val="Normal6"/>
              <w:rPr>
                <w:szCs w:val="24"/>
              </w:rPr>
            </w:pPr>
            <w:proofErr w:type="gramStart"/>
            <w:r w:rsidRPr="00843520">
              <w:t>(23)</w:t>
            </w:r>
            <w:r w:rsidRPr="00843520">
              <w:tab/>
              <w:t>Aby</w:t>
            </w:r>
            <w:proofErr w:type="gramEnd"/>
            <w:r w:rsidRPr="00843520">
              <w:t xml:space="preserve"> zapewnić skuteczną koordynację pomocy konsularnej, należy, w stosownych przypadkach, uwzględnić we wspólnych konsularnych planach </w:t>
            </w:r>
            <w:proofErr w:type="spellStart"/>
            <w:r w:rsidRPr="00843520">
              <w:t>ewentualnościowych</w:t>
            </w:r>
            <w:proofErr w:type="spellEnd"/>
            <w:r w:rsidRPr="00843520">
              <w:t xml:space="preserve"> role i obowiązki państw wiodących, tj. państw członkowskich reprezentowanych w danym państwie trzecim, które odpowiadają za koordynację pomocy dla niereprezentowanych obywateli w okresie kryzysu i kierowanie taką pomocą. Ponadto wspólne konsularne plany </w:t>
            </w:r>
            <w:proofErr w:type="spellStart"/>
            <w:r w:rsidRPr="00843520">
              <w:t>ewentualnościowe</w:t>
            </w:r>
            <w:proofErr w:type="spellEnd"/>
            <w:r w:rsidRPr="00843520">
              <w:t xml:space="preserve"> powinny być poddawane corocznej ocenie</w:t>
            </w:r>
            <w:r w:rsidRPr="00843520">
              <w:rPr>
                <w:b/>
                <w:i/>
              </w:rPr>
              <w:t>, lub częstszej, jeśli zaistnieją nadzwyczajne okoliczności, które tego wymagają,</w:t>
            </w:r>
            <w:r w:rsidRPr="00843520">
              <w:t xml:space="preserve"> w kontekście ćwiczeń konsularnych. Pozwoli to zagwarantować stałą adekwatność takich planów. Jednocześnie przez wspólne konsularne plany </w:t>
            </w:r>
            <w:proofErr w:type="spellStart"/>
            <w:r w:rsidRPr="00843520">
              <w:t>ewentualnościowe</w:t>
            </w:r>
            <w:proofErr w:type="spellEnd"/>
            <w:r w:rsidRPr="00843520">
              <w:t xml:space="preserve"> nie należy rozumieć planów, które zastępują istniejące krajowe plany </w:t>
            </w:r>
            <w:proofErr w:type="spellStart"/>
            <w:r w:rsidRPr="00843520">
              <w:t>ewentualnościowe</w:t>
            </w:r>
            <w:proofErr w:type="spellEnd"/>
            <w:r w:rsidRPr="00843520">
              <w:t xml:space="preserve"> poszczególnych państw członkowskich lub które mają wpływ na ich odpowiedzialność za udzielanie pomocy konsularnej swoim obywatelom</w:t>
            </w:r>
            <w:r w:rsidRPr="00843520">
              <w:rPr>
                <w:b/>
                <w:i/>
              </w:rPr>
              <w:t>, ale spójne podejście, które może dodatkowo pomóc w koordynacji działań reprezentowanych państw członkowskich</w:t>
            </w:r>
            <w:r w:rsidRPr="00843520">
              <w:t>.</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10</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(25)</w:t>
            </w:r>
            <w:r w:rsidRPr="00843520">
              <w:tab/>
              <w:t>Zalecenia</w:t>
            </w:r>
            <w:proofErr w:type="gramEnd"/>
            <w:r w:rsidRPr="00843520">
              <w:t xml:space="preserve"> dla podróżnych, tj. informacje wydawane przez państwa członkowskie odnośnie do względnego bezpieczeństwa podróży do określonych państw trzecich, </w:t>
            </w:r>
            <w:r w:rsidRPr="00843520">
              <w:rPr>
                <w:b/>
                <w:i/>
              </w:rPr>
              <w:t>umożliwiają</w:t>
            </w:r>
            <w:r w:rsidRPr="00843520">
              <w:t xml:space="preserve"> podróżnym podejmowanie świadomych decyzji o konkretnym miejscu docelowym podróży, w tym w państwach trzecich, w których ich państwo członkowskie obywatelstwa nie jest reprezentowane. </w:t>
            </w:r>
            <w:r w:rsidRPr="00843520">
              <w:lastRenderedPageBreak/>
              <w:t xml:space="preserve">Wydawanie zaleceń dla podróżnych należy do obowiązków państw członkowskich, powinny one jednak koordynować swoje działania w tym zakresie, zwłaszcza w kontekście </w:t>
            </w:r>
            <w:r w:rsidRPr="00843520">
              <w:rPr>
                <w:b/>
                <w:i/>
              </w:rPr>
              <w:t>sytuacji kryzysowych</w:t>
            </w:r>
            <w:r w:rsidRPr="00843520">
              <w:t>, mając na uwadze zagwarantowanie</w:t>
            </w:r>
            <w:r w:rsidRPr="00843520">
              <w:rPr>
                <w:b/>
                <w:i/>
              </w:rPr>
              <w:t>, w miarę możliwości,</w:t>
            </w:r>
            <w:r w:rsidRPr="00843520">
              <w:t xml:space="preserve"> spójnego poziomu udzielanych zaleceń. Taka koordynacja mogłaby obejmować uzgodnienie wspólnej struktury poziomów ryzyka wskazywanych w zaleceniach dla podróżnych, z wykorzystaniem bezpiecznej platformy ESDZ. </w:t>
            </w:r>
            <w:r w:rsidRPr="00843520">
              <w:rPr>
                <w:b/>
                <w:i/>
              </w:rPr>
              <w:t>W miarę możliwości</w:t>
            </w:r>
            <w:r w:rsidRPr="00843520">
              <w:t xml:space="preserve"> taka koordynacja powinna odbywać się na wczesnym etapie, gdy państwa członkowskie planują zmienić poziom zaleceń dla podróżnych.</w:t>
            </w:r>
          </w:p>
        </w:tc>
        <w:tc>
          <w:tcPr>
            <w:tcW w:w="4876" w:type="dxa"/>
          </w:tcPr>
          <w:p w:rsidR="006F7F2D" w:rsidRPr="00843520" w:rsidRDefault="006F7F2D" w:rsidP="0079002B">
            <w:pPr>
              <w:pStyle w:val="Normal6"/>
              <w:rPr>
                <w:szCs w:val="24"/>
              </w:rPr>
            </w:pPr>
            <w:proofErr w:type="gramStart"/>
            <w:r w:rsidRPr="00843520">
              <w:lastRenderedPageBreak/>
              <w:t>(25)</w:t>
            </w:r>
            <w:r w:rsidRPr="00843520">
              <w:tab/>
              <w:t>Zalecenia</w:t>
            </w:r>
            <w:proofErr w:type="gramEnd"/>
            <w:r w:rsidRPr="00843520">
              <w:t xml:space="preserve"> dla podróżnych, tj. informacje wydawane przez państwa członkowskie odnośnie do względnego bezpieczeństwa podróży do określonych państw trzecich, </w:t>
            </w:r>
            <w:r w:rsidRPr="00843520">
              <w:rPr>
                <w:b/>
                <w:i/>
              </w:rPr>
              <w:t>należy regularnie aktualizować, aby umożliwić</w:t>
            </w:r>
            <w:r w:rsidRPr="00843520">
              <w:t xml:space="preserve"> podróżnym podejmowanie świadomych decyzji o konkretnym miejscu docelowym podróży, w tym w państwach trzecich, w których ich państwo członkowskie </w:t>
            </w:r>
            <w:r w:rsidRPr="00843520">
              <w:lastRenderedPageBreak/>
              <w:t xml:space="preserve">obywatelstwa nie jest reprezentowane. Wydawanie zaleceń dla podróżnych należy do obowiązków państw członkowskich, powinny one jednak koordynować swoje działania w tym zakresie, zwłaszcza w kontekście </w:t>
            </w:r>
            <w:r w:rsidRPr="00843520">
              <w:rPr>
                <w:b/>
                <w:i/>
              </w:rPr>
              <w:t>kryzysów</w:t>
            </w:r>
            <w:r w:rsidRPr="00843520">
              <w:t>, mając na uwadze zagwarantowanie spójnego poziomu udzielanych zaleceń. Taka koordynacja mogłaby obejmować uzgodnienie wspólnej struktury poziomów ryzyka wskazywanych w zaleceniach dla podróżnych, z wykorzystaniem bezpiecznej platformy ESDZ. Taka koordynacja powinna odbywać się na wczesnym etapie, gdy państwa członkowskie planują zmienić poziom zaleceń dla podróżnych.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11</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(26)</w:t>
            </w:r>
            <w:r w:rsidRPr="00843520">
              <w:tab/>
              <w:t>Skuteczna</w:t>
            </w:r>
            <w:proofErr w:type="gramEnd"/>
            <w:r w:rsidRPr="00843520">
              <w:t xml:space="preserve"> koordynacja ma zasadnicze znaczenie dla zapewnienia skutecznego reagowania kryzysowego. Aby zapewnienie takiej koordynacji było możliwe, państwa członkowskie </w:t>
            </w:r>
            <w:r w:rsidRPr="00843520">
              <w:rPr>
                <w:b/>
                <w:i/>
              </w:rPr>
              <w:t>powinny</w:t>
            </w:r>
            <w:r w:rsidRPr="00843520">
              <w:t xml:space="preserve"> być wspierane przez Centrum Reagowania Kryzysowego ESDZ oraz przez Centrum Koordynacji Reagowania Kryzysowego Komisji. Skoordynowane reagowanie Unii w sytuacjach kryzysowych jest szczególnie ważne w przypadkach wymagających ewakuacji, ponieważ pozwala zapewnić skuteczne udzielanie dostępnego wsparcia oraz optymalne wykorzystanie dostępnych możliwości ewakuacji. Z tego powodu informacje na temat dostępnych możliwości ewakuacji powinny jak najszybciej wzajemnie przekazywane, również w przypadku operacji ratowniczych i ewakuacyjnych z wykorzystaniem zasobów wojskowych.</w:t>
            </w:r>
          </w:p>
        </w:tc>
        <w:tc>
          <w:tcPr>
            <w:tcW w:w="4876" w:type="dxa"/>
          </w:tcPr>
          <w:p w:rsidR="006F7F2D" w:rsidRPr="00843520" w:rsidRDefault="006F7F2D" w:rsidP="0079002B">
            <w:pPr>
              <w:pStyle w:val="Normal6"/>
              <w:rPr>
                <w:szCs w:val="24"/>
              </w:rPr>
            </w:pPr>
            <w:proofErr w:type="gramStart"/>
            <w:r w:rsidRPr="00843520">
              <w:t>(26)</w:t>
            </w:r>
            <w:r w:rsidRPr="00843520">
              <w:tab/>
              <w:t>Skuteczna</w:t>
            </w:r>
            <w:proofErr w:type="gramEnd"/>
            <w:r w:rsidRPr="00843520">
              <w:t xml:space="preserve"> koordynacja ma zasadnicze znaczenie dla zapewnienia skutecznego reagowania kryzysowego. Aby zapewnienie takiej koordynacji było możliwe, państwa członkowskie </w:t>
            </w:r>
            <w:r w:rsidRPr="00843520">
              <w:rPr>
                <w:b/>
                <w:i/>
              </w:rPr>
              <w:t>muszą</w:t>
            </w:r>
            <w:r w:rsidRPr="00843520">
              <w:t xml:space="preserve"> być wspierane przez Centrum Reagowania Kryzysowego ESDZ oraz przez Centrum Koordynacji Reagowania Kryzysowego Komisji</w:t>
            </w:r>
            <w:r w:rsidRPr="00843520">
              <w:rPr>
                <w:b/>
                <w:i/>
              </w:rPr>
              <w:t xml:space="preserve"> i otrzymywać od nich terminowe informacje</w:t>
            </w:r>
            <w:r w:rsidRPr="00843520">
              <w:t>. Skoordynowane reagowanie Unii w sytuacjach kryzysowych jest szczególnie ważne w przypadkach wymagających ewakuacji, ponieważ pozwala zapewnić</w:t>
            </w:r>
            <w:r w:rsidRPr="00843520">
              <w:rPr>
                <w:b/>
                <w:i/>
              </w:rPr>
              <w:t xml:space="preserve"> szybkie i</w:t>
            </w:r>
            <w:r w:rsidRPr="00843520">
              <w:t xml:space="preserve"> skuteczne udzielanie dostępnego wsparcia oraz optymalne wykorzystanie dostępnych możliwości ewakuacji. Z tego powodu </w:t>
            </w:r>
            <w:r w:rsidRPr="00843520">
              <w:rPr>
                <w:b/>
                <w:i/>
              </w:rPr>
              <w:t xml:space="preserve">odpowiednie </w:t>
            </w:r>
            <w:r w:rsidRPr="00843520">
              <w:t xml:space="preserve">informacje </w:t>
            </w:r>
            <w:r w:rsidRPr="00843520">
              <w:rPr>
                <w:b/>
                <w:i/>
              </w:rPr>
              <w:t xml:space="preserve">z pierwszej ręki, np. </w:t>
            </w:r>
            <w:r w:rsidRPr="00843520">
              <w:t>na temat dostępnych możliwości ewakuacji</w:t>
            </w:r>
            <w:r w:rsidRPr="00843520">
              <w:rPr>
                <w:b/>
                <w:i/>
              </w:rPr>
              <w:t>,</w:t>
            </w:r>
            <w:r w:rsidRPr="00843520">
              <w:t xml:space="preserve"> powinny </w:t>
            </w:r>
            <w:r w:rsidRPr="00843520">
              <w:rPr>
                <w:b/>
                <w:i/>
              </w:rPr>
              <w:t xml:space="preserve">być </w:t>
            </w:r>
            <w:r w:rsidRPr="00843520">
              <w:t>jak najszybciej wzajemnie przekazywane</w:t>
            </w:r>
            <w:r w:rsidRPr="00843520">
              <w:rPr>
                <w:b/>
                <w:i/>
              </w:rPr>
              <w:t>, aby umożliwić szybką i skuteczną reakcję</w:t>
            </w:r>
            <w:r w:rsidRPr="00843520">
              <w:t xml:space="preserve">, również w przypadku operacji ratowniczych i ewakuacyjnych z wykorzystaniem zasobów wojskowych. </w:t>
            </w:r>
            <w:r w:rsidRPr="00843520">
              <w:rPr>
                <w:b/>
                <w:i/>
              </w:rPr>
              <w:t xml:space="preserve">W związku z tym </w:t>
            </w:r>
            <w:r w:rsidRPr="00843520">
              <w:rPr>
                <w:b/>
                <w:i/>
              </w:rPr>
              <w:lastRenderedPageBreak/>
              <w:t>ESDZ powinna mieć możliwość otrzymywania od państw członkowskich automatycznych i bieżących informacji na temat sytuacji w państwach trzecich.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12</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(28)</w:t>
            </w:r>
            <w:r w:rsidRPr="00843520">
              <w:tab/>
              <w:t>Wspólne</w:t>
            </w:r>
            <w:proofErr w:type="gramEnd"/>
            <w:r w:rsidRPr="00843520">
              <w:t xml:space="preserve"> zespoły konsularne powinny opierać się na zasadach </w:t>
            </w:r>
            <w:r w:rsidRPr="00843520">
              <w:rPr>
                <w:b/>
                <w:i/>
              </w:rPr>
              <w:t xml:space="preserve">dobrowolnego udziału, </w:t>
            </w:r>
            <w:r w:rsidRPr="00843520">
              <w:t>solidarności z reprezentowanymi państwami członkowskimi, równości w odniesieniu do decyzji w sprawie wewnętrznych struktur roboczych, prostoty pod względem składu zespołów, podziału kosztów – każde państwo członkowskie, instytucja lub organ Unii ponoszą własne koszty operacyjne, elastyczności, widoczności skoordynowanej reakcji Unii oraz otwartości w relacjach z danymi państwami trzecimi.</w:t>
            </w:r>
          </w:p>
        </w:tc>
        <w:tc>
          <w:tcPr>
            <w:tcW w:w="4876" w:type="dxa"/>
          </w:tcPr>
          <w:p w:rsidR="006F7F2D" w:rsidRPr="00843520" w:rsidRDefault="006F7F2D" w:rsidP="0079002B">
            <w:pPr>
              <w:pStyle w:val="Normal6"/>
              <w:rPr>
                <w:szCs w:val="24"/>
              </w:rPr>
            </w:pPr>
            <w:proofErr w:type="gramStart"/>
            <w:r w:rsidRPr="00843520">
              <w:t>(28)</w:t>
            </w:r>
            <w:r w:rsidRPr="00843520">
              <w:tab/>
              <w:t>Wspólne</w:t>
            </w:r>
            <w:proofErr w:type="gramEnd"/>
            <w:r w:rsidRPr="00843520">
              <w:t xml:space="preserve"> zespoły konsularne powinny opierać się na zasadach solidarności z reprezentowanymi państwami członkowskimi, równości w odniesieniu do decyzji w sprawie wewnętrznych struktur roboczych, prostoty pod względem składu zespołów, podziału kosztów – każde państwo członkowskie, instytucja lub organ Unii ponoszą własne koszty operacyjne, elastyczności, widoczności skoordynowanej reakcji Unii oraz otwartości w relacjach z danymi państwami trzecimi.</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13</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(30)</w:t>
            </w:r>
            <w:r w:rsidRPr="00843520">
              <w:tab/>
              <w:t>Ważnym</w:t>
            </w:r>
            <w:proofErr w:type="gramEnd"/>
            <w:r w:rsidRPr="00843520">
              <w:t xml:space="preserve"> aspektem udzielania wsparcia obywatelom Unii znajdującym się w potrzebie, jest zapewnienie im wiarygodnych informacji o tym, jak korzystać z pomocy konsularnej w państwach trzecich. Służby Komisji i ESDZ powinny </w:t>
            </w:r>
            <w:r w:rsidRPr="00843520">
              <w:rPr>
                <w:b/>
                <w:i/>
              </w:rPr>
              <w:t>przyczyniać się do realizacji tego celu poprzez rozpowszechnianie istotnych informacji</w:t>
            </w:r>
            <w:r w:rsidRPr="00843520">
              <w:t xml:space="preserve">, w tym </w:t>
            </w:r>
            <w:r w:rsidRPr="00843520">
              <w:rPr>
                <w:b/>
                <w:i/>
              </w:rPr>
              <w:t>informacji</w:t>
            </w:r>
            <w:r w:rsidRPr="00843520">
              <w:t xml:space="preserve">, które państwa członkowskie powinny udostępniać na temat swoich sieci konsularnych i państw trzecich, w których dokonały one praktycznych ustaleń dotyczących podziału odpowiedzialności za udzielanie niereprezentowanym obywatelom ochrony </w:t>
            </w:r>
            <w:r w:rsidRPr="00843520">
              <w:lastRenderedPageBreak/>
              <w:t>konsularnej. Dla ułatwienia przetwarzania takich informacji, należy je przekazywać w formacie nadającym się do odczytu maszynowego.</w:t>
            </w:r>
          </w:p>
        </w:tc>
        <w:tc>
          <w:tcPr>
            <w:tcW w:w="4876" w:type="dxa"/>
          </w:tcPr>
          <w:p w:rsidR="006F7F2D" w:rsidRPr="00843520" w:rsidRDefault="006F7F2D" w:rsidP="0079002B">
            <w:pPr>
              <w:pStyle w:val="Normal6"/>
              <w:rPr>
                <w:szCs w:val="24"/>
              </w:rPr>
            </w:pPr>
            <w:proofErr w:type="gramStart"/>
            <w:r w:rsidRPr="00843520">
              <w:lastRenderedPageBreak/>
              <w:t>(30)</w:t>
            </w:r>
            <w:r w:rsidRPr="00843520">
              <w:tab/>
              <w:t>Ważnym</w:t>
            </w:r>
            <w:proofErr w:type="gramEnd"/>
            <w:r w:rsidRPr="00843520">
              <w:t xml:space="preserve"> aspektem udzielania wsparcia obywatelom Unii znajdującym się w potrzebie, jest zapewnienie im wiarygodnych </w:t>
            </w:r>
            <w:r w:rsidRPr="00843520">
              <w:rPr>
                <w:b/>
                <w:i/>
              </w:rPr>
              <w:t xml:space="preserve">i łatwo dostępnych </w:t>
            </w:r>
            <w:r w:rsidRPr="00843520">
              <w:t>informacji o tym, jak korzystać z pomocy konsularnej w państwach trzecich</w:t>
            </w:r>
            <w:r w:rsidRPr="00843520">
              <w:rPr>
                <w:b/>
                <w:i/>
              </w:rPr>
              <w:t>, z uwzględnieniem możliwości kontaktu cyfrowego</w:t>
            </w:r>
            <w:r w:rsidRPr="00843520">
              <w:t xml:space="preserve">. Służby Komisji i ESDZ powinny </w:t>
            </w:r>
            <w:r w:rsidRPr="00843520">
              <w:rPr>
                <w:b/>
                <w:i/>
              </w:rPr>
              <w:t>rozpowszechniać w ścisłej współpracy z państwami członkowskimi istotne informacje</w:t>
            </w:r>
            <w:r w:rsidRPr="00843520">
              <w:t xml:space="preserve">, w tym </w:t>
            </w:r>
            <w:r w:rsidRPr="00843520">
              <w:rPr>
                <w:b/>
                <w:i/>
              </w:rPr>
              <w:t>informacje</w:t>
            </w:r>
            <w:r w:rsidRPr="00843520">
              <w:t xml:space="preserve">, które państwa członkowskie powinny udostępniać na temat swoich sieci konsularnych i państw trzecich, w których dokonały one praktycznych ustaleń dotyczących podziału odpowiedzialności </w:t>
            </w:r>
            <w:r w:rsidRPr="00843520">
              <w:lastRenderedPageBreak/>
              <w:t>za udzielanie niereprezentowanym obywatelom ochrony konsularnej. Dla ułatwienia przetwarzania takich informacji, należy je przekazywać w formacie nadającym się do odczytu maszynowego.</w:t>
            </w:r>
          </w:p>
        </w:tc>
      </w:tr>
    </w:tbl>
    <w:p w:rsidR="006F7F2D" w:rsidRPr="00843520" w:rsidRDefault="006F7F2D" w:rsidP="006F7F2D"/>
    <w:p w:rsidR="006F7F2D" w:rsidRPr="00843520" w:rsidRDefault="006F7F2D" w:rsidP="006F7F2D">
      <w:pPr>
        <w:pStyle w:val="AmNumberTabs"/>
        <w:keepNext/>
      </w:pPr>
      <w:r w:rsidRPr="00843520">
        <w:t>Poprawka</w:t>
      </w:r>
      <w:r w:rsidRPr="00843520">
        <w:tab/>
      </w:r>
      <w:r w:rsidRPr="00843520">
        <w:tab/>
        <w:t>14</w:t>
      </w:r>
    </w:p>
    <w:p w:rsidR="006F7F2D" w:rsidRPr="00843520" w:rsidRDefault="006F7F2D" w:rsidP="006F7F2D">
      <w:pPr>
        <w:pStyle w:val="NormalBold12b"/>
        <w:keepNext/>
      </w:pPr>
      <w:r w:rsidRPr="00843520">
        <w:t>Wniosek dotyczący dyrektywy</w:t>
      </w:r>
    </w:p>
    <w:p w:rsidR="006F7F2D" w:rsidRPr="00843520" w:rsidRDefault="006F7F2D" w:rsidP="006F7F2D">
      <w:pPr>
        <w:pStyle w:val="NormalBold"/>
        <w:keepNext/>
      </w:pPr>
      <w:r w:rsidRPr="00843520">
        <w:t>Motyw 30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rPr>
                <w:i w:val="0"/>
              </w:rPr>
            </w:pPr>
            <w:r w:rsidRPr="00843520">
              <w:rPr>
                <w:i w:val="0"/>
              </w:rPr>
              <w:t>Poprawka</w:t>
            </w:r>
          </w:p>
        </w:tc>
      </w:tr>
      <w:tr w:rsidR="006F7F2D" w:rsidRPr="00843520" w:rsidTr="0079002B">
        <w:trPr>
          <w:jc w:val="center"/>
        </w:trPr>
        <w:tc>
          <w:tcPr>
            <w:tcW w:w="4876" w:type="dxa"/>
          </w:tcPr>
          <w:p w:rsidR="006F7F2D" w:rsidRPr="00843520" w:rsidRDefault="006F7F2D" w:rsidP="0079002B">
            <w:pPr>
              <w:pStyle w:val="Normal6a"/>
            </w:pPr>
            <w:r w:rsidRPr="00843520">
              <w:t xml:space="preserve"> </w:t>
            </w:r>
          </w:p>
        </w:tc>
        <w:tc>
          <w:tcPr>
            <w:tcW w:w="4876" w:type="dxa"/>
          </w:tcPr>
          <w:p w:rsidR="006F7F2D" w:rsidRPr="00843520" w:rsidRDefault="006F7F2D" w:rsidP="0079002B">
            <w:pPr>
              <w:pStyle w:val="Normal6a"/>
              <w:rPr>
                <w:b/>
                <w:i/>
                <w:szCs w:val="24"/>
              </w:rPr>
            </w:pPr>
            <w:r w:rsidRPr="00843520">
              <w:rPr>
                <w:b/>
                <w:i/>
              </w:rPr>
              <w:t xml:space="preserve">(30a) </w:t>
            </w:r>
            <w:r w:rsidRPr="00843520">
              <w:rPr>
                <w:b/>
                <w:i/>
              </w:rPr>
              <w:tab/>
              <w:t>Państwa członkowskie powinny zapewnić obywatelom łatwy dostęp do aktualnych informacji dotyczących ochrony konsularnej. Obywatele UE powinni otrzymywać szybkie powiadomienia o przysługujących im prawach i procedurach korzystania z nich podczas pobytu w państwach trzecich, zwłaszcza w sytuacjach kryzysowych.</w:t>
            </w:r>
          </w:p>
        </w:tc>
      </w:tr>
    </w:tbl>
    <w:p w:rsidR="006F7F2D" w:rsidRPr="00843520" w:rsidRDefault="006F7F2D" w:rsidP="006F7F2D"/>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15</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(31)</w:t>
            </w:r>
            <w:r w:rsidRPr="00843520">
              <w:tab/>
              <w:t>Państwa</w:t>
            </w:r>
            <w:proofErr w:type="gramEnd"/>
            <w:r w:rsidRPr="00843520">
              <w:t xml:space="preserve"> członkowskie powinny wprowadzić dodatkowe środki, aby dalej przyczyniać się do szerzenia wiedzy obywateli Unii na temat ich prawa do ochrony konsularnej, również z uwzględnieniem szczególnych potrzeb osób z niepełnosprawnościami. </w:t>
            </w:r>
            <w:r w:rsidRPr="00843520">
              <w:rPr>
                <w:b/>
                <w:i/>
              </w:rPr>
              <w:t>Jednym z możliwych sposobów szerzenia</w:t>
            </w:r>
            <w:r w:rsidRPr="00843520">
              <w:t xml:space="preserve"> wiedzy obywateli o prawie do ochrony przez organy dyplomatyczne i konsularne</w:t>
            </w:r>
            <w:r w:rsidRPr="00843520">
              <w:rPr>
                <w:b/>
                <w:i/>
              </w:rPr>
              <w:t xml:space="preserve"> byłoby</w:t>
            </w:r>
            <w:r w:rsidRPr="00843520">
              <w:t xml:space="preserve">, biorąc pod uwagę ograniczone koszty, jakie są z tym związane, </w:t>
            </w:r>
            <w:r w:rsidRPr="00843520">
              <w:rPr>
                <w:b/>
                <w:i/>
              </w:rPr>
              <w:t>zamieszczenie</w:t>
            </w:r>
            <w:r w:rsidRPr="00843520">
              <w:t xml:space="preserve"> treści art. 23 TFUE w paszportach wydawanych przez państwa członkowskie, co zostało już zarekomendowane w zaleceniu Komisji C(2007) 5841</w:t>
            </w:r>
            <w:r w:rsidRPr="00843520">
              <w:rPr>
                <w:b/>
                <w:i/>
                <w:vertAlign w:val="superscript"/>
              </w:rPr>
              <w:t>5</w:t>
            </w:r>
            <w:r w:rsidRPr="00843520">
              <w:t xml:space="preserve">. Państwa członkowskie </w:t>
            </w:r>
            <w:r w:rsidRPr="00843520">
              <w:rPr>
                <w:b/>
                <w:i/>
              </w:rPr>
              <w:t>mogłyby</w:t>
            </w:r>
            <w:r w:rsidRPr="00843520">
              <w:t xml:space="preserve"> również udostępniać informacje na temat prawa do </w:t>
            </w:r>
            <w:r w:rsidRPr="00843520">
              <w:lastRenderedPageBreak/>
              <w:t xml:space="preserve">ochrony konsularnej, jakie przysługuje niereprezentowanym obywatelom, w zaleceniach dla podróżnych oraz w trakcie kampanii związanych z pomocą konsularną. Państwa członkowskie </w:t>
            </w:r>
            <w:r w:rsidRPr="00843520">
              <w:rPr>
                <w:b/>
                <w:i/>
              </w:rPr>
              <w:t>mogłyby</w:t>
            </w:r>
            <w:r w:rsidRPr="00843520">
              <w:t xml:space="preserve"> ponadto nawiązać współpracę z dostawcami usług transportu pasażerskiego i węzłami transportowymi, za pośrednictwem których możliwe są podróże do państw trzecich, na przykład zwracając się do nich o dodawanie istotnych informacji na temat prawa do ochrony konsularnej w materiałach informacyjnych udostępnianych klientom.</w:t>
            </w:r>
          </w:p>
        </w:tc>
        <w:tc>
          <w:tcPr>
            <w:tcW w:w="4876" w:type="dxa"/>
          </w:tcPr>
          <w:p w:rsidR="006F7F2D" w:rsidRPr="00843520" w:rsidRDefault="006F7F2D" w:rsidP="0079002B">
            <w:pPr>
              <w:pStyle w:val="Normal6"/>
              <w:rPr>
                <w:szCs w:val="24"/>
              </w:rPr>
            </w:pPr>
            <w:proofErr w:type="gramStart"/>
            <w:r w:rsidRPr="00843520">
              <w:lastRenderedPageBreak/>
              <w:t>(31)</w:t>
            </w:r>
            <w:r w:rsidRPr="00843520">
              <w:tab/>
              <w:t>Państwa</w:t>
            </w:r>
            <w:proofErr w:type="gramEnd"/>
            <w:r w:rsidRPr="00843520">
              <w:t xml:space="preserve"> członkowskie powinny wprowadzić dodatkowe środki, aby dalej przyczyniać się do szerzenia wiedzy obywateli Unii na temat ich prawa do ochrony konsularnej, również z uwzględnieniem szczególnych potrzeb osób z niepełnosprawnościami. </w:t>
            </w:r>
            <w:r w:rsidRPr="00843520">
              <w:rPr>
                <w:b/>
                <w:i/>
              </w:rPr>
              <w:t>Szerzenie</w:t>
            </w:r>
            <w:r w:rsidRPr="00843520">
              <w:t xml:space="preserve"> wiedzy obywateli o prawie do ochrony przez organy dyplomatyczne i konsularne, biorąc pod uwagę ograniczone koszty, jakie są z tym związane, </w:t>
            </w:r>
            <w:r w:rsidRPr="00843520">
              <w:rPr>
                <w:b/>
                <w:i/>
              </w:rPr>
              <w:t>powinno polegać na zamieszczaniu przez państwa członkowskie</w:t>
            </w:r>
            <w:r w:rsidRPr="00843520">
              <w:t xml:space="preserve"> treści art. 23 TFUE w paszportach wydawanych przez państwa członkowskie, co zostało już zarekomendowane w zaleceniu Komisji C(2007) 5841. Państwa członkowskie </w:t>
            </w:r>
            <w:r w:rsidRPr="00843520">
              <w:rPr>
                <w:b/>
                <w:i/>
              </w:rPr>
              <w:t>powinny</w:t>
            </w:r>
            <w:r w:rsidRPr="00843520">
              <w:t xml:space="preserve"> również udostępniać informacje </w:t>
            </w:r>
            <w:r w:rsidRPr="00843520">
              <w:lastRenderedPageBreak/>
              <w:t xml:space="preserve">na temat prawa do ochrony konsularnej, jakie przysługuje niereprezentowanym obywatelom, w zaleceniach dla podróżnych oraz w trakcie kampanii związanych z pomocą konsularną. Państwa członkowskie </w:t>
            </w:r>
            <w:r w:rsidRPr="00843520">
              <w:rPr>
                <w:b/>
                <w:i/>
              </w:rPr>
              <w:t>powinny</w:t>
            </w:r>
            <w:r w:rsidRPr="00843520">
              <w:t xml:space="preserve"> ponadto nawiązać współpracę z dostawcami usług transportu pasażerskiego i węzłami transportowymi, za pośrednictwem których możliwe są podróże do państw trzecich, na przykład zwracając się do nich o dodawanie istotnych informacji na temat prawa do ochrony konsularnej w materiałach informacyjnych udostępnianych klientom.</w:t>
            </w:r>
          </w:p>
        </w:tc>
      </w:tr>
      <w:tr w:rsidR="006F7F2D" w:rsidRPr="00843520" w:rsidTr="0079002B">
        <w:trPr>
          <w:jc w:val="center"/>
        </w:trPr>
        <w:tc>
          <w:tcPr>
            <w:tcW w:w="4876" w:type="dxa"/>
          </w:tcPr>
          <w:p w:rsidR="006F7F2D" w:rsidRPr="00843520" w:rsidRDefault="006F7F2D" w:rsidP="0079002B">
            <w:pPr>
              <w:pStyle w:val="Normal6"/>
            </w:pPr>
            <w:r w:rsidRPr="00843520">
              <w:lastRenderedPageBreak/>
              <w:t>__________________</w:t>
            </w:r>
          </w:p>
        </w:tc>
        <w:tc>
          <w:tcPr>
            <w:tcW w:w="4876" w:type="dxa"/>
          </w:tcPr>
          <w:p w:rsidR="006F7F2D" w:rsidRPr="00843520" w:rsidRDefault="006F7F2D" w:rsidP="0079002B">
            <w:pPr>
              <w:pStyle w:val="Normal6"/>
              <w:rPr>
                <w:szCs w:val="24"/>
              </w:rPr>
            </w:pPr>
            <w:r w:rsidRPr="00843520">
              <w:t>__________________</w:t>
            </w:r>
          </w:p>
        </w:tc>
      </w:tr>
      <w:tr w:rsidR="006F7F2D" w:rsidRPr="00843520" w:rsidTr="0079002B">
        <w:trPr>
          <w:jc w:val="center"/>
        </w:trPr>
        <w:tc>
          <w:tcPr>
            <w:tcW w:w="4876" w:type="dxa"/>
          </w:tcPr>
          <w:p w:rsidR="006F7F2D" w:rsidRPr="00843520" w:rsidRDefault="006F7F2D" w:rsidP="0079002B">
            <w:pPr>
              <w:pStyle w:val="Normal6"/>
            </w:pPr>
            <w:r w:rsidRPr="00843520">
              <w:rPr>
                <w:vertAlign w:val="superscript"/>
              </w:rPr>
              <w:t>5</w:t>
            </w:r>
            <w:r w:rsidRPr="00843520">
              <w:t xml:space="preserve"> Zalecenie Komisji C(2007) 5841 z dnia 5 grudnia 2007 r. w sprawie zamieszczania w paszportach treści art. 20 TWE (Dz.U. L 118 z 6.5.2008, s. 30, ELI: https</w:t>
            </w:r>
            <w:proofErr w:type="gramStart"/>
            <w:r w:rsidRPr="00843520">
              <w:t>://eur-lex</w:t>
            </w:r>
            <w:proofErr w:type="gramEnd"/>
            <w:r w:rsidRPr="00843520">
              <w:t>.</w:t>
            </w:r>
            <w:proofErr w:type="gramStart"/>
            <w:r w:rsidRPr="00843520">
              <w:t>europa</w:t>
            </w:r>
            <w:proofErr w:type="gramEnd"/>
            <w:r w:rsidRPr="00843520">
              <w:t>.</w:t>
            </w:r>
            <w:proofErr w:type="gramStart"/>
            <w:r w:rsidRPr="00843520">
              <w:t>eu</w:t>
            </w:r>
            <w:proofErr w:type="gramEnd"/>
            <w:r w:rsidRPr="00843520">
              <w:t>/eli/reco/2008/355/oj?</w:t>
            </w:r>
            <w:proofErr w:type="gramStart"/>
            <w:r w:rsidRPr="00843520">
              <w:t>locale</w:t>
            </w:r>
            <w:proofErr w:type="gramEnd"/>
            <w:r w:rsidRPr="00843520">
              <w:t>=pl#).</w:t>
            </w:r>
          </w:p>
        </w:tc>
        <w:tc>
          <w:tcPr>
            <w:tcW w:w="4876" w:type="dxa"/>
          </w:tcPr>
          <w:p w:rsidR="006F7F2D" w:rsidRPr="00843520" w:rsidRDefault="006F7F2D" w:rsidP="0079002B">
            <w:pPr>
              <w:pStyle w:val="Normal6"/>
              <w:rPr>
                <w:szCs w:val="24"/>
              </w:rPr>
            </w:pPr>
            <w:r w:rsidRPr="00843520">
              <w:rPr>
                <w:vertAlign w:val="superscript"/>
              </w:rPr>
              <w:t>5</w:t>
            </w:r>
            <w:r w:rsidRPr="00843520">
              <w:t xml:space="preserve"> Zalecenie Komisji C(2007) 5841 z dnia 5 grudnia 2007 r. w sprawie zamieszczania w paszportach treści art. 20 TWE (Dz.U. L 118 z 6.5.2008, s. 30, ELI: https</w:t>
            </w:r>
            <w:proofErr w:type="gramStart"/>
            <w:r w:rsidRPr="00843520">
              <w:t>://eur-lex</w:t>
            </w:r>
            <w:proofErr w:type="gramEnd"/>
            <w:r w:rsidRPr="00843520">
              <w:t>.</w:t>
            </w:r>
            <w:proofErr w:type="gramStart"/>
            <w:r w:rsidRPr="00843520">
              <w:t>europa</w:t>
            </w:r>
            <w:proofErr w:type="gramEnd"/>
            <w:r w:rsidRPr="00843520">
              <w:t>.</w:t>
            </w:r>
            <w:proofErr w:type="gramStart"/>
            <w:r w:rsidRPr="00843520">
              <w:t>eu</w:t>
            </w:r>
            <w:proofErr w:type="gramEnd"/>
            <w:r w:rsidRPr="00843520">
              <w:t>/eli/reco/2008/355/oj?</w:t>
            </w:r>
            <w:proofErr w:type="gramStart"/>
            <w:r w:rsidRPr="00843520">
              <w:t>locale</w:t>
            </w:r>
            <w:proofErr w:type="gramEnd"/>
            <w:r w:rsidRPr="00843520">
              <w:t>=pl#).</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16</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(32)</w:t>
            </w:r>
            <w:r w:rsidRPr="00843520">
              <w:tab/>
              <w:t>Przepisy</w:t>
            </w:r>
            <w:proofErr w:type="gramEnd"/>
            <w:r w:rsidRPr="00843520">
              <w:t xml:space="preserve"> finansowe dyrektywy (UE) 2015/637 należy dostosować w celu uproszczenia procedury zwrotu kosztów oraz utrzymania podziału obciążeń finansowych. W szczególności niereprezentowani obywatele powinni mieć możliwość bezpośredniego zwrotu kosztów za usługi świadczone przez państwo członkowskie udzielające pomocy, na takich samych warunkach jakie obowiązują obywateli tego państwa członkowskiego, co ma na celu uniknięcie obciążeń administracyjnych wynikających z ubiegania się o zwrot kosztów od państwa członkowskiego, którego obywatelstwo posiada dany obywatel. Co więcej, państwa członkowskie powinny mieć również możliwość odstąpienia od obciążania takimi kosztami. W niektórych sytuacjach niereprezentowani obywatele </w:t>
            </w:r>
            <w:r w:rsidRPr="00843520">
              <w:lastRenderedPageBreak/>
              <w:t xml:space="preserve">mogą nie mieć możliwości uiszczenia opłaty w momencie składania wniosku o pomoc, zwłaszcza gdy skradziono im środki pieniężne i środki umożliwiające dostęp do środków finansowych, w związku z czym konieczne jest zapewnienie, aby organy konsularne państwa członkowskiego udzielającego pomocy mogły wymagać od nich podpisania zobowiązania do zwrotu. Na podstawie takiego zobowiązania organy państwa członkowskiego udzielającego pomocy mogą zwrócić się o zwrot kosztów po upływie </w:t>
            </w:r>
            <w:r w:rsidRPr="00843520">
              <w:rPr>
                <w:b/>
                <w:i/>
              </w:rPr>
              <w:t>czterech tygodni</w:t>
            </w:r>
            <w:r w:rsidRPr="00843520">
              <w:t xml:space="preserve"> od chwili udzielenia pomocy.</w:t>
            </w:r>
          </w:p>
        </w:tc>
        <w:tc>
          <w:tcPr>
            <w:tcW w:w="4876" w:type="dxa"/>
          </w:tcPr>
          <w:p w:rsidR="006F7F2D" w:rsidRPr="00843520" w:rsidRDefault="006F7F2D" w:rsidP="0079002B">
            <w:pPr>
              <w:pStyle w:val="Normal6"/>
              <w:rPr>
                <w:szCs w:val="24"/>
              </w:rPr>
            </w:pPr>
            <w:proofErr w:type="gramStart"/>
            <w:r w:rsidRPr="00843520">
              <w:lastRenderedPageBreak/>
              <w:t>(32)</w:t>
            </w:r>
            <w:r w:rsidRPr="00843520">
              <w:tab/>
              <w:t>Przepisy</w:t>
            </w:r>
            <w:proofErr w:type="gramEnd"/>
            <w:r w:rsidRPr="00843520">
              <w:t xml:space="preserve"> finansowe dyrektywy (UE) 2015/637 należy dostosować w celu uproszczenia procedury zwrotu kosztów oraz utrzymania podziału obciążeń finansowych. W szczególności niereprezentowani obywatele powinni mieć możliwość bezpośredniego zwrotu kosztów za usługi świadczone przez państwo członkowskie udzielające pomocy, na takich samych warunkach jakie obowiązują obywateli tego państwa członkowskiego, co ma na celu uniknięcie obciążeń administracyjnych wynikających z ubiegania się o zwrot kosztów od państwa członkowskiego, którego obywatelstwo posiada dany obywatel. Co więcej, państwa członkowskie powinny mieć również możliwość odstąpienia od obciążania takimi kosztami. W niektórych sytuacjach niereprezentowani obywatele </w:t>
            </w:r>
            <w:r w:rsidRPr="00843520">
              <w:lastRenderedPageBreak/>
              <w:t xml:space="preserve">mogą nie mieć możliwości uiszczenia opłaty w momencie składania wniosku o pomoc, zwłaszcza gdy skradziono im środki pieniężne i środki umożliwiające dostęp do środków finansowych, w związku z czym konieczne jest zapewnienie, aby organy konsularne państwa członkowskiego udzielającego pomocy mogły wymagać od nich podpisania zobowiązania do zwrotu. Na podstawie takiego zobowiązania organy państwa członkowskiego udzielającego pomocy mogą zwrócić się o zwrot kosztów po upływie </w:t>
            </w:r>
            <w:r w:rsidRPr="00843520">
              <w:rPr>
                <w:b/>
                <w:i/>
              </w:rPr>
              <w:t>trzech miesięcy</w:t>
            </w:r>
            <w:r w:rsidRPr="00843520">
              <w:t xml:space="preserve"> od chwili udzielenia pomocy.</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17</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(33)</w:t>
            </w:r>
            <w:r w:rsidRPr="00843520">
              <w:tab/>
              <w:t>W</w:t>
            </w:r>
            <w:proofErr w:type="gramEnd"/>
            <w:r w:rsidRPr="00843520">
              <w:t xml:space="preserve"> przypadkach gdy obywatel nie zwrócił bezpośrednio kosztów, tj. ani od razu w momencie składania wniosku, ani na późniejszym etapie, gdy o taki zwrot wystąpiło państwo członkowskie udzielające pomocy na podstawie zobowiązania do zwrotu, państwo członkowskie udzielające pomocy powinno być uprawnione do zażądania zwrotu należnych kosztów od państwa członkowskiego, którego obywatelstwo posiada niereprezentowany obywatel. Aby uniknąć składania wniosków o zwrot kosztów po długim czasie, państwu członkowskiemu udzielającemu pomocy i państwu członkowskiemu obywatelstwa należy wyznaczyć rozsądny termin na – odpowiednio – złożenie wniosku i dokonanie zwrotu kosztów.</w:t>
            </w:r>
          </w:p>
        </w:tc>
        <w:tc>
          <w:tcPr>
            <w:tcW w:w="4876" w:type="dxa"/>
          </w:tcPr>
          <w:p w:rsidR="006F7F2D" w:rsidRPr="00843520" w:rsidRDefault="006F7F2D" w:rsidP="0079002B">
            <w:pPr>
              <w:pStyle w:val="Normal6"/>
              <w:rPr>
                <w:szCs w:val="24"/>
              </w:rPr>
            </w:pPr>
            <w:proofErr w:type="gramStart"/>
            <w:r w:rsidRPr="00843520">
              <w:t>(33)</w:t>
            </w:r>
            <w:r w:rsidRPr="00843520">
              <w:tab/>
              <w:t>W</w:t>
            </w:r>
            <w:proofErr w:type="gramEnd"/>
            <w:r w:rsidRPr="00843520">
              <w:t xml:space="preserve"> przypadkach gdy obywatel nie zwrócił bezpośrednio kosztów, tj. ani od razu w momencie składania wniosku, ani na późniejszym etapie, gdy o taki zwrot wystąpiło państwo członkowskie udzielające pomocy na podstawie zobowiązania do zwrotu, państwo członkowskie udzielające pomocy powinno być uprawnione do zażądania zwrotu należnych kosztów od państwa członkowskiego, którego obywatelstwo posiada niereprezentowany obywatel. Aby uniknąć składania wniosków o zwrot kosztów po długim czasie, państwu członkowskiemu udzielającemu pomocy i państwu członkowskiemu obywatelstwa należy wyznaczyć rozsądny termin na – odpowiednio – złożenie wniosku i dokonanie zwrotu kosztów.</w:t>
            </w:r>
            <w:r w:rsidRPr="00843520">
              <w:rPr>
                <w:b/>
                <w:i/>
              </w:rPr>
              <w:t xml:space="preserve"> Termin ten powinien uwzględniać złożoność problemu, zaangażowanie personelu placówki oraz czas trwania pomocy.</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18</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Motyw 34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(34a</w:t>
            </w:r>
            <w:proofErr w:type="gramStart"/>
            <w:r w:rsidRPr="00843520">
              <w:rPr>
                <w:b/>
                <w:i/>
              </w:rPr>
              <w:t>)</w:t>
            </w:r>
            <w:r w:rsidRPr="00843520">
              <w:rPr>
                <w:b/>
                <w:i/>
              </w:rPr>
              <w:tab/>
              <w:t>Oprócz</w:t>
            </w:r>
            <w:proofErr w:type="gramEnd"/>
            <w:r w:rsidRPr="00843520">
              <w:rPr>
                <w:b/>
                <w:i/>
              </w:rPr>
              <w:t xml:space="preserve"> dochodów ze zwrotów dokonywanych przez państwa członkowskie należy odpowiednio zwiększyć budżet i zasoby kadrowe ESDZ, aby zagwarantować właściwe wykonywanie obowiązków w zakresie udzielania pomocy lub ochrony obywatelom UE.</w:t>
            </w:r>
          </w:p>
        </w:tc>
      </w:tr>
    </w:tbl>
    <w:p w:rsidR="006F7F2D" w:rsidRPr="00843520" w:rsidRDefault="006F7F2D" w:rsidP="006F7F2D">
      <w:pPr>
        <w:pStyle w:val="AmNumberTabs"/>
        <w:keepNext/>
      </w:pPr>
      <w:r w:rsidRPr="00843520">
        <w:t>Poprawka</w:t>
      </w:r>
      <w:r w:rsidRPr="00843520">
        <w:tab/>
      </w:r>
      <w:r w:rsidRPr="00843520">
        <w:tab/>
        <w:t>19</w:t>
      </w:r>
    </w:p>
    <w:p w:rsidR="006F7F2D" w:rsidRPr="00843520" w:rsidRDefault="006F7F2D" w:rsidP="006F7F2D">
      <w:pPr>
        <w:pStyle w:val="NormalBold12b"/>
        <w:keepNext/>
      </w:pPr>
      <w:r w:rsidRPr="00843520">
        <w:t>Wniosek dotyczący dyrektywy</w:t>
      </w:r>
    </w:p>
    <w:p w:rsidR="006F7F2D" w:rsidRPr="00843520" w:rsidRDefault="006F7F2D" w:rsidP="006F7F2D">
      <w:pPr>
        <w:pStyle w:val="NormalBold"/>
        <w:keepNext/>
      </w:pPr>
      <w:r w:rsidRPr="00843520">
        <w:t>Motyw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a"/>
            </w:pPr>
            <w:proofErr w:type="gramStart"/>
            <w:r w:rsidRPr="00843520">
              <w:t>(41)</w:t>
            </w:r>
            <w:r w:rsidRPr="00843520">
              <w:tab/>
              <w:t>Przetwarzając</w:t>
            </w:r>
            <w:proofErr w:type="gramEnd"/>
            <w:r w:rsidRPr="00843520">
              <w:t xml:space="preserve"> takie szczególne kategorie danych osobowych, właściwe organy państw członkowskich oraz instytucje i organy Unii powinny zapewnić odpowiednie i konkretne środki służące zapewnieniu ochrony interesów osób, których dane dotyczą. Takie środki powinny w miarę możliwości obejmować szyfrowanie tego typu danych osobowych oraz przyznawanie szczególnych praw dostępu pracownikom, którzy mają dostęp do określonych rodzajów szczególnych kategorii danych osobowych.</w:t>
            </w:r>
          </w:p>
        </w:tc>
        <w:tc>
          <w:tcPr>
            <w:tcW w:w="4876" w:type="dxa"/>
          </w:tcPr>
          <w:p w:rsidR="006F7F2D" w:rsidRPr="00843520" w:rsidRDefault="006F7F2D" w:rsidP="0079002B">
            <w:pPr>
              <w:pStyle w:val="Normal6a"/>
              <w:rPr>
                <w:szCs w:val="24"/>
              </w:rPr>
            </w:pPr>
            <w:proofErr w:type="gramStart"/>
            <w:r w:rsidRPr="00843520">
              <w:t>(41)</w:t>
            </w:r>
            <w:r w:rsidRPr="00843520">
              <w:tab/>
              <w:t>Przetwarzając</w:t>
            </w:r>
            <w:proofErr w:type="gramEnd"/>
            <w:r w:rsidRPr="00843520">
              <w:t xml:space="preserve"> takie szczególne kategorie danych osobowych, właściwe organy państw członkowskich oraz instytucje i organy Unii powinny zapewnić odpowiednie i konkretne środki służące zapewnieniu ochrony interesów </w:t>
            </w:r>
            <w:r w:rsidRPr="00843520">
              <w:rPr>
                <w:b/>
                <w:i/>
              </w:rPr>
              <w:t xml:space="preserve">i praw </w:t>
            </w:r>
            <w:r w:rsidRPr="00843520">
              <w:t>osób, których dane dotyczą. Takie środki powinny w miarę możliwości obejmować szyfrowanie tego typu danych osobowych oraz przyznawanie szczególnych praw dostępu pracownikom, którzy mają dostęp do określonych rodzajów szczególnych kategorii danych osobowych.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20</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-1 (nowy)</w:t>
      </w:r>
    </w:p>
    <w:p w:rsidR="006F7F2D" w:rsidRPr="00843520" w:rsidRDefault="006F7F2D" w:rsidP="006F7F2D">
      <w:pPr>
        <w:keepNext/>
      </w:pPr>
      <w:r w:rsidRPr="00843520">
        <w:t>Dyrektywa (UE) 2015/637</w:t>
      </w:r>
    </w:p>
    <w:p w:rsidR="006F7F2D" w:rsidRPr="00843520" w:rsidRDefault="006F7F2D" w:rsidP="006F7F2D">
      <w:r w:rsidRPr="00843520">
        <w:t>Artykuł 1 – ustęp 1 – akapit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b/>
                <w:i/>
              </w:rPr>
            </w:pPr>
            <w:r w:rsidRPr="00843520">
              <w:rPr>
                <w:b/>
                <w:i/>
              </w:rPr>
              <w:t>-</w:t>
            </w:r>
            <w:proofErr w:type="gramStart"/>
            <w:r w:rsidRPr="00843520">
              <w:rPr>
                <w:b/>
                <w:i/>
              </w:rPr>
              <w:t>1)</w:t>
            </w:r>
            <w:r w:rsidRPr="00843520">
              <w:rPr>
                <w:b/>
                <w:i/>
              </w:rPr>
              <w:tab/>
              <w:t>w</w:t>
            </w:r>
            <w:proofErr w:type="gramEnd"/>
            <w:r w:rsidRPr="00843520">
              <w:rPr>
                <w:b/>
                <w:i/>
              </w:rPr>
              <w:t xml:space="preserve"> art. 4 dodaje się akapit 1a w brzmieniu: </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 xml:space="preserve">„Osoby uznane za uchodźców i bezpaństwowcy oraz inne osoby, które nie posiadają obywatelstwa żadnego kraju, ale zamieszkują w danym państwie członkowskim i posiadają dokument podróży wydany przez to państwo </w:t>
            </w:r>
            <w:r w:rsidRPr="00843520">
              <w:rPr>
                <w:b/>
                <w:i/>
              </w:rPr>
              <w:lastRenderedPageBreak/>
              <w:t>członkowskie, są uprawnione do ochrony konsularnej na takich samych warunkach jak niereprezentowani obywatele, jeśli państwo członkowskie zamieszkania nie jest reprezentowane przez organ dyplomatyczny lub konsularny.”;</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21</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1</w:t>
      </w:r>
    </w:p>
    <w:p w:rsidR="006F7F2D" w:rsidRPr="00843520" w:rsidRDefault="006F7F2D" w:rsidP="006F7F2D">
      <w:pPr>
        <w:keepNext/>
      </w:pPr>
      <w:r w:rsidRPr="00843520">
        <w:t>Dyrektywa (UE) 2015/637</w:t>
      </w:r>
    </w:p>
    <w:p w:rsidR="006F7F2D" w:rsidRPr="00843520" w:rsidRDefault="006F7F2D" w:rsidP="006F7F2D">
      <w:r w:rsidRPr="00843520">
        <w:t>Artykuł 6 – ustęp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a</w:t>
            </w:r>
            <w:proofErr w:type="gramStart"/>
            <w:r w:rsidRPr="00843520">
              <w:t>)</w:t>
            </w:r>
            <w:r w:rsidRPr="00843520">
              <w:tab/>
              <w:t>trudności</w:t>
            </w:r>
            <w:proofErr w:type="gramEnd"/>
            <w:r w:rsidRPr="00843520">
              <w:t xml:space="preserve"> zainteresowanego obywatela w bezpiecznym dotarciu do ambasady lub konsulatu państwa członkowskiego swojego obywatelstwa lub trudności tych organów w dotarciu do obywatela, w rozsądnym terminie, z uwzględnieniem charakteru i pilności wnioskowanej pomocy oraz środków będących do dyspozycji obywatela</w:t>
            </w:r>
            <w:r w:rsidRPr="00843520">
              <w:rPr>
                <w:b/>
                <w:i/>
              </w:rPr>
              <w:t>;</w:t>
            </w:r>
          </w:p>
        </w:tc>
        <w:tc>
          <w:tcPr>
            <w:tcW w:w="4876" w:type="dxa"/>
          </w:tcPr>
          <w:p w:rsidR="006F7F2D" w:rsidRPr="00843520" w:rsidRDefault="006F7F2D" w:rsidP="0079002B">
            <w:pPr>
              <w:pStyle w:val="Normal6"/>
              <w:rPr>
                <w:szCs w:val="24"/>
              </w:rPr>
            </w:pPr>
            <w:r w:rsidRPr="00843520">
              <w:t>a</w:t>
            </w:r>
            <w:proofErr w:type="gramStart"/>
            <w:r w:rsidRPr="00843520">
              <w:t>)</w:t>
            </w:r>
            <w:r w:rsidRPr="00843520">
              <w:tab/>
              <w:t>trudności</w:t>
            </w:r>
            <w:proofErr w:type="gramEnd"/>
            <w:r w:rsidRPr="00843520">
              <w:t xml:space="preserve"> zainteresowanego obywatela w bezpiecznym dotarciu do ambasady lub konsulatu państwa członkowskiego swojego obywatelstwa lub trudności tych organów w dotarciu do obywatela, w rozsądnym terminie, z uwzględnieniem charakteru i pilności wnioskowanej pomocy oraz środków będących do dyspozycji obywatela</w:t>
            </w:r>
            <w:r w:rsidRPr="00843520">
              <w:rPr>
                <w:b/>
                <w:i/>
              </w:rPr>
              <w:t>. Odpowiedni termin będzie zależał od specyfiki każdego wniosku o pomoc, ale czas na bezpieczne dotarcie obywateli do ambasady lub konsulatu ich państwa członkowskiego lub na dotarcie tych organów do obywateli w żadnym wypadku nie przekracza 48 godzin.</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22</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1</w:t>
      </w:r>
    </w:p>
    <w:p w:rsidR="006F7F2D" w:rsidRPr="00843520" w:rsidRDefault="006F7F2D" w:rsidP="006F7F2D">
      <w:pPr>
        <w:keepNext/>
      </w:pPr>
      <w:r w:rsidRPr="00843520">
        <w:t>Dyrektywa (UE) 2015/637</w:t>
      </w:r>
    </w:p>
    <w:p w:rsidR="006F7F2D" w:rsidRPr="00843520" w:rsidRDefault="006F7F2D" w:rsidP="006F7F2D">
      <w:r w:rsidRPr="00843520">
        <w:t>Artykuł 7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3a.</w:t>
            </w:r>
            <w:r w:rsidRPr="00843520">
              <w:rPr>
                <w:b/>
                <w:i/>
              </w:rPr>
              <w:tab/>
              <w:t>Delegatury Unii zapewniają pomoc konsularną, w tym wydają tymczasowy dokument podróży zgodnie z przepisami określonymi w dyrektywie</w:t>
            </w:r>
            <w:r w:rsidR="005F2C47">
              <w:rPr>
                <w:b/>
                <w:i/>
              </w:rPr>
              <w:t>(UE)</w:t>
            </w:r>
            <w:r w:rsidR="00D76424">
              <w:rPr>
                <w:b/>
                <w:i/>
              </w:rPr>
              <w:t xml:space="preserve"> 2019/997</w:t>
            </w:r>
            <w:bookmarkStart w:id="7" w:name="_GoBack"/>
            <w:bookmarkEnd w:id="7"/>
            <w:r w:rsidRPr="00843520">
              <w:rPr>
                <w:b/>
                <w:i/>
              </w:rPr>
              <w:t xml:space="preserve">, gdy są jedynym przedstawicielstwem fizycznie znajdującym się w danym państwie trzecim lub gdy istnieje obiektywna potrzeba udzielenia </w:t>
            </w:r>
            <w:r w:rsidRPr="00843520">
              <w:rPr>
                <w:b/>
                <w:i/>
              </w:rPr>
              <w:lastRenderedPageBreak/>
              <w:t>dodatkowego wsparcia niereprezentowanym obywatelom w sytuacji kryzysowej ze względu na niewystarczające zdolności ambasad i konsulatów państw członkowskich.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23</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1</w:t>
      </w:r>
    </w:p>
    <w:p w:rsidR="006F7F2D" w:rsidRPr="00843520" w:rsidRDefault="006F7F2D" w:rsidP="006F7F2D">
      <w:pPr>
        <w:keepNext/>
      </w:pPr>
      <w:r w:rsidRPr="00843520">
        <w:t>Dyrektywa (UE) 2015/637</w:t>
      </w:r>
    </w:p>
    <w:p w:rsidR="006F7F2D" w:rsidRPr="00843520" w:rsidRDefault="006F7F2D" w:rsidP="006F7F2D">
      <w:r w:rsidRPr="00843520">
        <w:t>Artykuł 7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4a.</w:t>
            </w:r>
            <w:r w:rsidRPr="00843520">
              <w:rPr>
                <w:b/>
                <w:i/>
              </w:rPr>
              <w:tab/>
              <w:t xml:space="preserve">Przy udzielaniu ochrony konsularnej niereprezentowanym obywatelom państwa członkowskie powinny brać pod uwagę podejście </w:t>
            </w:r>
            <w:proofErr w:type="spellStart"/>
            <w:r w:rsidRPr="00843520">
              <w:rPr>
                <w:b/>
                <w:i/>
              </w:rPr>
              <w:t>intersekcjonalne</w:t>
            </w:r>
            <w:proofErr w:type="spellEnd"/>
            <w:r w:rsidRPr="00843520">
              <w:rPr>
                <w:b/>
                <w:i/>
              </w:rPr>
              <w:t xml:space="preserve"> do określonych potrzeb grup szczególnie wrażliwych i osób narażonych na dyskryminację z przyczyn, o których mowa w art. 21 Karty, tj. ze względu na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24</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2</w:t>
      </w:r>
    </w:p>
    <w:p w:rsidR="006F7F2D" w:rsidRPr="00843520" w:rsidRDefault="006F7F2D" w:rsidP="006F7F2D">
      <w:pPr>
        <w:keepNext/>
      </w:pPr>
      <w:r w:rsidRPr="00843520">
        <w:t>Dyrektywa (UE) 2015/637</w:t>
      </w:r>
    </w:p>
    <w:p w:rsidR="006F7F2D" w:rsidRPr="00843520" w:rsidRDefault="006F7F2D" w:rsidP="006F7F2D">
      <w:r w:rsidRPr="00843520">
        <w:t>Artykuł 9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roofErr w:type="gramStart"/>
            <w:r w:rsidRPr="00843520">
              <w:t>2)</w:t>
            </w:r>
            <w:r w:rsidRPr="00843520">
              <w:tab/>
              <w:t>w</w:t>
            </w:r>
            <w:proofErr w:type="gramEnd"/>
            <w:r w:rsidRPr="00843520">
              <w:t xml:space="preserve"> art.</w:t>
            </w:r>
            <w:r w:rsidRPr="00843520">
              <w:rPr>
                <w:b/>
                <w:i/>
              </w:rPr>
              <w:t> </w:t>
            </w:r>
            <w:r w:rsidRPr="00843520">
              <w:t xml:space="preserve">9 </w:t>
            </w:r>
            <w:r w:rsidRPr="00843520">
              <w:rPr>
                <w:b/>
                <w:i/>
              </w:rPr>
              <w:t>lit. e) i f) otrzymują brzmienie</w:t>
            </w:r>
            <w:r w:rsidRPr="00843520">
              <w:t>:</w:t>
            </w:r>
          </w:p>
        </w:tc>
        <w:tc>
          <w:tcPr>
            <w:tcW w:w="4876" w:type="dxa"/>
          </w:tcPr>
          <w:p w:rsidR="006F7F2D" w:rsidRPr="00843520" w:rsidRDefault="006F7F2D" w:rsidP="0079002B">
            <w:pPr>
              <w:pStyle w:val="Normal6"/>
              <w:rPr>
                <w:szCs w:val="24"/>
              </w:rPr>
            </w:pPr>
            <w:proofErr w:type="gramStart"/>
            <w:r w:rsidRPr="00843520">
              <w:t>2)</w:t>
            </w:r>
            <w:r w:rsidRPr="00843520">
              <w:tab/>
              <w:t>w</w:t>
            </w:r>
            <w:proofErr w:type="gramEnd"/>
            <w:r w:rsidRPr="00843520">
              <w:t xml:space="preserve"> art.</w:t>
            </w:r>
            <w:r w:rsidRPr="00843520">
              <w:rPr>
                <w:b/>
                <w:i/>
              </w:rPr>
              <w:t xml:space="preserve"> </w:t>
            </w:r>
            <w:r w:rsidRPr="00843520">
              <w:t xml:space="preserve">9 </w:t>
            </w:r>
            <w:r w:rsidRPr="00843520">
              <w:rPr>
                <w:b/>
                <w:i/>
              </w:rPr>
              <w:t>dodaje się literę w brzmieniu</w:t>
            </w:r>
            <w:r w:rsidRPr="00843520">
              <w:t>:</w:t>
            </w:r>
          </w:p>
        </w:tc>
      </w:tr>
      <w:tr w:rsidR="006F7F2D" w:rsidRPr="00843520" w:rsidTr="0079002B">
        <w:trPr>
          <w:jc w:val="center"/>
        </w:trPr>
        <w:tc>
          <w:tcPr>
            <w:tcW w:w="4876" w:type="dxa"/>
          </w:tcPr>
          <w:p w:rsidR="006F7F2D" w:rsidRPr="00843520" w:rsidRDefault="006F7F2D" w:rsidP="0079002B">
            <w:pPr>
              <w:pStyle w:val="Normal6"/>
              <w:rPr>
                <w:b/>
                <w:i/>
              </w:rPr>
            </w:pPr>
            <w:r w:rsidRPr="00843520">
              <w:rPr>
                <w:b/>
                <w:i/>
                <w:sz w:val="23"/>
              </w:rPr>
              <w:t xml:space="preserve">„e) udzielenie pomocy, ewakuacja i repatriacja w sytuacji nadzwyczajnej; </w:t>
            </w:r>
          </w:p>
        </w:tc>
        <w:tc>
          <w:tcPr>
            <w:tcW w:w="4876" w:type="dxa"/>
          </w:tcPr>
          <w:p w:rsidR="006F7F2D" w:rsidRPr="00843520" w:rsidRDefault="006F7F2D" w:rsidP="0079002B">
            <w:pPr>
              <w:pStyle w:val="Normal6"/>
              <w:rPr>
                <w:szCs w:val="24"/>
              </w:rPr>
            </w:pPr>
            <w:proofErr w:type="gramStart"/>
            <w:r w:rsidRPr="00843520">
              <w:rPr>
                <w:b/>
                <w:i/>
              </w:rPr>
              <w:t>skreśla</w:t>
            </w:r>
            <w:proofErr w:type="gramEnd"/>
            <w:r w:rsidRPr="00843520">
              <w:rPr>
                <w:b/>
                <w:i/>
              </w:rPr>
              <w:t xml:space="preserve"> się</w:t>
            </w:r>
          </w:p>
        </w:tc>
      </w:tr>
      <w:tr w:rsidR="006F7F2D" w:rsidRPr="00843520" w:rsidTr="0079002B">
        <w:trPr>
          <w:jc w:val="center"/>
        </w:trPr>
        <w:tc>
          <w:tcPr>
            <w:tcW w:w="4876" w:type="dxa"/>
          </w:tcPr>
          <w:p w:rsidR="006F7F2D" w:rsidRPr="00843520" w:rsidRDefault="006F7F2D" w:rsidP="0079002B">
            <w:pPr>
              <w:pStyle w:val="Normal6"/>
              <w:rPr>
                <w:b/>
                <w:i/>
              </w:rPr>
            </w:pPr>
            <w:proofErr w:type="gramStart"/>
            <w:r w:rsidRPr="00843520">
              <w:rPr>
                <w:b/>
                <w:i/>
                <w:sz w:val="23"/>
              </w:rPr>
              <w:t>f</w:t>
            </w:r>
            <w:proofErr w:type="gramEnd"/>
            <w:r w:rsidRPr="00843520">
              <w:rPr>
                <w:b/>
                <w:i/>
                <w:sz w:val="23"/>
              </w:rPr>
              <w:t xml:space="preserve">) potrzeba wydania unijnego tymczasowego dokumentu podróży ustanowionego dyrektywą (UE) 2019/997*. </w:t>
            </w:r>
          </w:p>
        </w:tc>
        <w:tc>
          <w:tcPr>
            <w:tcW w:w="4876" w:type="dxa"/>
          </w:tcPr>
          <w:p w:rsidR="006F7F2D" w:rsidRPr="00843520" w:rsidRDefault="006F7F2D" w:rsidP="0079002B">
            <w:pPr>
              <w:pStyle w:val="Normal6"/>
              <w:rPr>
                <w:szCs w:val="24"/>
              </w:rPr>
            </w:pPr>
            <w:proofErr w:type="gramStart"/>
            <w:r w:rsidRPr="00843520">
              <w:rPr>
                <w:b/>
                <w:i/>
              </w:rPr>
              <w:t>skreśla</w:t>
            </w:r>
            <w:proofErr w:type="gramEnd"/>
            <w:r w:rsidRPr="00843520">
              <w:rPr>
                <w:b/>
                <w:i/>
              </w:rPr>
              <w:t xml:space="preserve"> się</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proofErr w:type="gramStart"/>
            <w:r w:rsidRPr="00843520">
              <w:rPr>
                <w:b/>
                <w:i/>
              </w:rPr>
              <w:t>fa</w:t>
            </w:r>
            <w:proofErr w:type="gramEnd"/>
            <w:r w:rsidRPr="00843520">
              <w:rPr>
                <w:b/>
                <w:i/>
              </w:rPr>
              <w:t>) postępowanie sądowe w pilnych sprawach wymagających natychmiastowej uwagi.</w:t>
            </w:r>
          </w:p>
        </w:tc>
      </w:tr>
      <w:tr w:rsidR="006F7F2D" w:rsidRPr="00843520" w:rsidTr="0079002B">
        <w:trPr>
          <w:jc w:val="center"/>
        </w:trPr>
        <w:tc>
          <w:tcPr>
            <w:tcW w:w="4876" w:type="dxa"/>
          </w:tcPr>
          <w:p w:rsidR="006F7F2D" w:rsidRPr="00843520" w:rsidRDefault="006F7F2D" w:rsidP="0079002B">
            <w:pPr>
              <w:pStyle w:val="Normal6"/>
            </w:pPr>
            <w:r w:rsidRPr="00843520">
              <w:t>__________________</w:t>
            </w:r>
          </w:p>
        </w:tc>
        <w:tc>
          <w:tcPr>
            <w:tcW w:w="4876" w:type="dxa"/>
          </w:tcPr>
          <w:p w:rsidR="006F7F2D" w:rsidRPr="00843520" w:rsidRDefault="006F7F2D" w:rsidP="0079002B">
            <w:pPr>
              <w:pStyle w:val="Normal6"/>
              <w:rPr>
                <w:szCs w:val="24"/>
              </w:rPr>
            </w:pPr>
            <w:r w:rsidRPr="00843520">
              <w:t>__________________</w:t>
            </w:r>
          </w:p>
        </w:tc>
      </w:tr>
      <w:tr w:rsidR="006F7F2D" w:rsidRPr="00843520" w:rsidTr="0079002B">
        <w:trPr>
          <w:jc w:val="center"/>
        </w:trPr>
        <w:tc>
          <w:tcPr>
            <w:tcW w:w="4876" w:type="dxa"/>
          </w:tcPr>
          <w:p w:rsidR="006F7F2D" w:rsidRPr="00843520" w:rsidRDefault="006F7F2D" w:rsidP="0079002B">
            <w:pPr>
              <w:pStyle w:val="Normal6"/>
              <w:rPr>
                <w:b/>
                <w:i/>
                <w:sz w:val="23"/>
                <w:szCs w:val="23"/>
              </w:rPr>
            </w:pPr>
            <w:r w:rsidRPr="00843520">
              <w:rPr>
                <w:b/>
                <w:i/>
                <w:sz w:val="23"/>
              </w:rPr>
              <w:t>* Dyrektywa Rady (UE) 2019/997 z dnia 18 czerwca 2019 r. ustanawiająca unijny tymczasowy dokument podróży oraz uchylająca decyzję 96/409/</w:t>
            </w:r>
            <w:proofErr w:type="spellStart"/>
            <w:r w:rsidRPr="00843520">
              <w:rPr>
                <w:b/>
                <w:i/>
                <w:sz w:val="23"/>
              </w:rPr>
              <w:t>WPZiB</w:t>
            </w:r>
            <w:proofErr w:type="spellEnd"/>
            <w:r w:rsidRPr="00843520">
              <w:rPr>
                <w:b/>
                <w:i/>
                <w:sz w:val="23"/>
              </w:rPr>
              <w:t xml:space="preserve"> (Dz.U. L 163 z 20.6.2019, s. 1, ELI: https</w:t>
            </w:r>
            <w:proofErr w:type="gramStart"/>
            <w:r w:rsidRPr="00843520">
              <w:rPr>
                <w:b/>
                <w:i/>
                <w:sz w:val="23"/>
              </w:rPr>
              <w:t>://eur-lex</w:t>
            </w:r>
            <w:proofErr w:type="gramEnd"/>
            <w:r w:rsidRPr="00843520">
              <w:rPr>
                <w:b/>
                <w:i/>
                <w:sz w:val="23"/>
              </w:rPr>
              <w:t>.</w:t>
            </w:r>
            <w:proofErr w:type="gramStart"/>
            <w:r w:rsidRPr="00843520">
              <w:rPr>
                <w:b/>
                <w:i/>
                <w:sz w:val="23"/>
              </w:rPr>
              <w:t>europa</w:t>
            </w:r>
            <w:proofErr w:type="gramEnd"/>
            <w:r w:rsidRPr="00843520">
              <w:rPr>
                <w:b/>
                <w:i/>
                <w:sz w:val="23"/>
              </w:rPr>
              <w:t>.</w:t>
            </w:r>
            <w:proofErr w:type="gramStart"/>
            <w:r w:rsidRPr="00843520">
              <w:rPr>
                <w:b/>
                <w:i/>
                <w:sz w:val="23"/>
              </w:rPr>
              <w:t>eu</w:t>
            </w:r>
            <w:proofErr w:type="gramEnd"/>
            <w:r w:rsidRPr="00843520">
              <w:rPr>
                <w:b/>
                <w:i/>
                <w:sz w:val="23"/>
              </w:rPr>
              <w:t>/eli/dir/2019/997/oj?</w:t>
            </w:r>
            <w:proofErr w:type="gramStart"/>
            <w:r w:rsidRPr="00843520">
              <w:rPr>
                <w:b/>
                <w:i/>
                <w:sz w:val="23"/>
              </w:rPr>
              <w:t>locale</w:t>
            </w:r>
            <w:proofErr w:type="gramEnd"/>
            <w:r w:rsidRPr="00843520">
              <w:rPr>
                <w:b/>
                <w:i/>
                <w:sz w:val="23"/>
              </w:rPr>
              <w:t xml:space="preserve">=pl#).”; </w:t>
            </w:r>
          </w:p>
        </w:tc>
        <w:tc>
          <w:tcPr>
            <w:tcW w:w="4876" w:type="dxa"/>
          </w:tcPr>
          <w:p w:rsidR="006F7F2D" w:rsidRPr="00843520" w:rsidRDefault="006F7F2D" w:rsidP="0079002B">
            <w:pPr>
              <w:pStyle w:val="Normal6"/>
              <w:rPr>
                <w:szCs w:val="24"/>
              </w:rPr>
            </w:pPr>
            <w:proofErr w:type="gramStart"/>
            <w:r w:rsidRPr="00843520">
              <w:rPr>
                <w:b/>
                <w:i/>
              </w:rPr>
              <w:t>skreśla</w:t>
            </w:r>
            <w:proofErr w:type="gramEnd"/>
            <w:r w:rsidRPr="00843520">
              <w:rPr>
                <w:b/>
                <w:i/>
              </w:rPr>
              <w:t xml:space="preserve"> się</w:t>
            </w:r>
          </w:p>
        </w:tc>
      </w:tr>
    </w:tbl>
    <w:p w:rsidR="006F7F2D" w:rsidRPr="00843520" w:rsidRDefault="006F7F2D" w:rsidP="006F7F2D"/>
    <w:p w:rsidR="006F7F2D" w:rsidRPr="00843520" w:rsidRDefault="006F7F2D" w:rsidP="006F7F2D"/>
    <w:p w:rsidR="006F7F2D" w:rsidRPr="00843520" w:rsidRDefault="006F7F2D" w:rsidP="006F7F2D">
      <w:pPr>
        <w:pStyle w:val="AmNumberTabs"/>
        <w:keepNext/>
      </w:pPr>
      <w:r w:rsidRPr="00843520">
        <w:t>Poprawka</w:t>
      </w:r>
      <w:r w:rsidRPr="00843520">
        <w:tab/>
      </w:r>
      <w:r w:rsidRPr="00843520">
        <w:tab/>
        <w:t>25</w:t>
      </w:r>
    </w:p>
    <w:p w:rsidR="006F7F2D" w:rsidRPr="00843520" w:rsidRDefault="006F7F2D" w:rsidP="006F7F2D">
      <w:pPr>
        <w:pStyle w:val="NormalBold12b"/>
        <w:keepNext/>
      </w:pPr>
      <w:r w:rsidRPr="00843520">
        <w:t>Wniosek dotyczący dyrektywy</w:t>
      </w:r>
    </w:p>
    <w:p w:rsidR="006F7F2D" w:rsidRPr="00843520" w:rsidRDefault="006F7F2D" w:rsidP="006F7F2D">
      <w:pPr>
        <w:pStyle w:val="NormalBold"/>
        <w:keepNext/>
        <w:rPr>
          <w:rFonts w:eastAsiaTheme="majorEastAsia"/>
        </w:rPr>
      </w:pPr>
      <w:r w:rsidRPr="00843520">
        <w:t>Artykuł 1 – akapit 1 – punkt 4</w:t>
      </w:r>
    </w:p>
    <w:p w:rsidR="006F7F2D" w:rsidRPr="00843520" w:rsidRDefault="006F7F2D" w:rsidP="006F7F2D">
      <w:pPr>
        <w:keepNext/>
      </w:pPr>
      <w:r w:rsidRPr="00843520">
        <w:t>Dyrektywa (UE) 2015/637</w:t>
      </w:r>
    </w:p>
    <w:p w:rsidR="006F7F2D" w:rsidRPr="00843520" w:rsidRDefault="006F7F2D" w:rsidP="006F7F2D">
      <w:pPr>
        <w:keepNext/>
      </w:pPr>
      <w:r w:rsidRPr="00843520">
        <w:t>Artykuł 11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a"/>
            </w:pPr>
            <w:r w:rsidRPr="00843520">
              <w:t xml:space="preserve">2. </w:t>
            </w:r>
            <w:r w:rsidRPr="00843520">
              <w:tab/>
              <w:t>Delegatury Unii wspierają państwa członkowskie w zapewnianiu niereprezentowanym obywatelom ochrony konsularnej zgodnie z art. 5 ust. 10 decyzji 2010/427/UE. Wsparcie takie może obejmować realizowanie, na wniosek państw członkowskich i w ich imieniu, konkretnych zadań z zakresu pomocy konsularnej. Państwo członkowskie udzielające pomocy i państwo członkowskie obywatelstwa przekazują delegaturze Unii wszelkie istotne informacje w przedmiotowej sprawie.</w:t>
            </w:r>
          </w:p>
        </w:tc>
        <w:tc>
          <w:tcPr>
            <w:tcW w:w="4876" w:type="dxa"/>
          </w:tcPr>
          <w:p w:rsidR="006F7F2D" w:rsidRPr="00843520" w:rsidRDefault="006F7F2D" w:rsidP="0079002B">
            <w:pPr>
              <w:pStyle w:val="Normal6a"/>
              <w:rPr>
                <w:szCs w:val="24"/>
              </w:rPr>
            </w:pPr>
            <w:r w:rsidRPr="00843520">
              <w:t xml:space="preserve">2. </w:t>
            </w:r>
            <w:r w:rsidRPr="00843520">
              <w:tab/>
              <w:t xml:space="preserve">Delegatury Unii wspierają państwa członkowskie w zapewnianiu niereprezentowanym obywatelom ochrony konsularnej zgodnie z art. 5 ust. 10 decyzji 2010/427/UE. Wsparcie takie może obejmować realizowanie, na wniosek państw członkowskich i w ich imieniu, konkretnych zadań z zakresu pomocy konsularnej. Państwo członkowskie udzielające pomocy i państwo członkowskie obywatelstwa </w:t>
            </w:r>
            <w:r w:rsidRPr="00843520">
              <w:rPr>
                <w:b/>
                <w:i/>
              </w:rPr>
              <w:t xml:space="preserve">niezwłocznie </w:t>
            </w:r>
            <w:r w:rsidRPr="00843520">
              <w:t>przekazują delegaturze Unii wszelkie istotne informacje w przedmiotowej sprawie.</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26</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4</w:t>
      </w:r>
    </w:p>
    <w:p w:rsidR="006F7F2D" w:rsidRPr="00843520" w:rsidRDefault="006F7F2D" w:rsidP="006F7F2D">
      <w:pPr>
        <w:keepNext/>
      </w:pPr>
      <w:r w:rsidRPr="00843520">
        <w:t>Dyrektywa (UE) 2015/637</w:t>
      </w:r>
    </w:p>
    <w:p w:rsidR="006F7F2D" w:rsidRPr="00843520" w:rsidRDefault="006F7F2D" w:rsidP="006F7F2D">
      <w:r w:rsidRPr="00843520">
        <w:t>Artykuł 11 – ustęp 2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2a.</w:t>
            </w:r>
            <w:r w:rsidRPr="00843520">
              <w:rPr>
                <w:b/>
                <w:i/>
              </w:rPr>
              <w:tab/>
              <w:t xml:space="preserve">Należy przydzielić ESDZ i delegaturom Unii niezbędne zasoby </w:t>
            </w:r>
            <w:r w:rsidRPr="00843520">
              <w:rPr>
                <w:b/>
                <w:i/>
              </w:rPr>
              <w:lastRenderedPageBreak/>
              <w:t>finansowe i kadrowe, tak aby mogły uporać się z ogólnym i dodatkowym horyzontalnym obciążeniem administracyjnym.</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27</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4</w:t>
      </w:r>
    </w:p>
    <w:p w:rsidR="006F7F2D" w:rsidRPr="00843520" w:rsidRDefault="006F7F2D" w:rsidP="006F7F2D">
      <w:pPr>
        <w:keepNext/>
      </w:pPr>
      <w:r w:rsidRPr="00843520">
        <w:t>Dyrektywa (UE) 2015/637</w:t>
      </w:r>
    </w:p>
    <w:p w:rsidR="006F7F2D" w:rsidRPr="00843520" w:rsidRDefault="006F7F2D" w:rsidP="006F7F2D">
      <w:r w:rsidRPr="00843520">
        <w:t>Artykuł 13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1.</w:t>
            </w:r>
            <w:r w:rsidRPr="00843520">
              <w:tab/>
              <w:t xml:space="preserve">W kontekście lokalnej współpracy konsularnej, o której mowa w art. 12, państwa członkowskie i ESDZ opracowują i uzgadniają wspólny konsularny plan </w:t>
            </w:r>
            <w:proofErr w:type="spellStart"/>
            <w:r w:rsidRPr="00843520">
              <w:t>ewentualnościowy</w:t>
            </w:r>
            <w:proofErr w:type="spellEnd"/>
            <w:r w:rsidRPr="00843520">
              <w:t xml:space="preserve"> dla każdego państwa trzeciego. Wspólny konsularny plan </w:t>
            </w:r>
            <w:proofErr w:type="spellStart"/>
            <w:r w:rsidRPr="00843520">
              <w:t>ewentualnościowy</w:t>
            </w:r>
            <w:proofErr w:type="spellEnd"/>
            <w:r w:rsidRPr="00843520">
              <w:t xml:space="preserve"> jest co roku </w:t>
            </w:r>
            <w:r w:rsidRPr="00843520">
              <w:rPr>
                <w:b/>
                <w:i/>
              </w:rPr>
              <w:t>aktualizowany</w:t>
            </w:r>
            <w:r w:rsidRPr="00843520">
              <w:t xml:space="preserve"> i zawiera:</w:t>
            </w:r>
          </w:p>
        </w:tc>
        <w:tc>
          <w:tcPr>
            <w:tcW w:w="4876" w:type="dxa"/>
          </w:tcPr>
          <w:p w:rsidR="006F7F2D" w:rsidRPr="00843520" w:rsidRDefault="006F7F2D" w:rsidP="0079002B">
            <w:pPr>
              <w:pStyle w:val="Normal6"/>
              <w:rPr>
                <w:szCs w:val="24"/>
              </w:rPr>
            </w:pPr>
            <w:r w:rsidRPr="00843520">
              <w:t>1.</w:t>
            </w:r>
            <w:r w:rsidRPr="00843520">
              <w:tab/>
              <w:t xml:space="preserve">W kontekście lokalnej współpracy konsularnej, o której mowa w art. 12, państwa członkowskie i ESDZ opracowują i uzgadniają wspólny konsularny plan </w:t>
            </w:r>
            <w:proofErr w:type="spellStart"/>
            <w:r w:rsidRPr="00843520">
              <w:t>ewentualnościowy</w:t>
            </w:r>
            <w:proofErr w:type="spellEnd"/>
            <w:r w:rsidRPr="00843520">
              <w:t xml:space="preserve"> dla każdego państwa trzeciego. Wspólny konsularny plan </w:t>
            </w:r>
            <w:proofErr w:type="spellStart"/>
            <w:r w:rsidRPr="00843520">
              <w:t>ewentualnościowy</w:t>
            </w:r>
            <w:proofErr w:type="spellEnd"/>
            <w:r w:rsidRPr="00843520">
              <w:t xml:space="preserve"> jest </w:t>
            </w:r>
            <w:r w:rsidRPr="00843520">
              <w:rPr>
                <w:b/>
                <w:i/>
              </w:rPr>
              <w:t xml:space="preserve">aktualizowany </w:t>
            </w:r>
            <w:r w:rsidRPr="00843520">
              <w:t xml:space="preserve">co roku </w:t>
            </w:r>
            <w:r w:rsidRPr="00843520">
              <w:rPr>
                <w:b/>
                <w:i/>
              </w:rPr>
              <w:t>lub częściej, jeżeli wymagają tego nadzwyczajne okoliczności,</w:t>
            </w:r>
            <w:r w:rsidRPr="00843520">
              <w:t xml:space="preserve"> i zawiera:</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28</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4</w:t>
      </w:r>
    </w:p>
    <w:p w:rsidR="006F7F2D" w:rsidRPr="00843520" w:rsidRDefault="006F7F2D" w:rsidP="006F7F2D">
      <w:pPr>
        <w:keepNext/>
      </w:pPr>
      <w:r w:rsidRPr="00843520">
        <w:t>Dyrektywa (UE) 2015/637</w:t>
      </w:r>
    </w:p>
    <w:p w:rsidR="006F7F2D" w:rsidRPr="00843520" w:rsidRDefault="006F7F2D" w:rsidP="006F7F2D">
      <w:r w:rsidRPr="00843520">
        <w:t>Artykuł 13 – ustęp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a</w:t>
            </w:r>
            <w:proofErr w:type="gramStart"/>
            <w:r w:rsidRPr="00843520">
              <w:t>)</w:t>
            </w:r>
            <w:r w:rsidRPr="00843520">
              <w:tab/>
              <w:t>analizę</w:t>
            </w:r>
            <w:proofErr w:type="gramEnd"/>
            <w:r w:rsidRPr="00843520">
              <w:t xml:space="preserve"> sytuacji konsularnej w danym państwie, w tym przegląd ambasad lub konsulatów państw członkowskich, szacunkową liczbę i miejsce pobytu obywateli Unii oraz ocenę ryzyka w najbardziej prawdopodobnych scenariuszach mających wpływ na obywateli Unii;</w:t>
            </w:r>
          </w:p>
        </w:tc>
        <w:tc>
          <w:tcPr>
            <w:tcW w:w="4876" w:type="dxa"/>
          </w:tcPr>
          <w:p w:rsidR="006F7F2D" w:rsidRPr="00843520" w:rsidRDefault="006F7F2D" w:rsidP="0079002B">
            <w:pPr>
              <w:pStyle w:val="Normal6"/>
              <w:rPr>
                <w:szCs w:val="24"/>
              </w:rPr>
            </w:pPr>
            <w:r w:rsidRPr="00843520">
              <w:t>a</w:t>
            </w:r>
            <w:proofErr w:type="gramStart"/>
            <w:r w:rsidRPr="00843520">
              <w:t>)</w:t>
            </w:r>
            <w:r w:rsidRPr="00843520">
              <w:tab/>
              <w:t>analizę</w:t>
            </w:r>
            <w:proofErr w:type="gramEnd"/>
            <w:r w:rsidRPr="00843520">
              <w:t xml:space="preserve"> sytuacji konsularnej w danym państwie, w tym przegląd ambasad lub konsulatów państw członkowskich, szacunkową liczbę i miejsce pobytu obywateli Unii oraz ocenę ryzyka w najbardziej prawdopodobnych scenariuszach mających wpływ na obywateli Unii;</w:t>
            </w:r>
            <w:r w:rsidRPr="00843520">
              <w:rPr>
                <w:b/>
                <w:i/>
              </w:rPr>
              <w:t xml:space="preserve"> takich jak m.in. zagrożenia o charakterze wojskowym, politycznym, przestępczym, zagrożenia dla zdrowia i klęski żywiołowe;</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29</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4</w:t>
      </w:r>
    </w:p>
    <w:p w:rsidR="006F7F2D" w:rsidRPr="00843520" w:rsidRDefault="006F7F2D" w:rsidP="006F7F2D">
      <w:pPr>
        <w:keepNext/>
      </w:pPr>
      <w:r w:rsidRPr="00843520">
        <w:lastRenderedPageBreak/>
        <w:t>Dyrektywa (UE) 2015/637</w:t>
      </w:r>
    </w:p>
    <w:p w:rsidR="006F7F2D" w:rsidRPr="00843520" w:rsidRDefault="006F7F2D" w:rsidP="006F7F2D">
      <w:r w:rsidRPr="00843520">
        <w:t>Artykuł 13 – ustęp 2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 xml:space="preserve">Delegatury Unii, o ile są obecne, koordynują tworzenie i uzgadnianie wspólnych konsularnych planów </w:t>
            </w:r>
            <w:proofErr w:type="spellStart"/>
            <w:r w:rsidRPr="00843520">
              <w:t>ewentualnościowych</w:t>
            </w:r>
            <w:proofErr w:type="spellEnd"/>
            <w:r w:rsidRPr="00843520">
              <w:t xml:space="preserve"> w oparciu o uwagi przekazane przez ambasady lub konsulaty państw członkowskich reprezentowanych w danym państwie trzecim oraz organy konsularne niereprezentowanych państw członkowskich. Wspólne konsularne plany </w:t>
            </w:r>
            <w:proofErr w:type="spellStart"/>
            <w:r w:rsidRPr="00843520">
              <w:t>ewentualnościowe</w:t>
            </w:r>
            <w:proofErr w:type="spellEnd"/>
            <w:r w:rsidRPr="00843520">
              <w:t xml:space="preserve"> udostępnia się wszystkim państwom członkowskim, ESDZ i służbom Komisji.</w:t>
            </w:r>
          </w:p>
        </w:tc>
        <w:tc>
          <w:tcPr>
            <w:tcW w:w="4876" w:type="dxa"/>
          </w:tcPr>
          <w:p w:rsidR="006F7F2D" w:rsidRPr="00843520" w:rsidRDefault="006F7F2D" w:rsidP="0079002B">
            <w:pPr>
              <w:pStyle w:val="Normal6"/>
              <w:rPr>
                <w:szCs w:val="24"/>
              </w:rPr>
            </w:pPr>
            <w:r w:rsidRPr="00843520">
              <w:t xml:space="preserve">Delegatury Unii, o ile są obecne, koordynują tworzenie i uzgadnianie wspólnych konsularnych planów </w:t>
            </w:r>
            <w:proofErr w:type="spellStart"/>
            <w:r w:rsidRPr="00843520">
              <w:t>ewentualnościowych</w:t>
            </w:r>
            <w:proofErr w:type="spellEnd"/>
            <w:r w:rsidRPr="00843520">
              <w:t xml:space="preserve"> w oparciu o uwagi przekazane przez ambasady lub konsulaty państw członkowskich reprezentowanych w danym państwie trzecim oraz organy konsularne niereprezentowanych państw członkowskich. </w:t>
            </w:r>
            <w:r w:rsidRPr="00843520">
              <w:rPr>
                <w:b/>
                <w:i/>
              </w:rPr>
              <w:t>W razie potrzeby może to obejmować współpracę z państwami trzecimi i organizacjami międzynarodowymi.</w:t>
            </w:r>
            <w:r w:rsidRPr="00843520">
              <w:t xml:space="preserve"> Wspólne konsularne plany </w:t>
            </w:r>
            <w:proofErr w:type="spellStart"/>
            <w:r w:rsidRPr="00843520">
              <w:t>ewentualnościowe</w:t>
            </w:r>
            <w:proofErr w:type="spellEnd"/>
            <w:r w:rsidRPr="00843520">
              <w:t xml:space="preserve"> udostępnia się wszystkim państwom członkowskim, ESDZ i służbom Komisji.</w:t>
            </w:r>
          </w:p>
        </w:tc>
      </w:tr>
    </w:tbl>
    <w:p w:rsidR="006F7F2D" w:rsidRPr="00843520" w:rsidRDefault="006F7F2D" w:rsidP="006F7F2D"/>
    <w:p w:rsidR="006F7F2D" w:rsidRPr="00843520" w:rsidRDefault="006F7F2D" w:rsidP="006F7F2D">
      <w:pPr>
        <w:pStyle w:val="AmNumberTabs"/>
        <w:keepNext/>
      </w:pPr>
      <w:r w:rsidRPr="00843520">
        <w:t>Poprawka</w:t>
      </w:r>
      <w:r w:rsidRPr="00843520">
        <w:tab/>
      </w:r>
      <w:r w:rsidRPr="00843520">
        <w:tab/>
        <w:t>30</w:t>
      </w:r>
    </w:p>
    <w:p w:rsidR="006F7F2D" w:rsidRPr="00843520" w:rsidRDefault="006F7F2D" w:rsidP="006F7F2D">
      <w:pPr>
        <w:pStyle w:val="NormalBold12b"/>
        <w:keepNext/>
      </w:pPr>
      <w:r w:rsidRPr="00843520">
        <w:t>Wniosek dotyczący dyrektywy</w:t>
      </w:r>
    </w:p>
    <w:p w:rsidR="006F7F2D" w:rsidRPr="00843520" w:rsidRDefault="006F7F2D" w:rsidP="006F7F2D">
      <w:pPr>
        <w:pStyle w:val="NormalBold"/>
        <w:keepNext/>
        <w:rPr>
          <w:rFonts w:eastAsiaTheme="majorEastAsia"/>
        </w:rPr>
      </w:pPr>
      <w:r w:rsidRPr="00843520">
        <w:t>Artykuł 1 – akapit 1 – punkt 4</w:t>
      </w:r>
    </w:p>
    <w:p w:rsidR="006F7F2D" w:rsidRPr="00843520" w:rsidRDefault="006F7F2D" w:rsidP="006F7F2D">
      <w:pPr>
        <w:keepNext/>
      </w:pPr>
      <w:r w:rsidRPr="00843520">
        <w:t>Dyrektywa (UE) 2015/637</w:t>
      </w:r>
    </w:p>
    <w:p w:rsidR="006F7F2D" w:rsidRPr="00843520" w:rsidRDefault="006F7F2D" w:rsidP="006F7F2D">
      <w:pPr>
        <w:keepNext/>
      </w:pPr>
      <w:r w:rsidRPr="00843520">
        <w:t>Artykuł 13 – ustęp 3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a"/>
            </w:pPr>
            <w:r w:rsidRPr="00843520">
              <w:t xml:space="preserve"> </w:t>
            </w:r>
          </w:p>
        </w:tc>
        <w:tc>
          <w:tcPr>
            <w:tcW w:w="4876" w:type="dxa"/>
          </w:tcPr>
          <w:p w:rsidR="006F7F2D" w:rsidRPr="00843520" w:rsidRDefault="006F7F2D" w:rsidP="0079002B">
            <w:pPr>
              <w:pStyle w:val="Normal6a"/>
              <w:rPr>
                <w:b/>
                <w:i/>
                <w:szCs w:val="24"/>
              </w:rPr>
            </w:pPr>
            <w:r w:rsidRPr="00843520">
              <w:rPr>
                <w:b/>
                <w:i/>
              </w:rPr>
              <w:t xml:space="preserve">3a. </w:t>
            </w:r>
            <w:r w:rsidRPr="00843520">
              <w:rPr>
                <w:b/>
                <w:i/>
              </w:rPr>
              <w:tab/>
              <w:t>Państwa członkowskie i delegatury Unii współpracują przy wdrażaniu systemów wczesnego ostrzegania, aby umożliwić szybkie wykrywanie potencjalnych kryzysów lub zagrożeń w danym państwie trzecim, takich jak klęski żywiołowe, niepokoje polityczne lub stany zagrożenia zdrowia. Systemy te wykorzystują analizę danych, oceny ryzyka i wymianę danych wywiadowczych, aby wcześnie ostrzegać o pojawiających się zagrożeniach, a tym samym zwiększają skuteczność działań w zakresie gotowości i reagowania na sytuacje kryzysowe.</w:t>
            </w:r>
          </w:p>
        </w:tc>
      </w:tr>
    </w:tbl>
    <w:p w:rsidR="006F7F2D" w:rsidRPr="00843520" w:rsidRDefault="006F7F2D" w:rsidP="006F7F2D"/>
    <w:p w:rsidR="006F7F2D" w:rsidRPr="00843520" w:rsidRDefault="006F7F2D" w:rsidP="006F7F2D">
      <w:pPr>
        <w:pStyle w:val="AmNumberTabs"/>
        <w:keepNext/>
      </w:pPr>
      <w:r w:rsidRPr="00843520">
        <w:lastRenderedPageBreak/>
        <w:t>Poprawka</w:t>
      </w:r>
      <w:r w:rsidRPr="00843520">
        <w:tab/>
      </w:r>
      <w:r w:rsidRPr="00843520">
        <w:tab/>
        <w:t>31</w:t>
      </w:r>
    </w:p>
    <w:p w:rsidR="006F7F2D" w:rsidRPr="00843520" w:rsidRDefault="006F7F2D" w:rsidP="006F7F2D">
      <w:pPr>
        <w:pStyle w:val="NormalBold12b"/>
        <w:keepNext/>
      </w:pPr>
      <w:r w:rsidRPr="00843520">
        <w:t>Wniosek dotyczący dyrektywy</w:t>
      </w:r>
    </w:p>
    <w:p w:rsidR="006F7F2D" w:rsidRPr="00843520" w:rsidRDefault="006F7F2D" w:rsidP="006F7F2D">
      <w:pPr>
        <w:pStyle w:val="NormalBold"/>
        <w:keepNext/>
        <w:rPr>
          <w:rFonts w:eastAsiaTheme="majorEastAsia"/>
        </w:rPr>
      </w:pPr>
      <w:r w:rsidRPr="00843520">
        <w:t>Artykuł 1 – akapit 1 – punkt 4</w:t>
      </w:r>
    </w:p>
    <w:p w:rsidR="006F7F2D" w:rsidRPr="00843520" w:rsidRDefault="006F7F2D" w:rsidP="006F7F2D">
      <w:pPr>
        <w:keepNext/>
      </w:pPr>
      <w:r w:rsidRPr="00843520">
        <w:t>Dyrektywa (UE) 2015/637</w:t>
      </w:r>
    </w:p>
    <w:p w:rsidR="006F7F2D" w:rsidRPr="00843520" w:rsidRDefault="006F7F2D" w:rsidP="006F7F2D">
      <w:pPr>
        <w:keepNext/>
      </w:pPr>
      <w:r w:rsidRPr="00843520">
        <w:t>Artykuł 13 – ustęp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a"/>
            </w:pPr>
            <w:r w:rsidRPr="00843520">
              <w:t>4.</w:t>
            </w:r>
            <w:r w:rsidRPr="00843520">
              <w:tab/>
              <w:t>Państwa członkowskie</w:t>
            </w:r>
            <w:r w:rsidRPr="00843520">
              <w:rPr>
                <w:b/>
                <w:i/>
              </w:rPr>
              <w:t xml:space="preserve"> umożliwiają swoim obywatelom</w:t>
            </w:r>
            <w:r w:rsidRPr="00843520">
              <w:t xml:space="preserve">, zgodnie z przepisami krajowymi </w:t>
            </w:r>
            <w:r w:rsidRPr="00843520">
              <w:rPr>
                <w:b/>
                <w:i/>
              </w:rPr>
              <w:t>i za pośrednictwem odpowiednich środków i narzędzi</w:t>
            </w:r>
            <w:r w:rsidRPr="00843520">
              <w:t xml:space="preserve">, </w:t>
            </w:r>
            <w:r w:rsidRPr="00843520">
              <w:rPr>
                <w:b/>
                <w:i/>
              </w:rPr>
              <w:t>zarejestrowanie</w:t>
            </w:r>
            <w:r w:rsidRPr="00843520">
              <w:t xml:space="preserve"> się we właściwych organach krajowych lub </w:t>
            </w:r>
            <w:r w:rsidRPr="00843520">
              <w:rPr>
                <w:b/>
                <w:i/>
              </w:rPr>
              <w:t>poinformowania ich</w:t>
            </w:r>
            <w:r w:rsidRPr="00843520">
              <w:t xml:space="preserve"> o podróży do państw trzecich lub o pobycie w tych państwach.</w:t>
            </w:r>
          </w:p>
        </w:tc>
        <w:tc>
          <w:tcPr>
            <w:tcW w:w="4876" w:type="dxa"/>
          </w:tcPr>
          <w:p w:rsidR="006F7F2D" w:rsidRPr="00843520" w:rsidRDefault="006F7F2D" w:rsidP="0079002B">
            <w:pPr>
              <w:pStyle w:val="Normal6a"/>
              <w:rPr>
                <w:szCs w:val="24"/>
              </w:rPr>
            </w:pPr>
            <w:r w:rsidRPr="00843520">
              <w:t>4.</w:t>
            </w:r>
            <w:r w:rsidRPr="00843520">
              <w:tab/>
              <w:t xml:space="preserve">Państwa członkowskie, zgodnie z przepisami krajowymi </w:t>
            </w:r>
            <w:r w:rsidRPr="00843520">
              <w:rPr>
                <w:b/>
                <w:i/>
              </w:rPr>
              <w:t>podejmują proaktywne środki w celu zadbania o to</w:t>
            </w:r>
            <w:r w:rsidRPr="00843520">
              <w:t xml:space="preserve">, </w:t>
            </w:r>
            <w:r w:rsidRPr="00843520">
              <w:rPr>
                <w:b/>
                <w:i/>
              </w:rPr>
              <w:t>by ich obywatele rejestrowali</w:t>
            </w:r>
            <w:r w:rsidRPr="00843520">
              <w:t xml:space="preserve"> się we właściwych organach krajowych lub </w:t>
            </w:r>
            <w:r w:rsidRPr="00843520">
              <w:rPr>
                <w:b/>
                <w:i/>
              </w:rPr>
              <w:t>informowali je</w:t>
            </w:r>
            <w:r w:rsidRPr="00843520">
              <w:t xml:space="preserve"> o podróży do państw trzecich lub o pobycie w tych państwach</w:t>
            </w:r>
            <w:r w:rsidRPr="00843520">
              <w:rPr>
                <w:b/>
                <w:i/>
              </w:rPr>
              <w:t>, zwłaszcza jeśli te państwa trzecie nie są uznawane za w pełni bezpieczne</w:t>
            </w:r>
            <w:r w:rsidRPr="00843520">
              <w:t>.</w:t>
            </w:r>
          </w:p>
        </w:tc>
      </w:tr>
    </w:tbl>
    <w:p w:rsidR="006F7F2D" w:rsidRPr="00843520" w:rsidRDefault="006F7F2D" w:rsidP="006F7F2D"/>
    <w:p w:rsidR="006F7F2D" w:rsidRPr="00843520" w:rsidRDefault="006F7F2D" w:rsidP="006F7F2D">
      <w:pPr>
        <w:pStyle w:val="AmNumberTabs"/>
        <w:keepNext/>
      </w:pPr>
      <w:r w:rsidRPr="00843520">
        <w:t>Poprawka</w:t>
      </w:r>
      <w:r w:rsidRPr="00843520">
        <w:tab/>
      </w:r>
      <w:r w:rsidRPr="00843520">
        <w:tab/>
        <w:t>32</w:t>
      </w:r>
    </w:p>
    <w:p w:rsidR="006F7F2D" w:rsidRPr="00843520" w:rsidRDefault="006F7F2D" w:rsidP="006F7F2D">
      <w:pPr>
        <w:pStyle w:val="NormalBold12b"/>
        <w:keepNext/>
      </w:pPr>
      <w:r w:rsidRPr="00843520">
        <w:t>Wniosek dotyczący dyrektywy</w:t>
      </w:r>
    </w:p>
    <w:p w:rsidR="006F7F2D" w:rsidRPr="00843520" w:rsidRDefault="006F7F2D" w:rsidP="006F7F2D">
      <w:pPr>
        <w:pStyle w:val="NormalBold"/>
        <w:keepNext/>
        <w:rPr>
          <w:rFonts w:eastAsiaTheme="majorEastAsia"/>
        </w:rPr>
      </w:pPr>
      <w:r w:rsidRPr="00843520">
        <w:t>Artykuł 1 – akapit 1 – punkt 4</w:t>
      </w:r>
    </w:p>
    <w:p w:rsidR="006F7F2D" w:rsidRPr="00843520" w:rsidRDefault="006F7F2D" w:rsidP="006F7F2D">
      <w:pPr>
        <w:keepNext/>
      </w:pPr>
      <w:r w:rsidRPr="00843520">
        <w:t>Dyrektywa (UE) 2015/637</w:t>
      </w:r>
    </w:p>
    <w:p w:rsidR="006F7F2D" w:rsidRPr="00843520" w:rsidRDefault="006F7F2D" w:rsidP="006F7F2D">
      <w:pPr>
        <w:keepNext/>
      </w:pPr>
      <w:r w:rsidRPr="00843520">
        <w:t>Artykuł 13 – ustęp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a"/>
            </w:pPr>
            <w:r w:rsidRPr="00843520">
              <w:t>5.</w:t>
            </w:r>
            <w:r w:rsidRPr="00843520">
              <w:tab/>
              <w:t>Państwa członkowskie wymieniają informacje o zmianach w swoich zaleceniach dla podróżnych na wczesnym etapie, zwłaszcza w kontekście sytuacji kryzysowej, i dążą do zapewnienia spójności poziomu udzielanych porad dla podróżnych.</w:t>
            </w:r>
            <w:r w:rsidRPr="00843520">
              <w:rPr>
                <w:b/>
                <w:i/>
              </w:rPr>
              <w:t>”</w:t>
            </w:r>
            <w:r w:rsidRPr="00843520">
              <w:t>;</w:t>
            </w:r>
          </w:p>
        </w:tc>
        <w:tc>
          <w:tcPr>
            <w:tcW w:w="4876" w:type="dxa"/>
          </w:tcPr>
          <w:p w:rsidR="006F7F2D" w:rsidRPr="00843520" w:rsidRDefault="006F7F2D" w:rsidP="0079002B">
            <w:pPr>
              <w:pStyle w:val="Normal6a"/>
              <w:rPr>
                <w:szCs w:val="24"/>
              </w:rPr>
            </w:pPr>
            <w:r w:rsidRPr="00843520">
              <w:t>5.</w:t>
            </w:r>
            <w:r w:rsidRPr="00843520">
              <w:tab/>
              <w:t>Państwa członkowskie wymieniają informacje o zmianach w swoich zaleceniach dla podróżnych na wczesnym etapie, zwłaszcza w kontekście sytuacji kryzysowej, i dążą do zapewnienia spójności poziomu udzielanych porad dla podróżnych.</w:t>
            </w:r>
            <w:r w:rsidRPr="00843520">
              <w:rPr>
                <w:b/>
                <w:i/>
              </w:rPr>
              <w:t xml:space="preserve"> Państwa członkowskie powinny zawsze informować się nawzajem, ilekroć dowiedzą się o podwyższonych zagrożeniach dla bezpieczeństwa</w:t>
            </w:r>
            <w:r w:rsidRPr="00843520">
              <w:t>;</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33</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4</w:t>
      </w:r>
    </w:p>
    <w:p w:rsidR="006F7F2D" w:rsidRPr="00843520" w:rsidRDefault="006F7F2D" w:rsidP="006F7F2D">
      <w:pPr>
        <w:keepNext/>
      </w:pPr>
      <w:r w:rsidRPr="00843520">
        <w:t>Dyrektywa (UE) 2015/637</w:t>
      </w:r>
    </w:p>
    <w:p w:rsidR="006F7F2D" w:rsidRPr="00843520" w:rsidRDefault="006F7F2D" w:rsidP="006F7F2D">
      <w:r w:rsidRPr="00843520">
        <w:t>Artykuł 13 – ustęp 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5a.</w:t>
            </w:r>
            <w:r w:rsidRPr="00843520">
              <w:rPr>
                <w:b/>
                <w:i/>
              </w:rPr>
              <w:tab/>
              <w:t>Państwa członkowskie podnoszą świadomość sytuacyjną delegatur Unii w państwach trzecich, w tym przez regularne dzielenie się zaktualizowanymi ocenami ryzyka i informacjami na temat możliwych zagrożeń dla bezpieczeństwa obywateli UE oraz przez wymianę informacji na temat zaleceń dla podróżnych.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34</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4</w:t>
      </w:r>
    </w:p>
    <w:p w:rsidR="006F7F2D" w:rsidRPr="00843520" w:rsidRDefault="006F7F2D" w:rsidP="006F7F2D">
      <w:pPr>
        <w:keepNext/>
      </w:pPr>
      <w:r w:rsidRPr="00843520">
        <w:t>Dyrektywa (UE) 2015/637</w:t>
      </w:r>
    </w:p>
    <w:p w:rsidR="006F7F2D" w:rsidRPr="00843520" w:rsidRDefault="006F7F2D" w:rsidP="006F7F2D">
      <w:r w:rsidRPr="00843520">
        <w:t>Artykuł 13 – ustęp 5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5b.</w:t>
            </w:r>
            <w:r w:rsidRPr="00843520">
              <w:rPr>
                <w:b/>
                <w:i/>
              </w:rPr>
              <w:tab/>
              <w:t>ESDZ, w ścisłej współpracy z państwami członkowskimi, oferuje urzędnikom unijnym oraz personelowi dyplomatycznemu i konsularnemu państw członkowskich szkolenia z gotowości, symulacji i reagowania na sytuacje kryzysowe, służące poprawie ich umiejętności zarządzania kryzysowego i zdolności do oferowania pomocy obywatelom UE za granicą.</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35</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5</w:t>
      </w:r>
    </w:p>
    <w:p w:rsidR="006F7F2D" w:rsidRPr="00843520" w:rsidRDefault="006F7F2D" w:rsidP="006F7F2D">
      <w:pPr>
        <w:keepNext/>
      </w:pPr>
      <w:r w:rsidRPr="00843520">
        <w:t>Dyrektywa (UE) 2015/637</w:t>
      </w:r>
    </w:p>
    <w:p w:rsidR="006F7F2D" w:rsidRPr="00843520" w:rsidRDefault="006F7F2D" w:rsidP="006F7F2D">
      <w:r w:rsidRPr="00843520">
        <w:t>Artykuł 13 a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2.</w:t>
            </w:r>
            <w:r w:rsidRPr="00843520">
              <w:tab/>
              <w:t xml:space="preserve">W razie potrzeby państwa członkowskie mogą być wspierane przez wspólne zespoły konsularne składające się z ekspertów z państw członkowskich, w szczególności z państw członkowskich niereprezentowanych w państwie trzecim dotkniętym sytuacją kryzysową, przez ESDZ i służby Komisji. Wspólne zespoły konsularne są do dyspozycji w razie </w:t>
            </w:r>
            <w:r w:rsidRPr="00843520">
              <w:lastRenderedPageBreak/>
              <w:t>konieczności szybkiego rozmieszczenia w państwach trzecich dotkniętych kryzysem konsularnym. Uczestnictwo we wspólnych zespołach konsularnych jest dobrowolne.</w:t>
            </w:r>
          </w:p>
        </w:tc>
        <w:tc>
          <w:tcPr>
            <w:tcW w:w="4876" w:type="dxa"/>
          </w:tcPr>
          <w:p w:rsidR="006F7F2D" w:rsidRPr="00843520" w:rsidRDefault="006F7F2D" w:rsidP="0079002B">
            <w:pPr>
              <w:pStyle w:val="Normal6"/>
              <w:rPr>
                <w:szCs w:val="24"/>
              </w:rPr>
            </w:pPr>
            <w:r w:rsidRPr="00843520">
              <w:lastRenderedPageBreak/>
              <w:t>2.</w:t>
            </w:r>
            <w:r w:rsidRPr="00843520">
              <w:tab/>
              <w:t xml:space="preserve">W razie potrzeby państwa członkowskie mogą być wspierane przez wspólne zespoły konsularne składające się z ekspertów z państw członkowskich, w szczególności z państw członkowskich niereprezentowanych w państwie trzecim dotkniętym sytuacją kryzysową, przez ESDZ i służby Komisji. Wspólne zespoły konsularne są do dyspozycji w razie </w:t>
            </w:r>
            <w:r w:rsidRPr="00843520">
              <w:lastRenderedPageBreak/>
              <w:t>konieczności szybkiego rozmieszczenia w państwach trzecich dotkniętych kryzysem konsularnym. Uczestnictwo we wspólnych zespołach konsularnych jest dobrowolne.</w:t>
            </w:r>
            <w:r w:rsidRPr="00843520">
              <w:rPr>
                <w:b/>
                <w:i/>
              </w:rPr>
              <w:t xml:space="preserve"> ESDZ i Komisja wspierają gotowość tych ekspertów i wspólnych zespołów konsularnych.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36</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5</w:t>
      </w:r>
    </w:p>
    <w:p w:rsidR="006F7F2D" w:rsidRPr="00843520" w:rsidRDefault="006F7F2D" w:rsidP="006F7F2D">
      <w:pPr>
        <w:keepNext/>
      </w:pPr>
      <w:r w:rsidRPr="00843520">
        <w:t>Dyrektywa (UE) 2015/637</w:t>
      </w:r>
    </w:p>
    <w:p w:rsidR="006F7F2D" w:rsidRPr="00843520" w:rsidRDefault="006F7F2D" w:rsidP="006F7F2D">
      <w:r w:rsidRPr="00843520">
        <w:t>Artykuł 13 a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4.</w:t>
            </w:r>
            <w:r w:rsidRPr="00843520">
              <w:tab/>
              <w:t xml:space="preserve">Udzielając pomocy, państwa członkowskie mogą </w:t>
            </w:r>
            <w:r w:rsidRPr="00843520">
              <w:rPr>
                <w:b/>
                <w:i/>
              </w:rPr>
              <w:t>w stosownych przypadkach ubiegać się o </w:t>
            </w:r>
            <w:r w:rsidRPr="00843520">
              <w:t>wsparcie z</w:t>
            </w:r>
            <w:r w:rsidRPr="00843520">
              <w:rPr>
                <w:b/>
                <w:i/>
              </w:rPr>
              <w:t> </w:t>
            </w:r>
            <w:r w:rsidRPr="00843520">
              <w:t>instrumentów unijnych, takich jak struktury zarządzania kryzysowego ESDZ i</w:t>
            </w:r>
            <w:r w:rsidRPr="00843520">
              <w:rPr>
                <w:b/>
                <w:i/>
              </w:rPr>
              <w:t> </w:t>
            </w:r>
            <w:r w:rsidRPr="00843520">
              <w:t>jej Centrum Reagowania Kryzysowego</w:t>
            </w:r>
            <w:r w:rsidRPr="00843520">
              <w:rPr>
                <w:b/>
                <w:i/>
              </w:rPr>
              <w:t xml:space="preserve"> oraz, za pośrednictwem</w:t>
            </w:r>
            <w:r w:rsidRPr="00843520">
              <w:t xml:space="preserve"> Centrum Koordynacji Reagowania Kryzysowego </w:t>
            </w:r>
            <w:r w:rsidRPr="00843520">
              <w:rPr>
                <w:b/>
                <w:i/>
              </w:rPr>
              <w:t>ustanowionego</w:t>
            </w:r>
            <w:r w:rsidRPr="00843520">
              <w:t xml:space="preserve"> na mocy art.</w:t>
            </w:r>
            <w:r w:rsidRPr="00843520">
              <w:rPr>
                <w:b/>
                <w:i/>
              </w:rPr>
              <w:t> </w:t>
            </w:r>
            <w:r w:rsidRPr="00843520">
              <w:t>7 decyzji nr</w:t>
            </w:r>
            <w:r w:rsidRPr="00843520">
              <w:rPr>
                <w:b/>
                <w:i/>
              </w:rPr>
              <w:t> </w:t>
            </w:r>
            <w:r w:rsidRPr="00843520">
              <w:t xml:space="preserve">1313/2013/UE, </w:t>
            </w:r>
            <w:r w:rsidRPr="00843520">
              <w:rPr>
                <w:b/>
                <w:i/>
              </w:rPr>
              <w:t>z Unijnego Mechanizmu</w:t>
            </w:r>
            <w:r w:rsidRPr="00843520">
              <w:t xml:space="preserve"> Ochrony Ludności.</w:t>
            </w:r>
            <w:r w:rsidRPr="00843520">
              <w:rPr>
                <w:b/>
                <w:i/>
              </w:rPr>
              <w:t>;</w:t>
            </w:r>
          </w:p>
        </w:tc>
        <w:tc>
          <w:tcPr>
            <w:tcW w:w="4876" w:type="dxa"/>
          </w:tcPr>
          <w:p w:rsidR="006F7F2D" w:rsidRPr="00843520" w:rsidRDefault="006F7F2D" w:rsidP="0079002B">
            <w:pPr>
              <w:pStyle w:val="Normal6"/>
              <w:rPr>
                <w:szCs w:val="24"/>
              </w:rPr>
            </w:pPr>
            <w:r w:rsidRPr="00843520">
              <w:t>4.</w:t>
            </w:r>
            <w:r w:rsidRPr="00843520">
              <w:tab/>
              <w:t xml:space="preserve">Udzielając pomocy, państwa członkowskie mogą </w:t>
            </w:r>
            <w:r w:rsidRPr="00843520">
              <w:rPr>
                <w:b/>
                <w:i/>
              </w:rPr>
              <w:t xml:space="preserve">otrzymać </w:t>
            </w:r>
            <w:r w:rsidRPr="00843520">
              <w:t>wsparcie z</w:t>
            </w:r>
            <w:r w:rsidRPr="00843520">
              <w:rPr>
                <w:b/>
                <w:i/>
              </w:rPr>
              <w:t xml:space="preserve"> </w:t>
            </w:r>
            <w:r w:rsidRPr="00843520">
              <w:t>instrumentów unijnych, takich jak struktury zarządzania kryzysowego ESDZ i</w:t>
            </w:r>
            <w:r w:rsidRPr="00843520">
              <w:rPr>
                <w:b/>
                <w:i/>
              </w:rPr>
              <w:t xml:space="preserve"> </w:t>
            </w:r>
            <w:r w:rsidRPr="00843520">
              <w:t>jej Centrum Reagowania Kryzysowego</w:t>
            </w:r>
            <w:r w:rsidRPr="00843520">
              <w:rPr>
                <w:b/>
                <w:i/>
              </w:rPr>
              <w:t>. Państwa członkowskie mogą również zaangażować</w:t>
            </w:r>
            <w:r w:rsidRPr="00843520">
              <w:t xml:space="preserve"> Centrum Koordynacji Reagowania Kryzysowego </w:t>
            </w:r>
            <w:r w:rsidRPr="00843520">
              <w:rPr>
                <w:b/>
                <w:i/>
              </w:rPr>
              <w:t>ustanowione</w:t>
            </w:r>
            <w:r w:rsidRPr="00843520">
              <w:t xml:space="preserve"> na mocy art.</w:t>
            </w:r>
            <w:r w:rsidRPr="00843520">
              <w:rPr>
                <w:b/>
                <w:i/>
              </w:rPr>
              <w:t xml:space="preserve"> </w:t>
            </w:r>
            <w:r w:rsidRPr="00843520">
              <w:t>7 decyzji nr</w:t>
            </w:r>
            <w:r w:rsidRPr="00843520">
              <w:rPr>
                <w:b/>
                <w:i/>
              </w:rPr>
              <w:t xml:space="preserve"> </w:t>
            </w:r>
            <w:r w:rsidRPr="00843520">
              <w:t xml:space="preserve">1313/2013/UE, </w:t>
            </w:r>
            <w:r w:rsidRPr="00843520">
              <w:rPr>
                <w:b/>
                <w:i/>
              </w:rPr>
              <w:t>Unijny Mechanizm</w:t>
            </w:r>
            <w:r w:rsidRPr="00843520">
              <w:t xml:space="preserve"> Ochrony Ludności</w:t>
            </w:r>
            <w:r w:rsidRPr="00843520">
              <w:rPr>
                <w:b/>
                <w:i/>
              </w:rPr>
              <w:t xml:space="preserve"> oraz, w stosownych przypadkach, misje i operacje UE w ramach wspólnej polityki bezpieczeństwa i obrony, a także unijną zdolność szybkiego rozmieszczania, przewidzianą w Strategicznym kompasie na rzecz bezpieczeństwa i obrony</w:t>
            </w:r>
            <w:r w:rsidRPr="00843520">
              <w:t>.</w:t>
            </w:r>
            <w:r w:rsidRPr="00843520">
              <w:rPr>
                <w:b/>
                <w:i/>
              </w:rPr>
              <w:t>”.</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37</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5</w:t>
      </w:r>
    </w:p>
    <w:p w:rsidR="006F7F2D" w:rsidRPr="00843520" w:rsidRDefault="006F7F2D" w:rsidP="006F7F2D">
      <w:pPr>
        <w:keepNext/>
      </w:pPr>
      <w:r w:rsidRPr="00843520">
        <w:t>Dyrektywa (UE) 2015/637</w:t>
      </w:r>
    </w:p>
    <w:p w:rsidR="006F7F2D" w:rsidRPr="00843520" w:rsidRDefault="006F7F2D" w:rsidP="006F7F2D">
      <w:r w:rsidRPr="00843520">
        <w:t>Artykuł 13 a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4a.</w:t>
            </w:r>
            <w:r w:rsidRPr="00843520">
              <w:rPr>
                <w:b/>
                <w:i/>
              </w:rPr>
              <w:tab/>
            </w:r>
            <w:proofErr w:type="gramStart"/>
            <w:r w:rsidRPr="00843520">
              <w:rPr>
                <w:b/>
                <w:i/>
              </w:rPr>
              <w:t>w</w:t>
            </w:r>
            <w:proofErr w:type="gramEnd"/>
            <w:r w:rsidRPr="00843520">
              <w:rPr>
                <w:b/>
                <w:i/>
              </w:rPr>
              <w:t xml:space="preserve"> rozdziale 2 dodaje się art. 13ad w brzmieniu: „Artykuł 13ad Szczególna ochrona dzieci Państwa członkowskie, przy wsparciu delegatur Unii, wprowadzają środki ochronne służące zapewnieniu prawa do ochrony konsularnej dzieci, które są obywatelami </w:t>
            </w:r>
            <w:r w:rsidRPr="00843520">
              <w:rPr>
                <w:b/>
                <w:i/>
              </w:rPr>
              <w:lastRenderedPageBreak/>
              <w:t>UE, w państwach trzecich, w szczególności gdy istnieje ryzyko naruszenia ich praw zapisanych w Karcie praw podstawowych UE i Konwencji ONZ o prawach dziecka. Przy udzielaniu pomocy konsularnej dzieciom państwa członkowskie biorą pod uwagę przede wszystkim najlepszy interes dziecka.</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38</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6</w:t>
      </w:r>
    </w:p>
    <w:p w:rsidR="006F7F2D" w:rsidRPr="00843520" w:rsidRDefault="006F7F2D" w:rsidP="006F7F2D">
      <w:pPr>
        <w:keepNext/>
      </w:pPr>
      <w:r w:rsidRPr="00843520">
        <w:t>Dyrektywa (UE) 2015/637</w:t>
      </w:r>
    </w:p>
    <w:p w:rsidR="006F7F2D" w:rsidRPr="00843520" w:rsidRDefault="006F7F2D" w:rsidP="006F7F2D">
      <w:r w:rsidRPr="00843520">
        <w:t>Artykuł 13 b – ustęp 1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 xml:space="preserve">Co najmniej raz </w:t>
            </w:r>
            <w:r w:rsidRPr="00843520">
              <w:rPr>
                <w:b/>
                <w:i/>
              </w:rPr>
              <w:t>w roku</w:t>
            </w:r>
            <w:r w:rsidRPr="00843520">
              <w:t xml:space="preserve"> państwa członkowskie przekazują </w:t>
            </w:r>
            <w:r w:rsidRPr="00843520">
              <w:rPr>
                <w:b/>
                <w:i/>
              </w:rPr>
              <w:t>Komisji i Wysokiemu Przedstawicielowi Unii do Spraw Zagranicznych</w:t>
            </w:r>
            <w:r w:rsidRPr="00843520">
              <w:t xml:space="preserve"> i</w:t>
            </w:r>
            <w:r w:rsidRPr="00843520">
              <w:rPr>
                <w:b/>
                <w:i/>
              </w:rPr>
              <w:t> Polityki Bezpieczeństwa</w:t>
            </w:r>
            <w:r w:rsidRPr="00843520">
              <w:t xml:space="preserve"> następujące informacje:</w:t>
            </w:r>
          </w:p>
        </w:tc>
        <w:tc>
          <w:tcPr>
            <w:tcW w:w="4876" w:type="dxa"/>
          </w:tcPr>
          <w:p w:rsidR="006F7F2D" w:rsidRPr="00843520" w:rsidRDefault="006F7F2D" w:rsidP="0079002B">
            <w:pPr>
              <w:pStyle w:val="Normal6"/>
              <w:rPr>
                <w:szCs w:val="24"/>
              </w:rPr>
            </w:pPr>
            <w:r w:rsidRPr="00843520">
              <w:t xml:space="preserve">Co najmniej raz </w:t>
            </w:r>
            <w:r w:rsidRPr="00843520">
              <w:rPr>
                <w:b/>
                <w:i/>
              </w:rPr>
              <w:t>na sześć miesięcy</w:t>
            </w:r>
            <w:r w:rsidRPr="00843520">
              <w:t xml:space="preserve"> państwa członkowskie przekazują </w:t>
            </w:r>
            <w:r w:rsidRPr="00843520">
              <w:rPr>
                <w:b/>
                <w:i/>
              </w:rPr>
              <w:t>ESDZ</w:t>
            </w:r>
            <w:r w:rsidRPr="00843520">
              <w:t xml:space="preserve"> i</w:t>
            </w:r>
            <w:r w:rsidRPr="00843520">
              <w:rPr>
                <w:b/>
                <w:i/>
              </w:rPr>
              <w:t xml:space="preserve"> Komisji</w:t>
            </w:r>
            <w:r w:rsidRPr="00843520">
              <w:t xml:space="preserve"> następujące informacje:</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39</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6</w:t>
      </w:r>
    </w:p>
    <w:p w:rsidR="006F7F2D" w:rsidRPr="00843520" w:rsidRDefault="006F7F2D" w:rsidP="006F7F2D">
      <w:pPr>
        <w:keepNext/>
      </w:pPr>
      <w:r w:rsidRPr="00843520">
        <w:t>Dyrektywa (UE) 2015/637</w:t>
      </w:r>
    </w:p>
    <w:p w:rsidR="006F7F2D" w:rsidRPr="00843520" w:rsidRDefault="006F7F2D" w:rsidP="006F7F2D">
      <w:r w:rsidRPr="00843520">
        <w:t>Artykuł 13 b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2.</w:t>
            </w:r>
            <w:r w:rsidRPr="00843520">
              <w:tab/>
              <w:t>Państwa członkowskie, służby Komisji i ESDZ podają do wiadomości publicznej informacje, o których mowa w ust. 1</w:t>
            </w:r>
            <w:r w:rsidRPr="00843520">
              <w:rPr>
                <w:b/>
                <w:i/>
              </w:rPr>
              <w:t xml:space="preserve"> lit. a), b) i c)</w:t>
            </w:r>
            <w:r w:rsidRPr="00843520">
              <w:t>, w sposób gwarantujący spójność przekazywanych informacji.</w:t>
            </w:r>
          </w:p>
        </w:tc>
        <w:tc>
          <w:tcPr>
            <w:tcW w:w="4876" w:type="dxa"/>
          </w:tcPr>
          <w:p w:rsidR="006F7F2D" w:rsidRPr="00843520" w:rsidRDefault="006F7F2D" w:rsidP="0079002B">
            <w:pPr>
              <w:pStyle w:val="Normal6"/>
              <w:rPr>
                <w:szCs w:val="24"/>
              </w:rPr>
            </w:pPr>
            <w:r w:rsidRPr="00843520">
              <w:t>2.</w:t>
            </w:r>
            <w:r w:rsidRPr="00843520">
              <w:tab/>
              <w:t>Państwa członkowskie, służby Komisji i ESDZ podają do wiadomości publicznej informacje, o których mowa w ust. 1, w sposób gwarantujący spójność przekazywanych informacji.</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40</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6</w:t>
      </w:r>
    </w:p>
    <w:p w:rsidR="006F7F2D" w:rsidRPr="00843520" w:rsidRDefault="006F7F2D" w:rsidP="006F7F2D">
      <w:pPr>
        <w:keepNext/>
      </w:pPr>
      <w:r w:rsidRPr="00843520">
        <w:t>Dyrektywa (UE) 2015/637</w:t>
      </w:r>
    </w:p>
    <w:p w:rsidR="006F7F2D" w:rsidRPr="00843520" w:rsidRDefault="006F7F2D" w:rsidP="006F7F2D">
      <w:r w:rsidRPr="00843520">
        <w:t>Artykuł 13 b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3.</w:t>
            </w:r>
            <w:r w:rsidRPr="00843520">
              <w:tab/>
            </w:r>
            <w:r w:rsidRPr="00843520">
              <w:rPr>
                <w:b/>
                <w:i/>
              </w:rPr>
              <w:t>Na wniosek Komisji</w:t>
            </w:r>
            <w:r w:rsidRPr="00843520">
              <w:t xml:space="preserve"> państwa </w:t>
            </w:r>
            <w:r w:rsidRPr="00843520">
              <w:lastRenderedPageBreak/>
              <w:t>członkowskie udostępniają informacje, o których mowa w ust. 1, w formacie nadającym się do odczytu maszynowego.</w:t>
            </w:r>
          </w:p>
        </w:tc>
        <w:tc>
          <w:tcPr>
            <w:tcW w:w="4876" w:type="dxa"/>
          </w:tcPr>
          <w:p w:rsidR="006F7F2D" w:rsidRPr="00843520" w:rsidRDefault="006F7F2D" w:rsidP="0079002B">
            <w:pPr>
              <w:pStyle w:val="Normal6"/>
              <w:rPr>
                <w:szCs w:val="24"/>
              </w:rPr>
            </w:pPr>
            <w:r w:rsidRPr="00843520">
              <w:lastRenderedPageBreak/>
              <w:t>3.</w:t>
            </w:r>
            <w:r w:rsidRPr="00843520">
              <w:tab/>
              <w:t xml:space="preserve">Państwa członkowskie udostępniają </w:t>
            </w:r>
            <w:r w:rsidRPr="00843520">
              <w:lastRenderedPageBreak/>
              <w:t>informacje, o których mowa w ust. 1, w formacie nadającym się do odczytu maszynowego.</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41</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6</w:t>
      </w:r>
    </w:p>
    <w:p w:rsidR="006F7F2D" w:rsidRPr="00843520" w:rsidRDefault="006F7F2D" w:rsidP="006F7F2D">
      <w:pPr>
        <w:keepNext/>
      </w:pPr>
      <w:r w:rsidRPr="00843520">
        <w:t>Dyrektywa (UE) 2015/637</w:t>
      </w:r>
    </w:p>
    <w:p w:rsidR="006F7F2D" w:rsidRPr="00843520" w:rsidRDefault="006F7F2D" w:rsidP="006F7F2D">
      <w:r w:rsidRPr="00843520">
        <w:t>Artykuł 13 c – ustęp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1.</w:t>
            </w:r>
            <w:r w:rsidRPr="00843520">
              <w:tab/>
              <w:t>Państwa członkowskie podejmują działania, aby informować swoich obywateli o ich prawie określonym w art. 20 ust. 2 lit. c) TFUE</w:t>
            </w:r>
            <w:r w:rsidRPr="00843520">
              <w:rPr>
                <w:b/>
                <w:i/>
              </w:rPr>
              <w:t>.</w:t>
            </w:r>
            <w:r w:rsidRPr="00843520">
              <w:t xml:space="preserve"> </w:t>
            </w:r>
            <w:r w:rsidRPr="00843520">
              <w:rPr>
                <w:b/>
                <w:i/>
              </w:rPr>
              <w:t>Działania te mogą polegać</w:t>
            </w:r>
            <w:r w:rsidRPr="00843520">
              <w:t xml:space="preserve"> w</w:t>
            </w:r>
            <w:r w:rsidRPr="00843520">
              <w:rPr>
                <w:b/>
                <w:i/>
              </w:rPr>
              <w:t> </w:t>
            </w:r>
            <w:r w:rsidRPr="00843520">
              <w:t>szczególności na:</w:t>
            </w:r>
          </w:p>
        </w:tc>
        <w:tc>
          <w:tcPr>
            <w:tcW w:w="4876" w:type="dxa"/>
          </w:tcPr>
          <w:p w:rsidR="006F7F2D" w:rsidRPr="00843520" w:rsidRDefault="006F7F2D" w:rsidP="0079002B">
            <w:pPr>
              <w:pStyle w:val="Normal6"/>
              <w:rPr>
                <w:szCs w:val="24"/>
              </w:rPr>
            </w:pPr>
            <w:r w:rsidRPr="00843520">
              <w:t>1.</w:t>
            </w:r>
            <w:r w:rsidRPr="00843520">
              <w:tab/>
              <w:t>Państwa członkowskie podejmują działania, aby informować swoich obywateli o ich prawie określonym w art. 20 ust. 2 lit. c) TFUE</w:t>
            </w:r>
            <w:r w:rsidRPr="00843520">
              <w:rPr>
                <w:b/>
                <w:i/>
              </w:rPr>
              <w:t>, polegające</w:t>
            </w:r>
            <w:r w:rsidRPr="00843520">
              <w:t xml:space="preserve"> w</w:t>
            </w:r>
            <w:r w:rsidRPr="00843520">
              <w:rPr>
                <w:b/>
                <w:i/>
              </w:rPr>
              <w:t xml:space="preserve"> </w:t>
            </w:r>
            <w:r w:rsidRPr="00843520">
              <w:t>szczególności na:</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42</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6</w:t>
      </w:r>
    </w:p>
    <w:p w:rsidR="006F7F2D" w:rsidRPr="00843520" w:rsidRDefault="006F7F2D" w:rsidP="006F7F2D">
      <w:pPr>
        <w:keepNext/>
      </w:pPr>
      <w:r w:rsidRPr="00843520">
        <w:t>Dyrektywa (UE) 2015/637</w:t>
      </w:r>
    </w:p>
    <w:p w:rsidR="006F7F2D" w:rsidRPr="00843520" w:rsidRDefault="006F7F2D" w:rsidP="006F7F2D">
      <w:r w:rsidRPr="00843520">
        <w:t>Artykuł 13 c – ustęp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rPr>
                <w:b/>
                <w:i/>
              </w:rPr>
              <w:t>a</w:t>
            </w:r>
            <w:proofErr w:type="gramStart"/>
            <w:r w:rsidRPr="00843520">
              <w:rPr>
                <w:b/>
                <w:i/>
              </w:rPr>
              <w:t>)</w:t>
            </w:r>
            <w:r w:rsidRPr="00843520">
              <w:rPr>
                <w:b/>
                <w:i/>
              </w:rPr>
              <w:tab/>
              <w:t>zamieszczaniu</w:t>
            </w:r>
            <w:proofErr w:type="gramEnd"/>
            <w:r w:rsidRPr="00843520">
              <w:rPr>
                <w:b/>
                <w:i/>
              </w:rPr>
              <w:t xml:space="preserve"> pierwszego zdania art. 23 TFUE w paszportach krajowych;</w:t>
            </w:r>
          </w:p>
        </w:tc>
        <w:tc>
          <w:tcPr>
            <w:tcW w:w="4876" w:type="dxa"/>
          </w:tcPr>
          <w:p w:rsidR="006F7F2D" w:rsidRPr="00843520" w:rsidRDefault="006F7F2D" w:rsidP="0079002B">
            <w:pPr>
              <w:pStyle w:val="Normal6"/>
              <w:rPr>
                <w:szCs w:val="24"/>
              </w:rPr>
            </w:pPr>
            <w:proofErr w:type="gramStart"/>
            <w:r w:rsidRPr="00843520">
              <w:rPr>
                <w:b/>
                <w:i/>
              </w:rPr>
              <w:t>skreśla</w:t>
            </w:r>
            <w:proofErr w:type="gramEnd"/>
            <w:r w:rsidRPr="00843520">
              <w:rPr>
                <w:b/>
                <w:i/>
              </w:rPr>
              <w:t xml:space="preserve"> się</w:t>
            </w:r>
          </w:p>
        </w:tc>
      </w:tr>
    </w:tbl>
    <w:p w:rsidR="006F7F2D" w:rsidRPr="00843520" w:rsidRDefault="006F7F2D" w:rsidP="006F7F2D"/>
    <w:p w:rsidR="006F7F2D" w:rsidRPr="00843520" w:rsidRDefault="006F7F2D" w:rsidP="006F7F2D">
      <w:pPr>
        <w:pStyle w:val="AmNumberTabs"/>
        <w:keepNext/>
      </w:pPr>
      <w:r w:rsidRPr="00843520">
        <w:t>Poprawka</w:t>
      </w:r>
      <w:r w:rsidRPr="00843520">
        <w:tab/>
      </w:r>
      <w:r w:rsidRPr="00843520">
        <w:tab/>
        <w:t>43</w:t>
      </w:r>
    </w:p>
    <w:p w:rsidR="006F7F2D" w:rsidRPr="00843520" w:rsidRDefault="006F7F2D" w:rsidP="006F7F2D">
      <w:pPr>
        <w:pStyle w:val="NormalBold12b"/>
        <w:keepNext/>
        <w:rPr>
          <w:rFonts w:eastAsiaTheme="majorEastAsia"/>
        </w:rPr>
      </w:pPr>
      <w:r w:rsidRPr="00843520">
        <w:t>Wniosek dotyczący dyrektywy</w:t>
      </w:r>
    </w:p>
    <w:p w:rsidR="006F7F2D" w:rsidRPr="00843520" w:rsidRDefault="006F7F2D" w:rsidP="006F7F2D">
      <w:pPr>
        <w:pStyle w:val="NormalBold"/>
        <w:keepNext/>
        <w:rPr>
          <w:rFonts w:eastAsiaTheme="majorEastAsia"/>
        </w:rPr>
      </w:pPr>
      <w:r w:rsidRPr="00843520">
        <w:t>Artykuł 1 – akapit 1 – punkt 6</w:t>
      </w:r>
    </w:p>
    <w:p w:rsidR="006F7F2D" w:rsidRPr="00843520" w:rsidRDefault="006F7F2D" w:rsidP="006F7F2D">
      <w:pPr>
        <w:keepNext/>
      </w:pPr>
      <w:r w:rsidRPr="00843520">
        <w:t>Dyrektywa (UE) 2015/637</w:t>
      </w:r>
    </w:p>
    <w:p w:rsidR="006F7F2D" w:rsidRPr="00843520" w:rsidRDefault="006F7F2D" w:rsidP="006F7F2D">
      <w:pPr>
        <w:keepNext/>
      </w:pPr>
      <w:r w:rsidRPr="00843520">
        <w:t>Artykuł 13 c – ustęp 1 – litera c a (nowa)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a"/>
            </w:pPr>
            <w:r w:rsidRPr="00843520">
              <w:t xml:space="preserve"> </w:t>
            </w:r>
          </w:p>
        </w:tc>
        <w:tc>
          <w:tcPr>
            <w:tcW w:w="4876" w:type="dxa"/>
          </w:tcPr>
          <w:p w:rsidR="006F7F2D" w:rsidRPr="00843520" w:rsidRDefault="006F7F2D" w:rsidP="0079002B">
            <w:pPr>
              <w:pStyle w:val="Normal6a"/>
              <w:rPr>
                <w:szCs w:val="24"/>
              </w:rPr>
            </w:pPr>
            <w:r w:rsidRPr="00843520">
              <w:rPr>
                <w:b/>
                <w:i/>
              </w:rPr>
              <w:t>ca</w:t>
            </w:r>
            <w:proofErr w:type="gramStart"/>
            <w:r w:rsidRPr="00843520">
              <w:rPr>
                <w:b/>
                <w:i/>
              </w:rPr>
              <w:t>)</w:t>
            </w:r>
            <w:r w:rsidRPr="00843520">
              <w:rPr>
                <w:b/>
                <w:i/>
              </w:rPr>
              <w:tab/>
              <w:t>wdrażanie</w:t>
            </w:r>
            <w:proofErr w:type="gramEnd"/>
            <w:r w:rsidRPr="00843520">
              <w:rPr>
                <w:b/>
                <w:i/>
              </w:rPr>
              <w:t xml:space="preserve"> technologii cyfrowych i zautomatyzowanych systemów powiadamiania, takich jak wiadomości SMS za pośrednictwem sieci telefonicznych, w celu zapewnienia obywatelom UE podstawowych danych kontaktowych do celów ochrony konsularnej przy wjeździe do państwa trzeciego, a także komunikatów </w:t>
            </w:r>
            <w:r w:rsidRPr="00843520">
              <w:rPr>
                <w:b/>
                <w:i/>
              </w:rPr>
              <w:lastRenderedPageBreak/>
              <w:t>alarmowych w sytuacjach kryzysowych.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44</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6</w:t>
      </w:r>
    </w:p>
    <w:p w:rsidR="006F7F2D" w:rsidRPr="00843520" w:rsidRDefault="006F7F2D" w:rsidP="006F7F2D">
      <w:pPr>
        <w:keepNext/>
      </w:pPr>
      <w:r w:rsidRPr="00843520">
        <w:t>Dyrektywa (UE) 2015/637</w:t>
      </w:r>
    </w:p>
    <w:p w:rsidR="006F7F2D" w:rsidRPr="00843520" w:rsidRDefault="006F7F2D" w:rsidP="006F7F2D">
      <w:r w:rsidRPr="00843520">
        <w:t>Artykuł 13 c – ustęp 1a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r w:rsidRPr="00843520">
              <w:rPr>
                <w:b/>
                <w:i/>
              </w:rPr>
              <w:t>1a.</w:t>
            </w:r>
            <w:r w:rsidRPr="00843520">
              <w:rPr>
                <w:b/>
                <w:i/>
              </w:rPr>
              <w:tab/>
            </w:r>
            <w:proofErr w:type="gramStart"/>
            <w:r w:rsidRPr="00843520">
              <w:rPr>
                <w:b/>
                <w:i/>
              </w:rPr>
              <w:t>ponadto</w:t>
            </w:r>
            <w:proofErr w:type="gramEnd"/>
            <w:r w:rsidRPr="00843520">
              <w:rPr>
                <w:b/>
                <w:i/>
              </w:rPr>
              <w:t xml:space="preserve"> państwa członkowskie zamieszczają pierwsze zdanie art. 23 TFUE w widocznym miejscu w paszportach krajowych.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45</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7</w:t>
      </w:r>
    </w:p>
    <w:p w:rsidR="006F7F2D" w:rsidRPr="00843520" w:rsidRDefault="006F7F2D" w:rsidP="006F7F2D">
      <w:pPr>
        <w:keepNext/>
      </w:pPr>
      <w:r w:rsidRPr="00843520">
        <w:t>Dyrektywa (UE) 2015/637</w:t>
      </w:r>
    </w:p>
    <w:p w:rsidR="006F7F2D" w:rsidRPr="00843520" w:rsidRDefault="006F7F2D" w:rsidP="006F7F2D">
      <w:r w:rsidRPr="00843520">
        <w:t>Artykuł 14 – ustęp 2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 xml:space="preserve">Jeżeli niereprezentowany obywatel nie jest w stanie uiścić kosztów, o których mowa w ust. 1, na rzecz państwa członkowskiego udzielającego pomocy w chwili składania wniosku o pomoc, państwo członkowskie udzielające pomocy może zażądać od niereprezentowanego obywatela podpisania zobowiązania do zwrotu kosztów. Na tej podstawie państwo członkowskie udzielające pomocy może zwrócić się do danego niereprezentowanego obywatela o zwrot takich kosztów po upływie </w:t>
            </w:r>
            <w:r w:rsidRPr="00843520">
              <w:rPr>
                <w:b/>
                <w:i/>
              </w:rPr>
              <w:t>czterech tygodni</w:t>
            </w:r>
            <w:r w:rsidRPr="00843520">
              <w:t xml:space="preserve"> od chwili udzielenia pomocy.</w:t>
            </w:r>
            <w:r w:rsidR="00DB2762">
              <w:t xml:space="preserve"> </w:t>
            </w:r>
            <w:r w:rsidR="00DB2762" w:rsidRPr="00DB2762">
              <w:t>Brak możliwości uiszczenia kosztów, o których mowa w ust. 1, w chwili składania wniosku o pomoc nie ma wpływu na prawo niereprezentowanego obywatela do otrzymania ochrony konsularnej.</w:t>
            </w:r>
          </w:p>
        </w:tc>
        <w:tc>
          <w:tcPr>
            <w:tcW w:w="4876" w:type="dxa"/>
          </w:tcPr>
          <w:p w:rsidR="006F7F2D" w:rsidRPr="00843520" w:rsidRDefault="006F7F2D" w:rsidP="0079002B">
            <w:pPr>
              <w:pStyle w:val="Normal6"/>
              <w:rPr>
                <w:szCs w:val="24"/>
              </w:rPr>
            </w:pPr>
            <w:r w:rsidRPr="00843520">
              <w:t xml:space="preserve">Jeżeli niereprezentowany obywatel nie jest w stanie uiścić kosztów, o których mowa w ust. 1, na rzecz państwa członkowskiego udzielającego pomocy w chwili składania wniosku o pomoc, państwo członkowskie udzielające pomocy może zażądać od niereprezentowanego obywatela podpisania zobowiązania do zwrotu kosztów. Na tej podstawie państwo członkowskie udzielające pomocy może zwrócić się do danego niereprezentowanego obywatela o zwrot takich kosztów po upływie </w:t>
            </w:r>
            <w:r w:rsidRPr="00843520">
              <w:rPr>
                <w:b/>
                <w:i/>
              </w:rPr>
              <w:t>trzech miesięcy</w:t>
            </w:r>
            <w:r w:rsidRPr="00843520">
              <w:t xml:space="preserve"> od chwili udzielenia pomocy. </w:t>
            </w:r>
            <w:r w:rsidRPr="00DB2762">
              <w:t>Brak możliwości uiszczenia kosztów, o których mowa w ust. 1, w chwili składania wniosku o pomoc nie ma wpływu na prawo niereprezentowanego obywatela do otrzymania ochrony konsularnej.</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46</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7</w:t>
      </w:r>
    </w:p>
    <w:p w:rsidR="006F7F2D" w:rsidRPr="00843520" w:rsidRDefault="006F7F2D" w:rsidP="006F7F2D">
      <w:pPr>
        <w:keepNext/>
      </w:pPr>
      <w:r w:rsidRPr="00843520">
        <w:lastRenderedPageBreak/>
        <w:t>Dyrektywa (UE) 2015/637</w:t>
      </w:r>
    </w:p>
    <w:p w:rsidR="006F7F2D" w:rsidRPr="00843520" w:rsidRDefault="006F7F2D" w:rsidP="006F7F2D">
      <w:r w:rsidRPr="00843520">
        <w:t>Artykuł 14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6.</w:t>
            </w:r>
            <w:r w:rsidRPr="00843520">
              <w:tab/>
              <w:t>Komisja może przyjmować akty wykonawcze ustanawiające standardowe formularze, które mają być stosowane w przypadku zobowiązania do zwrotu, o którym mowa w ust. 2, oraz w przypadku zwrotu kosztów przez państwo członkowskie obywatelstwa, o którym mowa w ust. 3. Te akty wykonawcze przyjmuje się zgodnie z procedurą sprawdzającą, o której mowa w art. 15a ust. 2.</w:t>
            </w:r>
          </w:p>
        </w:tc>
        <w:tc>
          <w:tcPr>
            <w:tcW w:w="4876" w:type="dxa"/>
          </w:tcPr>
          <w:p w:rsidR="006F7F2D" w:rsidRPr="00843520" w:rsidRDefault="006F7F2D" w:rsidP="0079002B">
            <w:pPr>
              <w:pStyle w:val="Normal6"/>
              <w:rPr>
                <w:szCs w:val="24"/>
              </w:rPr>
            </w:pPr>
            <w:r w:rsidRPr="00843520">
              <w:t>6.</w:t>
            </w:r>
            <w:r w:rsidRPr="00843520">
              <w:tab/>
              <w:t xml:space="preserve">Komisja może przyjmować akty wykonawcze ustanawiające standardowe formularze, które </w:t>
            </w:r>
            <w:r w:rsidRPr="00843520">
              <w:rPr>
                <w:b/>
                <w:i/>
              </w:rPr>
              <w:t xml:space="preserve">są dostępne w językach wszystkich państw członkowskich i </w:t>
            </w:r>
            <w:r w:rsidRPr="00843520">
              <w:t>mają być stosowane w przypadku zobowiązania do zwrotu, o którym mowa w ust. 2, oraz w przypadku zwrotu kosztów przez państwo członkowskie obywatelstwa, o którym mowa w ust. 3. Te akty wykonawcze przyjmuje się zgodnie z procedurą sprawdzającą, o której mowa w art. 15a ust. 2.</w:t>
            </w:r>
          </w:p>
        </w:tc>
      </w:tr>
    </w:tbl>
    <w:p w:rsidR="006F7F2D" w:rsidRPr="00843520" w:rsidRDefault="006F7F2D" w:rsidP="006F7F2D"/>
    <w:p w:rsidR="006F7F2D" w:rsidRPr="00843520" w:rsidRDefault="006F7F2D" w:rsidP="006F7F2D">
      <w:pPr>
        <w:pStyle w:val="AmNumberTabs"/>
        <w:keepNext/>
      </w:pPr>
      <w:r w:rsidRPr="00843520">
        <w:t>Poprawka</w:t>
      </w:r>
      <w:r w:rsidRPr="00843520">
        <w:tab/>
      </w:r>
      <w:r w:rsidRPr="00843520">
        <w:tab/>
        <w:t>47</w:t>
      </w:r>
    </w:p>
    <w:p w:rsidR="006F7F2D" w:rsidRPr="00843520" w:rsidRDefault="006F7F2D" w:rsidP="006F7F2D">
      <w:pPr>
        <w:pStyle w:val="NormalBold12b"/>
        <w:keepNext/>
      </w:pPr>
      <w:r w:rsidRPr="00843520">
        <w:t>Wniosek dotyczący dyrektywy</w:t>
      </w:r>
    </w:p>
    <w:p w:rsidR="006F7F2D" w:rsidRPr="00843520" w:rsidRDefault="006F7F2D" w:rsidP="006F7F2D">
      <w:pPr>
        <w:pStyle w:val="NormalBold"/>
        <w:keepNext/>
        <w:rPr>
          <w:rFonts w:eastAsiaTheme="majorEastAsia"/>
        </w:rPr>
      </w:pPr>
      <w:r w:rsidRPr="00843520">
        <w:t>Artykuł 1 – akapit 1 – punkt 9</w:t>
      </w:r>
    </w:p>
    <w:p w:rsidR="006F7F2D" w:rsidRPr="00843520" w:rsidRDefault="006F7F2D" w:rsidP="006F7F2D">
      <w:pPr>
        <w:keepNext/>
      </w:pPr>
      <w:r w:rsidRPr="00843520">
        <w:t>Dyrektywa (UE) 2015/637</w:t>
      </w:r>
    </w:p>
    <w:p w:rsidR="006F7F2D" w:rsidRPr="00843520" w:rsidRDefault="006F7F2D" w:rsidP="006F7F2D">
      <w:pPr>
        <w:keepNext/>
      </w:pPr>
      <w:r w:rsidRPr="00843520">
        <w:t>Artykuł 16 a – ustęp 1 – litera f a (nowa)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a"/>
            </w:pPr>
            <w:r w:rsidRPr="00843520">
              <w:t xml:space="preserve"> </w:t>
            </w:r>
          </w:p>
        </w:tc>
        <w:tc>
          <w:tcPr>
            <w:tcW w:w="4876" w:type="dxa"/>
          </w:tcPr>
          <w:p w:rsidR="006F7F2D" w:rsidRPr="00843520" w:rsidRDefault="006F7F2D" w:rsidP="0079002B">
            <w:pPr>
              <w:pStyle w:val="Normal6a"/>
              <w:rPr>
                <w:b/>
                <w:i/>
                <w:szCs w:val="24"/>
              </w:rPr>
            </w:pPr>
            <w:r w:rsidRPr="00843520">
              <w:rPr>
                <w:b/>
                <w:i/>
              </w:rPr>
              <w:t>fa</w:t>
            </w:r>
            <w:proofErr w:type="gramStart"/>
            <w:r w:rsidRPr="00843520">
              <w:rPr>
                <w:b/>
                <w:i/>
              </w:rPr>
              <w:t>)</w:t>
            </w:r>
            <w:r w:rsidRPr="00843520">
              <w:rPr>
                <w:b/>
                <w:i/>
              </w:rPr>
              <w:tab/>
              <w:t>zapewnienie</w:t>
            </w:r>
            <w:proofErr w:type="gramEnd"/>
            <w:r w:rsidRPr="00843520">
              <w:rPr>
                <w:b/>
                <w:i/>
              </w:rPr>
              <w:t xml:space="preserve"> zgodności z przepisami art. 13 ust. 4 dotyczącymi rejestracji i powiadamiania o podróżach obywateli do państw trzecich lub o pobycie w tych państwach.</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48</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9</w:t>
      </w:r>
    </w:p>
    <w:p w:rsidR="006F7F2D" w:rsidRPr="00843520" w:rsidRDefault="006F7F2D" w:rsidP="006F7F2D">
      <w:pPr>
        <w:keepNext/>
      </w:pPr>
      <w:r w:rsidRPr="00843520">
        <w:t>Dyrektywa (UE) 2015/637</w:t>
      </w:r>
    </w:p>
    <w:p w:rsidR="006F7F2D" w:rsidRPr="00843520" w:rsidRDefault="006F7F2D" w:rsidP="006F7F2D">
      <w:r w:rsidRPr="00843520">
        <w:t>Artykuł 16 a – ustęp 1 – litera f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proofErr w:type="spellStart"/>
            <w:r w:rsidRPr="00843520">
              <w:rPr>
                <w:b/>
                <w:i/>
              </w:rPr>
              <w:t>fb</w:t>
            </w:r>
            <w:proofErr w:type="spellEnd"/>
            <w:proofErr w:type="gramStart"/>
            <w:r w:rsidRPr="00843520">
              <w:rPr>
                <w:b/>
                <w:i/>
              </w:rPr>
              <w:t>)</w:t>
            </w:r>
            <w:r w:rsidRPr="00843520">
              <w:rPr>
                <w:b/>
                <w:i/>
              </w:rPr>
              <w:tab/>
              <w:t>przekazania</w:t>
            </w:r>
            <w:proofErr w:type="gramEnd"/>
            <w:r w:rsidRPr="00843520">
              <w:rPr>
                <w:b/>
                <w:i/>
              </w:rPr>
              <w:t xml:space="preserve"> informacji i komunikatów ostrzegawczych, o których mowa w art. 13c ust. 1 lit. -a).</w:t>
            </w:r>
          </w:p>
        </w:tc>
      </w:tr>
    </w:tbl>
    <w:p w:rsidR="006F7F2D" w:rsidRPr="00843520" w:rsidRDefault="006F7F2D" w:rsidP="006F7F2D"/>
    <w:p w:rsidR="006F7F2D" w:rsidRPr="00843520" w:rsidRDefault="006F7F2D" w:rsidP="006F7F2D">
      <w:pPr>
        <w:pStyle w:val="AMNumberTabs0"/>
        <w:keepNext/>
      </w:pPr>
      <w:r w:rsidRPr="00843520">
        <w:lastRenderedPageBreak/>
        <w:t>Poprawka</w:t>
      </w:r>
      <w:r w:rsidRPr="00843520">
        <w:tab/>
      </w:r>
      <w:r w:rsidRPr="00843520">
        <w:tab/>
        <w:t>49</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9</w:t>
      </w:r>
    </w:p>
    <w:p w:rsidR="006F7F2D" w:rsidRPr="00843520" w:rsidRDefault="006F7F2D" w:rsidP="006F7F2D">
      <w:pPr>
        <w:keepNext/>
      </w:pPr>
      <w:r w:rsidRPr="00843520">
        <w:t>Dyrektywa (UE) 2015/637</w:t>
      </w:r>
    </w:p>
    <w:p w:rsidR="006F7F2D" w:rsidRPr="00843520" w:rsidRDefault="006F7F2D" w:rsidP="006F7F2D">
      <w:r w:rsidRPr="00843520">
        <w:t>Artykuł 16 a – ustęp 1 – litera f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p>
        </w:tc>
        <w:tc>
          <w:tcPr>
            <w:tcW w:w="4876" w:type="dxa"/>
          </w:tcPr>
          <w:p w:rsidR="006F7F2D" w:rsidRPr="00843520" w:rsidRDefault="006F7F2D" w:rsidP="0079002B">
            <w:pPr>
              <w:pStyle w:val="Normal6"/>
              <w:rPr>
                <w:szCs w:val="24"/>
              </w:rPr>
            </w:pPr>
            <w:proofErr w:type="spellStart"/>
            <w:r w:rsidRPr="00843520">
              <w:rPr>
                <w:b/>
                <w:i/>
              </w:rPr>
              <w:t>fc</w:t>
            </w:r>
            <w:proofErr w:type="spellEnd"/>
            <w:proofErr w:type="gramStart"/>
            <w:r w:rsidRPr="00843520">
              <w:rPr>
                <w:b/>
                <w:i/>
              </w:rPr>
              <w:t>)</w:t>
            </w:r>
            <w:r w:rsidRPr="00843520">
              <w:rPr>
                <w:b/>
                <w:i/>
              </w:rPr>
              <w:tab/>
              <w:t>przetwarzania</w:t>
            </w:r>
            <w:proofErr w:type="gramEnd"/>
            <w:r w:rsidRPr="00843520">
              <w:rPr>
                <w:b/>
                <w:i/>
              </w:rPr>
              <w:t xml:space="preserve"> informacji udzielonych podczas rejestracji podróży lub pobytu zgodnie z art. 13 ust. 4.</w:t>
            </w:r>
          </w:p>
        </w:tc>
      </w:tr>
    </w:tbl>
    <w:p w:rsidR="006F7F2D" w:rsidRPr="00843520" w:rsidRDefault="006F7F2D" w:rsidP="006F7F2D"/>
    <w:p w:rsidR="006F7F2D" w:rsidRPr="00843520" w:rsidRDefault="006F7F2D" w:rsidP="006F7F2D">
      <w:pPr>
        <w:pStyle w:val="AmNumberTabs"/>
        <w:keepNext/>
      </w:pPr>
      <w:r w:rsidRPr="00843520">
        <w:t>Poprawka</w:t>
      </w:r>
      <w:r w:rsidRPr="00843520">
        <w:tab/>
      </w:r>
      <w:r w:rsidRPr="00843520">
        <w:tab/>
        <w:t>50</w:t>
      </w:r>
    </w:p>
    <w:p w:rsidR="006F7F2D" w:rsidRPr="00843520" w:rsidRDefault="006F7F2D" w:rsidP="006F7F2D">
      <w:pPr>
        <w:pStyle w:val="NormalBold12b"/>
        <w:keepNext/>
      </w:pPr>
      <w:r w:rsidRPr="00843520">
        <w:t>Wniosek dotyczący dyrektywy</w:t>
      </w:r>
    </w:p>
    <w:p w:rsidR="006F7F2D" w:rsidRPr="00843520" w:rsidRDefault="006F7F2D" w:rsidP="006F7F2D">
      <w:pPr>
        <w:pStyle w:val="NormalBold"/>
        <w:keepNext/>
        <w:rPr>
          <w:rFonts w:eastAsiaTheme="majorEastAsia"/>
        </w:rPr>
      </w:pPr>
      <w:r w:rsidRPr="00843520">
        <w:t>Artykuł 1 – akapit 1 – punkt 9</w:t>
      </w:r>
    </w:p>
    <w:p w:rsidR="006F7F2D" w:rsidRPr="00843520" w:rsidRDefault="006F7F2D" w:rsidP="006F7F2D">
      <w:pPr>
        <w:keepNext/>
      </w:pPr>
      <w:r w:rsidRPr="00843520">
        <w:t>Dyrektywa (UE) 2015/637</w:t>
      </w:r>
    </w:p>
    <w:p w:rsidR="006F7F2D" w:rsidRPr="00843520" w:rsidRDefault="006F7F2D" w:rsidP="006F7F2D">
      <w:pPr>
        <w:keepNext/>
      </w:pPr>
      <w:r w:rsidRPr="00843520">
        <w:t>Artykuł 16 a – ustęp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a"/>
            </w:pPr>
            <w:r w:rsidRPr="00843520">
              <w:t>6.</w:t>
            </w:r>
            <w:r w:rsidRPr="00843520">
              <w:tab/>
              <w:t>Przetwarzając dane osobowe, o których mowa w ust. 5, właściwe organy państw członkowskich oraz instytucje i organy Unii powinny zadbać o odpowiednie i konkretne środki służące zapewnieniu ochrony interesów osób, których dane dotyczą. Wprowadzają one również wewnętrzne strategie i podejmują niezbędne środki techniczne i organizacyjne, aby zapobiec nieuprawnionemu dostępowi do takich danych osobowych i ich nieuprawnionemu przekazywaniu.</w:t>
            </w:r>
          </w:p>
        </w:tc>
        <w:tc>
          <w:tcPr>
            <w:tcW w:w="4876" w:type="dxa"/>
          </w:tcPr>
          <w:p w:rsidR="006F7F2D" w:rsidRPr="00843520" w:rsidRDefault="006F7F2D" w:rsidP="0079002B">
            <w:pPr>
              <w:pStyle w:val="Normal6a"/>
              <w:rPr>
                <w:szCs w:val="24"/>
              </w:rPr>
            </w:pPr>
            <w:r w:rsidRPr="00843520">
              <w:t>6.</w:t>
            </w:r>
            <w:r w:rsidRPr="00843520">
              <w:tab/>
              <w:t xml:space="preserve">Przetwarzając dane osobowe, o których mowa w ust. 5, właściwe organy państw członkowskich oraz instytucje i organy Unii powinny zadbać o odpowiednie i konkretne środki służące zapewnieniu ochrony interesów </w:t>
            </w:r>
            <w:r w:rsidRPr="00843520">
              <w:rPr>
                <w:b/>
                <w:i/>
              </w:rPr>
              <w:t xml:space="preserve">i praw </w:t>
            </w:r>
            <w:r w:rsidRPr="00843520">
              <w:t>osób, których dane dotyczą. Wprowadzają one również wewnętrzne strategie i podejmują niezbędne środki techniczne i organizacyjne, aby zapobiec nieuprawnionemu dostępowi do takich danych osobowych i ich nieuprawnionemu przekazywaniu.</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51</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9</w:t>
      </w:r>
    </w:p>
    <w:p w:rsidR="006F7F2D" w:rsidRPr="00843520" w:rsidRDefault="006F7F2D" w:rsidP="006F7F2D">
      <w:pPr>
        <w:keepNext/>
      </w:pPr>
      <w:r w:rsidRPr="00843520">
        <w:t>Dyrektywa (UE) 2015/637</w:t>
      </w:r>
    </w:p>
    <w:p w:rsidR="006F7F2D" w:rsidRPr="00843520" w:rsidRDefault="006F7F2D" w:rsidP="006F7F2D">
      <w:r w:rsidRPr="00843520">
        <w:t>Artykuł 16 a – ustęp 7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 xml:space="preserve">Do celów niniejszej dyrektywy właściwe organy państw członkowskich przekazują dane osobowe państwu trzeciemu lub organizacji międzynarodowej wyłącznie w celu wykonania zadań, o których mowa </w:t>
            </w:r>
            <w:r w:rsidRPr="00843520">
              <w:lastRenderedPageBreak/>
              <w:t>w art. 9, 10 i 13a, oraz zgodnie z rozdziałem V rozporządzenia (UE) 2016/679.</w:t>
            </w:r>
          </w:p>
        </w:tc>
        <w:tc>
          <w:tcPr>
            <w:tcW w:w="4876" w:type="dxa"/>
          </w:tcPr>
          <w:p w:rsidR="006F7F2D" w:rsidRPr="00843520" w:rsidRDefault="006F7F2D" w:rsidP="0079002B">
            <w:pPr>
              <w:pStyle w:val="Normal6"/>
              <w:rPr>
                <w:szCs w:val="24"/>
              </w:rPr>
            </w:pPr>
            <w:r w:rsidRPr="00843520">
              <w:lastRenderedPageBreak/>
              <w:t xml:space="preserve">Do celów niniejszej dyrektywy właściwe organy państw członkowskich przekazują dane osobowe państwu trzeciemu lub organizacji międzynarodowej wyłącznie w celu wykonania zadań, o których mowa </w:t>
            </w:r>
            <w:r w:rsidRPr="00843520">
              <w:lastRenderedPageBreak/>
              <w:t xml:space="preserve">w art. 9, 10 i 13a, oraz zgodnie z rozdziałem V rozporządzenia (UE) 2016/679. </w:t>
            </w:r>
            <w:r w:rsidRPr="00843520">
              <w:rPr>
                <w:b/>
                <w:i/>
              </w:rPr>
              <w:t>Dane osobowe, o których mowa w ust. 5, są wyłączone z takiego przekazywania, chyba że uzyskano uprzednią wyraźną zgodę zainteresowanego obywatela Unii.</w:t>
            </w:r>
          </w:p>
        </w:tc>
      </w:tr>
    </w:tbl>
    <w:p w:rsidR="006F7F2D" w:rsidRPr="00843520" w:rsidRDefault="006F7F2D" w:rsidP="006F7F2D"/>
    <w:p w:rsidR="006F7F2D" w:rsidRPr="00843520" w:rsidRDefault="006F7F2D" w:rsidP="006F7F2D">
      <w:pPr>
        <w:pStyle w:val="AMNumberTabs0"/>
        <w:keepNext/>
      </w:pPr>
      <w:r w:rsidRPr="00843520">
        <w:t>Poprawka</w:t>
      </w:r>
      <w:r w:rsidRPr="00843520">
        <w:tab/>
      </w:r>
      <w:r w:rsidRPr="00843520">
        <w:tab/>
        <w:t>52</w:t>
      </w:r>
    </w:p>
    <w:p w:rsidR="006F7F2D" w:rsidRPr="00843520" w:rsidRDefault="006F7F2D" w:rsidP="006F7F2D">
      <w:pPr>
        <w:pStyle w:val="NormalBold"/>
        <w:keepNext/>
      </w:pPr>
      <w:r w:rsidRPr="00843520">
        <w:t>Wniosek dotyczący dyrektywy</w:t>
      </w:r>
    </w:p>
    <w:p w:rsidR="006F7F2D" w:rsidRPr="00843520" w:rsidRDefault="006F7F2D" w:rsidP="006F7F2D">
      <w:pPr>
        <w:pStyle w:val="NormalBold"/>
      </w:pPr>
      <w:r w:rsidRPr="00843520">
        <w:t>Artykuł 1 – akapit 1 – punkt 9</w:t>
      </w:r>
    </w:p>
    <w:p w:rsidR="006F7F2D" w:rsidRPr="00843520" w:rsidRDefault="006F7F2D" w:rsidP="006F7F2D">
      <w:pPr>
        <w:keepNext/>
      </w:pPr>
      <w:r w:rsidRPr="00843520">
        <w:t>Dyrektywa (UE) 2015/637</w:t>
      </w:r>
    </w:p>
    <w:p w:rsidR="006F7F2D" w:rsidRPr="00843520" w:rsidRDefault="006F7F2D" w:rsidP="006F7F2D">
      <w:r w:rsidRPr="00843520">
        <w:t>Artykuł 16 b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ColumnHeading"/>
              <w:keepNext/>
            </w:pPr>
            <w:r w:rsidRPr="00843520">
              <w:t>Tekst proponowany przez Komisję</w:t>
            </w:r>
          </w:p>
        </w:tc>
        <w:tc>
          <w:tcPr>
            <w:tcW w:w="4876" w:type="dxa"/>
          </w:tcPr>
          <w:p w:rsidR="006F7F2D" w:rsidRPr="00843520" w:rsidRDefault="006F7F2D" w:rsidP="0079002B">
            <w:pPr>
              <w:pStyle w:val="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
            </w:pPr>
            <w:r w:rsidRPr="00843520">
              <w:t xml:space="preserve">Państwa członkowskie zapewniają, aby niereprezentowani obywatele, których prawa wynikające z niniejszej dyrektywy naruszono, </w:t>
            </w:r>
            <w:r w:rsidRPr="00843520">
              <w:rPr>
                <w:b/>
                <w:i/>
              </w:rPr>
              <w:t>dysponowali skutecznym środkiem odwoławczym</w:t>
            </w:r>
            <w:r w:rsidRPr="00843520">
              <w:t xml:space="preserve"> w prawie krajowym.</w:t>
            </w:r>
          </w:p>
        </w:tc>
        <w:tc>
          <w:tcPr>
            <w:tcW w:w="4876" w:type="dxa"/>
          </w:tcPr>
          <w:p w:rsidR="006F7F2D" w:rsidRPr="00843520" w:rsidRDefault="006F7F2D" w:rsidP="0079002B">
            <w:pPr>
              <w:pStyle w:val="Normal6"/>
              <w:rPr>
                <w:szCs w:val="24"/>
              </w:rPr>
            </w:pPr>
            <w:r w:rsidRPr="00843520">
              <w:t xml:space="preserve">Państwa członkowskie zapewniają, aby niereprezentowani obywatele, których prawa wynikające z niniejszej dyrektywy naruszono, </w:t>
            </w:r>
            <w:r w:rsidRPr="00843520">
              <w:rPr>
                <w:b/>
                <w:i/>
              </w:rPr>
              <w:t>mieli dostęp do mechanizmów wnoszenia skarg i środków odwoławczych</w:t>
            </w:r>
            <w:r w:rsidRPr="00843520">
              <w:t xml:space="preserve"> w prawie krajowym.</w:t>
            </w:r>
          </w:p>
        </w:tc>
      </w:tr>
    </w:tbl>
    <w:p w:rsidR="006F7F2D" w:rsidRPr="00843520" w:rsidRDefault="006F7F2D" w:rsidP="006F7F2D"/>
    <w:p w:rsidR="006F7F2D" w:rsidRPr="00843520" w:rsidRDefault="006F7F2D" w:rsidP="006F7F2D">
      <w:pPr>
        <w:pStyle w:val="AmNumberTabs"/>
        <w:keepNext/>
      </w:pPr>
      <w:r w:rsidRPr="00843520">
        <w:t>Poprawka</w:t>
      </w:r>
      <w:r w:rsidRPr="00843520">
        <w:tab/>
      </w:r>
      <w:r w:rsidRPr="00843520">
        <w:tab/>
        <w:t>53</w:t>
      </w:r>
    </w:p>
    <w:p w:rsidR="006F7F2D" w:rsidRPr="00843520" w:rsidRDefault="006F7F2D" w:rsidP="006F7F2D">
      <w:pPr>
        <w:pStyle w:val="NormalBold12b"/>
        <w:keepNext/>
      </w:pPr>
      <w:r w:rsidRPr="00843520">
        <w:t>Wniosek dotyczący dyrektywy</w:t>
      </w:r>
    </w:p>
    <w:p w:rsidR="006F7F2D" w:rsidRPr="00843520" w:rsidRDefault="006F7F2D" w:rsidP="006F7F2D">
      <w:pPr>
        <w:pStyle w:val="NormalBold"/>
        <w:keepNext/>
        <w:rPr>
          <w:rFonts w:eastAsiaTheme="majorEastAsia"/>
        </w:rPr>
      </w:pPr>
      <w:r w:rsidRPr="00843520">
        <w:t>Artykuł 1 – akapit 1 – punkt 10</w:t>
      </w:r>
    </w:p>
    <w:p w:rsidR="006F7F2D" w:rsidRPr="00843520" w:rsidRDefault="006F7F2D" w:rsidP="006F7F2D">
      <w:pPr>
        <w:keepNext/>
      </w:pPr>
      <w:r w:rsidRPr="00843520">
        <w:t>Dyrektywa (UE) 2015/637</w:t>
      </w:r>
    </w:p>
    <w:p w:rsidR="006F7F2D" w:rsidRPr="00843520" w:rsidRDefault="006F7F2D" w:rsidP="006F7F2D">
      <w:pPr>
        <w:keepNext/>
      </w:pPr>
      <w:r w:rsidRPr="00843520">
        <w:t>Artykuł 19 – ustęp 3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7F2D" w:rsidRPr="00843520" w:rsidTr="0079002B">
        <w:trPr>
          <w:jc w:val="center"/>
        </w:trPr>
        <w:tc>
          <w:tcPr>
            <w:tcW w:w="9752" w:type="dxa"/>
            <w:gridSpan w:val="2"/>
          </w:tcPr>
          <w:p w:rsidR="006F7F2D" w:rsidRPr="00843520" w:rsidRDefault="006F7F2D" w:rsidP="0079002B">
            <w:pPr>
              <w:keepNext/>
            </w:pPr>
          </w:p>
        </w:tc>
      </w:tr>
      <w:tr w:rsidR="006F7F2D" w:rsidRPr="00843520" w:rsidTr="0079002B">
        <w:trPr>
          <w:jc w:val="center"/>
        </w:trPr>
        <w:tc>
          <w:tcPr>
            <w:tcW w:w="4876" w:type="dxa"/>
          </w:tcPr>
          <w:p w:rsidR="006F7F2D" w:rsidRPr="00843520" w:rsidRDefault="006F7F2D" w:rsidP="0079002B">
            <w:pPr>
              <w:pStyle w:val="AmColumnHeading"/>
              <w:keepNext/>
            </w:pPr>
            <w:r w:rsidRPr="00843520">
              <w:t>Tekst proponowany przez Komisję</w:t>
            </w:r>
          </w:p>
        </w:tc>
        <w:tc>
          <w:tcPr>
            <w:tcW w:w="4876" w:type="dxa"/>
          </w:tcPr>
          <w:p w:rsidR="006F7F2D" w:rsidRPr="00843520" w:rsidRDefault="006F7F2D" w:rsidP="0079002B">
            <w:pPr>
              <w:pStyle w:val="AmColumnHeading"/>
              <w:keepNext/>
            </w:pPr>
            <w:r w:rsidRPr="00843520">
              <w:t>Poprawka</w:t>
            </w:r>
          </w:p>
        </w:tc>
      </w:tr>
      <w:tr w:rsidR="006F7F2D" w:rsidRPr="00843520" w:rsidTr="0079002B">
        <w:trPr>
          <w:jc w:val="center"/>
        </w:trPr>
        <w:tc>
          <w:tcPr>
            <w:tcW w:w="4876" w:type="dxa"/>
          </w:tcPr>
          <w:p w:rsidR="006F7F2D" w:rsidRPr="00843520" w:rsidRDefault="006F7F2D" w:rsidP="0079002B">
            <w:pPr>
              <w:pStyle w:val="Normal6a"/>
            </w:pPr>
            <w:r w:rsidRPr="00843520">
              <w:t xml:space="preserve">Nie wcześniej niż </w:t>
            </w:r>
            <w:r w:rsidRPr="00843520">
              <w:rPr>
                <w:b/>
                <w:i/>
              </w:rPr>
              <w:t>[osiem</w:t>
            </w:r>
            <w:r w:rsidRPr="00843520">
              <w:t xml:space="preserve"> lat po terminie transpozycji dyrektywy zmieniającej] Komisja dokonuje oceny niniejszej dyrektywy i przedstawia Parlamentowi Europejskiemu i Radzie sprawozdanie na temat głównych ustaleń.</w:t>
            </w:r>
          </w:p>
        </w:tc>
        <w:tc>
          <w:tcPr>
            <w:tcW w:w="4876" w:type="dxa"/>
          </w:tcPr>
          <w:p w:rsidR="006F7F2D" w:rsidRPr="00843520" w:rsidRDefault="006F7F2D" w:rsidP="0079002B">
            <w:pPr>
              <w:pStyle w:val="Normal6a"/>
            </w:pPr>
            <w:r w:rsidRPr="00843520">
              <w:t xml:space="preserve">Nie wcześniej niż </w:t>
            </w:r>
            <w:r w:rsidRPr="00843520">
              <w:rPr>
                <w:b/>
                <w:i/>
              </w:rPr>
              <w:t>[pięć</w:t>
            </w:r>
            <w:r w:rsidRPr="00843520">
              <w:t xml:space="preserve"> lat po terminie transpozycji dyrektywy zmieniającej] Komisja dokonuje oceny niniejszej dyrektywy i przedstawia Parlamentowi Europejskiemu i Radzie sprawozdanie na temat głównych ustaleń.</w:t>
            </w:r>
          </w:p>
        </w:tc>
      </w:tr>
    </w:tbl>
    <w:p w:rsidR="006F7F2D" w:rsidRPr="00843520" w:rsidRDefault="006F7F2D" w:rsidP="006F7F2D"/>
    <w:sectPr w:rsidR="006F7F2D" w:rsidRPr="00843520" w:rsidSect="008435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0DF" w:rsidRPr="00843520" w:rsidRDefault="001620DF">
      <w:r w:rsidRPr="00843520">
        <w:separator/>
      </w:r>
    </w:p>
  </w:endnote>
  <w:endnote w:type="continuationSeparator" w:id="0">
    <w:p w:rsidR="001620DF" w:rsidRPr="00843520" w:rsidRDefault="001620DF">
      <w:r w:rsidRPr="008435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5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5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5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0DF" w:rsidRPr="00843520" w:rsidRDefault="001620DF">
      <w:r w:rsidRPr="00843520">
        <w:separator/>
      </w:r>
    </w:p>
  </w:footnote>
  <w:footnote w:type="continuationSeparator" w:id="0">
    <w:p w:rsidR="001620DF" w:rsidRPr="00843520" w:rsidRDefault="001620DF">
      <w:r w:rsidRPr="008435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5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5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5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6AD0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PL"/>
    <w:docVar w:name="dvnumam" w:val="136"/>
    <w:docVar w:name="dvpe" w:val="759.050"/>
    <w:docVar w:name="dvrapporteur" w:val="Sprawozdawca: "/>
    <w:docVar w:name="dvstar" w:val="*"/>
    <w:docVar w:name="dvtitre" w:val="Rezolucja ustawodawcza Parlamentu Europejskiego z dnia  2024 r. w sprawie wniosku dotyczącego dyrektywy Rady zmieniającej dyrektywę (UE) 2015/637 w sprawie środków koordynacji i współpracy mających ułatwić ochronę konsularną niereprezentowanych obywateli Unii w państwach trzecich oraz dyrektywę (UE) 2019/997 ustanawiającą unijny tymczasowy dokument podróży(COM(2023)0930 – C9-0015/2024 – 2023/0441(CNS))"/>
  </w:docVars>
  <w:rsids>
    <w:rsidRoot w:val="001620DF"/>
    <w:rsid w:val="00002272"/>
    <w:rsid w:val="00064002"/>
    <w:rsid w:val="000677B9"/>
    <w:rsid w:val="000831BA"/>
    <w:rsid w:val="000A42CC"/>
    <w:rsid w:val="000E7DD9"/>
    <w:rsid w:val="0010095E"/>
    <w:rsid w:val="00125B37"/>
    <w:rsid w:val="001620D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2C47"/>
    <w:rsid w:val="006037C0"/>
    <w:rsid w:val="006631B6"/>
    <w:rsid w:val="00680577"/>
    <w:rsid w:val="006F74FA"/>
    <w:rsid w:val="006F7F2D"/>
    <w:rsid w:val="00731ADD"/>
    <w:rsid w:val="00734777"/>
    <w:rsid w:val="00747932"/>
    <w:rsid w:val="00751A4A"/>
    <w:rsid w:val="00756632"/>
    <w:rsid w:val="00762C74"/>
    <w:rsid w:val="00786EC0"/>
    <w:rsid w:val="007D1690"/>
    <w:rsid w:val="007E22AD"/>
    <w:rsid w:val="00817416"/>
    <w:rsid w:val="00842779"/>
    <w:rsid w:val="0084352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DC9"/>
    <w:rsid w:val="00D56C11"/>
    <w:rsid w:val="00D76424"/>
    <w:rsid w:val="00D834A0"/>
    <w:rsid w:val="00D872DF"/>
    <w:rsid w:val="00D91E21"/>
    <w:rsid w:val="00DA7FCD"/>
    <w:rsid w:val="00DB276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FF73C"/>
  <w15:chartTrackingRefBased/>
  <w15:docId w15:val="{B37BDCFB-CF77-4791-BD54-BBC5A20D7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F7F2D"/>
    <w:rPr>
      <w:b/>
      <w:kern w:val="28"/>
      <w:sz w:val="28"/>
      <w:lang w:val="fr-FR" w:eastAsia="fr-FR"/>
    </w:rPr>
  </w:style>
  <w:style w:type="character" w:customStyle="1" w:styleId="Heading2Char">
    <w:name w:val="Heading 2 Char"/>
    <w:basedOn w:val="DefaultParagraphFont"/>
    <w:link w:val="Heading2"/>
    <w:semiHidden/>
    <w:rsid w:val="006F7F2D"/>
    <w:rPr>
      <w:sz w:val="24"/>
      <w:lang w:val="fr-FR" w:eastAsia="fr-FR"/>
    </w:rPr>
  </w:style>
  <w:style w:type="character" w:customStyle="1" w:styleId="Heading3Char">
    <w:name w:val="Heading 3 Char"/>
    <w:basedOn w:val="DefaultParagraphFont"/>
    <w:link w:val="Heading3"/>
    <w:semiHidden/>
    <w:rsid w:val="006F7F2D"/>
    <w:rPr>
      <w:rFonts w:ascii="Arial" w:hAnsi="Arial"/>
      <w:sz w:val="24"/>
      <w:lang w:val="fr-FR" w:eastAsia="fr-FR"/>
    </w:rPr>
  </w:style>
  <w:style w:type="character" w:customStyle="1" w:styleId="Heading4Char">
    <w:name w:val="Heading 4 Char"/>
    <w:basedOn w:val="DefaultParagraphFont"/>
    <w:link w:val="Heading4"/>
    <w:semiHidden/>
    <w:rsid w:val="006F7F2D"/>
    <w:rPr>
      <w:sz w:val="24"/>
      <w:lang w:val="en-US" w:eastAsia="fr-FR"/>
    </w:rPr>
  </w:style>
  <w:style w:type="character" w:customStyle="1" w:styleId="Heading5Char">
    <w:name w:val="Heading 5 Char"/>
    <w:basedOn w:val="DefaultParagraphFont"/>
    <w:link w:val="Heading5"/>
    <w:semiHidden/>
    <w:rsid w:val="006F7F2D"/>
    <w:rPr>
      <w:sz w:val="24"/>
      <w:lang w:val="en-US" w:eastAsia="fr-FR"/>
    </w:rPr>
  </w:style>
  <w:style w:type="character" w:customStyle="1" w:styleId="Heading6Char">
    <w:name w:val="Heading 6 Char"/>
    <w:basedOn w:val="DefaultParagraphFont"/>
    <w:link w:val="Heading6"/>
    <w:semiHidden/>
    <w:rsid w:val="006F7F2D"/>
    <w:rPr>
      <w:i/>
      <w:sz w:val="22"/>
      <w:lang w:val="pl-PL"/>
    </w:rPr>
  </w:style>
  <w:style w:type="character" w:customStyle="1" w:styleId="Heading7Char">
    <w:name w:val="Heading 7 Char"/>
    <w:basedOn w:val="DefaultParagraphFont"/>
    <w:link w:val="Heading7"/>
    <w:semiHidden/>
    <w:rsid w:val="006F7F2D"/>
    <w:rPr>
      <w:rFonts w:ascii="Arial" w:hAnsi="Arial"/>
      <w:sz w:val="24"/>
      <w:lang w:val="pl-PL"/>
    </w:rPr>
  </w:style>
  <w:style w:type="character" w:customStyle="1" w:styleId="Heading8Char">
    <w:name w:val="Heading 8 Char"/>
    <w:basedOn w:val="DefaultParagraphFont"/>
    <w:link w:val="Heading8"/>
    <w:semiHidden/>
    <w:rsid w:val="006F7F2D"/>
    <w:rPr>
      <w:rFonts w:ascii="Arial" w:hAnsi="Arial"/>
      <w:i/>
      <w:sz w:val="24"/>
      <w:lang w:val="pl-PL"/>
    </w:rPr>
  </w:style>
  <w:style w:type="character" w:customStyle="1" w:styleId="Heading9Char">
    <w:name w:val="Heading 9 Char"/>
    <w:basedOn w:val="DefaultParagraphFont"/>
    <w:link w:val="Heading9"/>
    <w:semiHidden/>
    <w:rsid w:val="006F7F2D"/>
    <w:rPr>
      <w:rFonts w:ascii="Arial" w:hAnsi="Arial"/>
      <w:b/>
      <w:i/>
      <w:sz w:val="18"/>
      <w:lang w:val="pl-PL"/>
    </w:rPr>
  </w:style>
  <w:style w:type="paragraph" w:styleId="TOCHeading">
    <w:name w:val="TOC Heading"/>
    <w:basedOn w:val="Normal"/>
    <w:next w:val="Normal"/>
    <w:uiPriority w:val="39"/>
    <w:unhideWhenUsed/>
    <w:qFormat/>
    <w:rsid w:val="006F7F2D"/>
    <w:pPr>
      <w:widowControl/>
      <w:spacing w:after="240"/>
    </w:pPr>
    <w:rPr>
      <w:lang w:val="en-GB"/>
    </w:rPr>
  </w:style>
  <w:style w:type="paragraph" w:customStyle="1" w:styleId="EPFooter2">
    <w:name w:val="EPFooter2"/>
    <w:basedOn w:val="Normal"/>
    <w:next w:val="Normal"/>
    <w:rsid w:val="006F7F2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F7F2D"/>
    <w:pPr>
      <w:spacing w:before="480" w:after="240"/>
    </w:pPr>
  </w:style>
  <w:style w:type="paragraph" w:customStyle="1" w:styleId="TOCPage">
    <w:name w:val="TOC Page"/>
    <w:basedOn w:val="Normal"/>
    <w:next w:val="TOC1"/>
    <w:rsid w:val="006F7F2D"/>
    <w:pPr>
      <w:keepNext/>
      <w:spacing w:after="240"/>
      <w:jc w:val="right"/>
    </w:pPr>
    <w:rPr>
      <w:rFonts w:ascii="Arial" w:hAnsi="Arial"/>
      <w:b/>
    </w:rPr>
  </w:style>
  <w:style w:type="paragraph" w:customStyle="1" w:styleId="Normal6a">
    <w:name w:val="Normal6a"/>
    <w:basedOn w:val="Normal"/>
    <w:rsid w:val="006F7F2D"/>
    <w:pPr>
      <w:spacing w:after="120"/>
    </w:pPr>
  </w:style>
  <w:style w:type="paragraph" w:customStyle="1" w:styleId="PageHeading">
    <w:name w:val="PageHeading"/>
    <w:basedOn w:val="Normal"/>
    <w:rsid w:val="006F7F2D"/>
    <w:pPr>
      <w:keepNext/>
      <w:spacing w:after="480"/>
      <w:jc w:val="center"/>
    </w:pPr>
    <w:rPr>
      <w:rFonts w:ascii="Arial" w:hAnsi="Arial" w:cs="Arial"/>
      <w:b/>
    </w:rPr>
  </w:style>
  <w:style w:type="paragraph" w:customStyle="1" w:styleId="NormalBold">
    <w:name w:val="NormalBold"/>
    <w:basedOn w:val="Normal"/>
    <w:link w:val="NormalBoldChar"/>
    <w:rsid w:val="006F7F2D"/>
    <w:rPr>
      <w:b/>
    </w:rPr>
  </w:style>
  <w:style w:type="character" w:customStyle="1" w:styleId="NormalBoldChar">
    <w:name w:val="NormalBold Char"/>
    <w:basedOn w:val="DefaultParagraphFont"/>
    <w:link w:val="NormalBold"/>
    <w:rsid w:val="006F7F2D"/>
    <w:rPr>
      <w:b/>
      <w:sz w:val="24"/>
      <w:lang w:val="pl-PL"/>
    </w:rPr>
  </w:style>
  <w:style w:type="paragraph" w:customStyle="1" w:styleId="NormalBold12a">
    <w:name w:val="NormalBold12a"/>
    <w:basedOn w:val="Normal"/>
    <w:rsid w:val="006F7F2D"/>
    <w:pPr>
      <w:spacing w:after="240"/>
    </w:pPr>
    <w:rPr>
      <w:b/>
    </w:rPr>
  </w:style>
  <w:style w:type="paragraph" w:customStyle="1" w:styleId="AmJustText">
    <w:name w:val="AmJustText"/>
    <w:basedOn w:val="Normal"/>
    <w:rsid w:val="006F7F2D"/>
    <w:pPr>
      <w:spacing w:after="240"/>
    </w:pPr>
    <w:rPr>
      <w:i/>
    </w:rPr>
  </w:style>
  <w:style w:type="paragraph" w:customStyle="1" w:styleId="NormalHanging12a">
    <w:name w:val="NormalHanging12a"/>
    <w:basedOn w:val="Normal"/>
    <w:rsid w:val="006F7F2D"/>
    <w:pPr>
      <w:spacing w:after="240"/>
      <w:ind w:left="567" w:hanging="567"/>
    </w:pPr>
  </w:style>
  <w:style w:type="paragraph" w:customStyle="1" w:styleId="CoverNormal24a">
    <w:name w:val="CoverNormal24a"/>
    <w:basedOn w:val="Normal"/>
    <w:rsid w:val="006F7F2D"/>
    <w:pPr>
      <w:spacing w:after="480"/>
      <w:ind w:left="1417"/>
    </w:pPr>
  </w:style>
  <w:style w:type="paragraph" w:customStyle="1" w:styleId="CoverNormal">
    <w:name w:val="CoverNormal"/>
    <w:basedOn w:val="Normal"/>
    <w:rsid w:val="006F7F2D"/>
    <w:pPr>
      <w:ind w:left="1418"/>
    </w:pPr>
  </w:style>
  <w:style w:type="paragraph" w:customStyle="1" w:styleId="AmCrossRef">
    <w:name w:val="AmCrossRef"/>
    <w:basedOn w:val="Normal"/>
    <w:rsid w:val="006F7F2D"/>
    <w:pPr>
      <w:spacing w:before="240" w:after="240"/>
      <w:jc w:val="center"/>
    </w:pPr>
    <w:rPr>
      <w:i/>
    </w:rPr>
  </w:style>
  <w:style w:type="paragraph" w:customStyle="1" w:styleId="AmJustTitle">
    <w:name w:val="AmJustTitle"/>
    <w:basedOn w:val="Normal"/>
    <w:next w:val="AmJustText"/>
    <w:rsid w:val="006F7F2D"/>
    <w:pPr>
      <w:keepNext/>
      <w:spacing w:before="240" w:after="240"/>
      <w:jc w:val="center"/>
    </w:pPr>
    <w:rPr>
      <w:i/>
    </w:rPr>
  </w:style>
  <w:style w:type="paragraph" w:customStyle="1" w:styleId="CoverReference">
    <w:name w:val="CoverReference"/>
    <w:basedOn w:val="Normal"/>
    <w:rsid w:val="006F7F2D"/>
    <w:pPr>
      <w:spacing w:before="1080"/>
      <w:jc w:val="right"/>
    </w:pPr>
    <w:rPr>
      <w:rFonts w:ascii="Arial" w:hAnsi="Arial" w:cs="Arial"/>
      <w:b/>
    </w:rPr>
  </w:style>
  <w:style w:type="paragraph" w:customStyle="1" w:styleId="CoverDocType">
    <w:name w:val="CoverDocType"/>
    <w:basedOn w:val="Normal"/>
    <w:rsid w:val="006F7F2D"/>
    <w:pPr>
      <w:ind w:left="1418"/>
    </w:pPr>
    <w:rPr>
      <w:rFonts w:ascii="Arial" w:hAnsi="Arial"/>
      <w:b/>
      <w:sz w:val="48"/>
    </w:rPr>
  </w:style>
  <w:style w:type="paragraph" w:customStyle="1" w:styleId="CoverDocType24a">
    <w:name w:val="CoverDocType24a"/>
    <w:basedOn w:val="Normal"/>
    <w:rsid w:val="006F7F2D"/>
    <w:pPr>
      <w:spacing w:after="480"/>
      <w:ind w:left="1418"/>
    </w:pPr>
    <w:rPr>
      <w:rFonts w:ascii="Arial" w:hAnsi="Arial"/>
      <w:b/>
      <w:sz w:val="48"/>
    </w:rPr>
  </w:style>
  <w:style w:type="paragraph" w:customStyle="1" w:styleId="CoverDate">
    <w:name w:val="CoverDate"/>
    <w:basedOn w:val="Normal"/>
    <w:rsid w:val="006F7F2D"/>
    <w:pPr>
      <w:spacing w:before="240" w:after="1200"/>
    </w:pPr>
  </w:style>
  <w:style w:type="paragraph" w:styleId="Header">
    <w:name w:val="header"/>
    <w:basedOn w:val="Normal"/>
    <w:link w:val="HeaderChar"/>
    <w:rsid w:val="006F7F2D"/>
    <w:pPr>
      <w:tabs>
        <w:tab w:val="center" w:pos="4513"/>
        <w:tab w:val="right" w:pos="9026"/>
      </w:tabs>
    </w:pPr>
  </w:style>
  <w:style w:type="character" w:customStyle="1" w:styleId="HeaderChar">
    <w:name w:val="Header Char"/>
    <w:basedOn w:val="DefaultParagraphFont"/>
    <w:link w:val="Header"/>
    <w:rsid w:val="006F7F2D"/>
    <w:rPr>
      <w:sz w:val="24"/>
      <w:lang w:val="pl-PL"/>
    </w:rPr>
  </w:style>
  <w:style w:type="paragraph" w:customStyle="1" w:styleId="AmOrLang">
    <w:name w:val="AmOrLang"/>
    <w:basedOn w:val="Normal"/>
    <w:rsid w:val="006F7F2D"/>
    <w:pPr>
      <w:spacing w:before="240" w:after="240"/>
      <w:jc w:val="right"/>
    </w:pPr>
  </w:style>
  <w:style w:type="paragraph" w:customStyle="1" w:styleId="AmColumnHeading">
    <w:name w:val="AmColumnHeading"/>
    <w:basedOn w:val="Normal"/>
    <w:rsid w:val="006F7F2D"/>
    <w:pPr>
      <w:spacing w:after="240"/>
      <w:jc w:val="center"/>
    </w:pPr>
    <w:rPr>
      <w:i/>
    </w:rPr>
  </w:style>
  <w:style w:type="paragraph" w:customStyle="1" w:styleId="AmNumberTabs">
    <w:name w:val="AmNumberTabs"/>
    <w:basedOn w:val="Normal"/>
    <w:link w:val="AmNumberTabsChar"/>
    <w:rsid w:val="006F7F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F7F2D"/>
    <w:rPr>
      <w:b/>
      <w:sz w:val="24"/>
      <w:lang w:val="pl-PL"/>
    </w:rPr>
  </w:style>
  <w:style w:type="paragraph" w:customStyle="1" w:styleId="NormalBold12b">
    <w:name w:val="NormalBold12b"/>
    <w:basedOn w:val="Normal"/>
    <w:link w:val="NormalBold12bChar"/>
    <w:rsid w:val="006F7F2D"/>
    <w:pPr>
      <w:spacing w:before="240"/>
    </w:pPr>
    <w:rPr>
      <w:b/>
    </w:rPr>
  </w:style>
  <w:style w:type="character" w:customStyle="1" w:styleId="NormalBold12bChar">
    <w:name w:val="NormalBold12b Char"/>
    <w:basedOn w:val="AmNumberTabsChar"/>
    <w:link w:val="NormalBold12b"/>
    <w:rsid w:val="006F7F2D"/>
    <w:rPr>
      <w:b/>
      <w:sz w:val="24"/>
      <w:lang w:val="pl-PL"/>
    </w:rPr>
  </w:style>
  <w:style w:type="paragraph" w:customStyle="1" w:styleId="EPBody">
    <w:name w:val="EPBody"/>
    <w:basedOn w:val="Normal"/>
    <w:rsid w:val="006F7F2D"/>
    <w:pPr>
      <w:jc w:val="center"/>
    </w:pPr>
    <w:rPr>
      <w:rFonts w:ascii="Arial" w:hAnsi="Arial" w:cs="Arial"/>
      <w:i/>
      <w:sz w:val="22"/>
      <w:szCs w:val="22"/>
    </w:rPr>
  </w:style>
  <w:style w:type="paragraph" w:customStyle="1" w:styleId="EPFooter">
    <w:name w:val="EPFooter"/>
    <w:basedOn w:val="Normal"/>
    <w:rsid w:val="006F7F2D"/>
    <w:pPr>
      <w:tabs>
        <w:tab w:val="center" w:pos="4535"/>
        <w:tab w:val="right" w:pos="9071"/>
      </w:tabs>
      <w:spacing w:before="240" w:after="240"/>
    </w:pPr>
    <w:rPr>
      <w:color w:val="010000"/>
      <w:sz w:val="22"/>
    </w:rPr>
  </w:style>
  <w:style w:type="paragraph" w:customStyle="1" w:styleId="Lgendesigne">
    <w:name w:val="Légende signe"/>
    <w:basedOn w:val="Normal"/>
    <w:rsid w:val="006F7F2D"/>
    <w:pPr>
      <w:tabs>
        <w:tab w:val="right" w:pos="454"/>
        <w:tab w:val="left" w:pos="737"/>
      </w:tabs>
      <w:ind w:left="737" w:hanging="737"/>
    </w:pPr>
    <w:rPr>
      <w:snapToGrid w:val="0"/>
      <w:sz w:val="18"/>
      <w:lang w:eastAsia="en-US"/>
    </w:rPr>
  </w:style>
  <w:style w:type="paragraph" w:customStyle="1" w:styleId="Lgendetitre">
    <w:name w:val="Légende titre"/>
    <w:basedOn w:val="Normal"/>
    <w:rsid w:val="006F7F2D"/>
    <w:pPr>
      <w:spacing w:before="240" w:after="240"/>
    </w:pPr>
    <w:rPr>
      <w:b/>
      <w:i/>
      <w:snapToGrid w:val="0"/>
      <w:lang w:eastAsia="en-US"/>
    </w:rPr>
  </w:style>
  <w:style w:type="paragraph" w:customStyle="1" w:styleId="Lgendestandard">
    <w:name w:val="Légende standard"/>
    <w:basedOn w:val="Normal"/>
    <w:rsid w:val="006F7F2D"/>
    <w:rPr>
      <w:sz w:val="18"/>
    </w:rPr>
  </w:style>
  <w:style w:type="character" w:styleId="Hyperlink">
    <w:name w:val="Hyperlink"/>
    <w:basedOn w:val="DefaultParagraphFont"/>
    <w:uiPriority w:val="99"/>
    <w:unhideWhenUsed/>
    <w:rsid w:val="006F7F2D"/>
    <w:rPr>
      <w:color w:val="0000FF"/>
      <w:u w:val="single"/>
    </w:rPr>
  </w:style>
  <w:style w:type="paragraph" w:styleId="CommentText">
    <w:name w:val="annotation text"/>
    <w:basedOn w:val="Normal"/>
    <w:link w:val="CommentTextChar"/>
    <w:unhideWhenUsed/>
    <w:rsid w:val="006F7F2D"/>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6F7F2D"/>
    <w:rPr>
      <w:rFonts w:eastAsiaTheme="minorHAnsi"/>
      <w:lang w:val="pl-PL" w:eastAsia="en-US"/>
    </w:rPr>
  </w:style>
  <w:style w:type="character" w:styleId="CommentReference">
    <w:name w:val="annotation reference"/>
    <w:basedOn w:val="DefaultParagraphFont"/>
    <w:uiPriority w:val="99"/>
    <w:unhideWhenUsed/>
    <w:rsid w:val="006F7F2D"/>
    <w:rPr>
      <w:sz w:val="16"/>
      <w:szCs w:val="16"/>
    </w:rPr>
  </w:style>
  <w:style w:type="paragraph" w:styleId="BalloonText">
    <w:name w:val="Balloon Text"/>
    <w:basedOn w:val="Normal"/>
    <w:link w:val="BalloonTextChar"/>
    <w:unhideWhenUsed/>
    <w:rsid w:val="006F7F2D"/>
    <w:rPr>
      <w:rFonts w:ascii="Segoe UI" w:hAnsi="Segoe UI" w:cs="Segoe UI"/>
      <w:sz w:val="18"/>
      <w:szCs w:val="18"/>
    </w:rPr>
  </w:style>
  <w:style w:type="character" w:customStyle="1" w:styleId="BalloonTextChar">
    <w:name w:val="Balloon Text Char"/>
    <w:basedOn w:val="DefaultParagraphFont"/>
    <w:link w:val="BalloonText"/>
    <w:rsid w:val="006F7F2D"/>
    <w:rPr>
      <w:rFonts w:ascii="Segoe UI" w:hAnsi="Segoe UI" w:cs="Segoe UI"/>
      <w:sz w:val="18"/>
      <w:szCs w:val="18"/>
      <w:lang w:val="pl-PL"/>
    </w:rPr>
  </w:style>
  <w:style w:type="paragraph" w:customStyle="1" w:styleId="Point2">
    <w:name w:val="Point 2"/>
    <w:basedOn w:val="Normal"/>
    <w:rsid w:val="006F7F2D"/>
    <w:pPr>
      <w:widowControl/>
      <w:spacing w:before="120" w:after="120"/>
      <w:ind w:left="1984" w:hanging="567"/>
      <w:jc w:val="both"/>
    </w:pPr>
    <w:rPr>
      <w:szCs w:val="22"/>
      <w:lang w:eastAsia="en-US"/>
    </w:rPr>
  </w:style>
  <w:style w:type="paragraph" w:customStyle="1" w:styleId="Point1">
    <w:name w:val="Point 1"/>
    <w:basedOn w:val="Normal"/>
    <w:rsid w:val="006F7F2D"/>
    <w:pPr>
      <w:widowControl/>
      <w:spacing w:before="120" w:after="120"/>
      <w:ind w:left="1417" w:hanging="567"/>
      <w:jc w:val="both"/>
    </w:pPr>
    <w:rPr>
      <w:szCs w:val="22"/>
      <w:lang w:eastAsia="en-US"/>
    </w:rPr>
  </w:style>
  <w:style w:type="paragraph" w:customStyle="1" w:styleId="Normal24a">
    <w:name w:val="Normal24a"/>
    <w:basedOn w:val="Normal"/>
    <w:rsid w:val="006F7F2D"/>
    <w:pPr>
      <w:spacing w:after="480"/>
    </w:pPr>
  </w:style>
  <w:style w:type="paragraph" w:customStyle="1" w:styleId="NormalBoldCenter">
    <w:name w:val="NormalBoldCenter"/>
    <w:basedOn w:val="Normal"/>
    <w:rsid w:val="006F7F2D"/>
    <w:pPr>
      <w:jc w:val="center"/>
    </w:pPr>
    <w:rPr>
      <w:b/>
    </w:rPr>
  </w:style>
  <w:style w:type="paragraph" w:customStyle="1" w:styleId="Normal12a">
    <w:name w:val="Normal12a"/>
    <w:basedOn w:val="Normal"/>
    <w:rsid w:val="006F7F2D"/>
    <w:pPr>
      <w:spacing w:after="240"/>
    </w:pPr>
  </w:style>
  <w:style w:type="paragraph" w:customStyle="1" w:styleId="PageHeadingNotTOC">
    <w:name w:val="PageHeadingNotTOC"/>
    <w:basedOn w:val="Normal"/>
    <w:rsid w:val="006F7F2D"/>
    <w:pPr>
      <w:keepNext/>
      <w:spacing w:after="480"/>
      <w:jc w:val="center"/>
    </w:pPr>
    <w:rPr>
      <w:rFonts w:ascii="Arial" w:hAnsi="Arial" w:cs="Arial"/>
      <w:b/>
    </w:rPr>
  </w:style>
  <w:style w:type="paragraph" w:customStyle="1" w:styleId="AmHeadingPA">
    <w:name w:val="AmHeadingPA"/>
    <w:basedOn w:val="Normal"/>
    <w:next w:val="Normal"/>
    <w:rsid w:val="006F7F2D"/>
    <w:pPr>
      <w:spacing w:before="480" w:after="240"/>
      <w:jc w:val="center"/>
    </w:pPr>
    <w:rPr>
      <w:rFonts w:ascii="Arial" w:hAnsi="Arial"/>
      <w:b/>
      <w:caps/>
      <w:snapToGrid w:val="0"/>
      <w:szCs w:val="24"/>
      <w:lang w:eastAsia="en-US"/>
    </w:rPr>
  </w:style>
  <w:style w:type="paragraph" w:styleId="ListBullet4">
    <w:name w:val="List Bullet 4"/>
    <w:basedOn w:val="Normal"/>
    <w:unhideWhenUsed/>
    <w:rsid w:val="006F7F2D"/>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6F7F2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F7F2D"/>
    <w:pPr>
      <w:tabs>
        <w:tab w:val="center" w:pos="284"/>
        <w:tab w:val="left" w:pos="426"/>
      </w:tabs>
    </w:pPr>
    <w:rPr>
      <w:snapToGrid w:val="0"/>
      <w:lang w:eastAsia="en-US"/>
    </w:rPr>
  </w:style>
  <w:style w:type="paragraph" w:customStyle="1" w:styleId="RollCallVotes">
    <w:name w:val="RollCallVotes"/>
    <w:basedOn w:val="Normal"/>
    <w:rsid w:val="006F7F2D"/>
    <w:pPr>
      <w:spacing w:before="120" w:after="120"/>
      <w:jc w:val="center"/>
    </w:pPr>
    <w:rPr>
      <w:b/>
      <w:bCs/>
      <w:snapToGrid w:val="0"/>
      <w:sz w:val="16"/>
      <w:lang w:eastAsia="en-US"/>
    </w:rPr>
  </w:style>
  <w:style w:type="paragraph" w:customStyle="1" w:styleId="RollCallTable">
    <w:name w:val="RollCallTable"/>
    <w:basedOn w:val="Normal"/>
    <w:rsid w:val="006F7F2D"/>
    <w:pPr>
      <w:spacing w:before="120" w:after="120"/>
    </w:pPr>
    <w:rPr>
      <w:snapToGrid w:val="0"/>
      <w:sz w:val="16"/>
      <w:lang w:eastAsia="en-US"/>
    </w:rPr>
  </w:style>
  <w:style w:type="paragraph" w:customStyle="1" w:styleId="Titel">
    <w:name w:val="Titel"/>
    <w:rsid w:val="006F7F2D"/>
    <w:pPr>
      <w:widowControl w:val="0"/>
      <w:tabs>
        <w:tab w:val="left" w:pos="432"/>
        <w:tab w:val="left" w:pos="576"/>
      </w:tabs>
      <w:suppressAutoHyphens/>
    </w:pPr>
    <w:rPr>
      <w:b/>
      <w:snapToGrid w:val="0"/>
      <w:sz w:val="29"/>
      <w:lang w:val="pl-PL" w:bidi="en-GB"/>
    </w:rPr>
  </w:style>
  <w:style w:type="paragraph" w:customStyle="1" w:styleId="RollCallSymbols12pt">
    <w:name w:val="RollCallSymbols12pt"/>
    <w:basedOn w:val="Normal"/>
    <w:rsid w:val="006F7F2D"/>
    <w:pPr>
      <w:spacing w:before="120" w:after="120"/>
      <w:jc w:val="center"/>
    </w:pPr>
    <w:rPr>
      <w:rFonts w:ascii="Arial" w:hAnsi="Arial"/>
      <w:b/>
      <w:bCs/>
      <w:snapToGrid w:val="0"/>
      <w:lang w:eastAsia="en-US"/>
    </w:rPr>
  </w:style>
  <w:style w:type="paragraph" w:customStyle="1" w:styleId="EntPE">
    <w:name w:val="EntPE"/>
    <w:basedOn w:val="Normal12"/>
    <w:rsid w:val="006F7F2D"/>
    <w:pPr>
      <w:jc w:val="center"/>
    </w:pPr>
    <w:rPr>
      <w:noProof w:val="0"/>
      <w:sz w:val="56"/>
    </w:rPr>
  </w:style>
  <w:style w:type="paragraph" w:customStyle="1" w:styleId="Normal12">
    <w:name w:val="Normal12"/>
    <w:basedOn w:val="Normal"/>
    <w:link w:val="Normal12Char"/>
    <w:rsid w:val="006F7F2D"/>
    <w:pPr>
      <w:spacing w:after="240"/>
    </w:pPr>
    <w:rPr>
      <w:noProof/>
    </w:rPr>
  </w:style>
  <w:style w:type="character" w:customStyle="1" w:styleId="Normal12Char">
    <w:name w:val="Normal12 Char"/>
    <w:basedOn w:val="DefaultParagraphFont"/>
    <w:link w:val="Normal12"/>
    <w:locked/>
    <w:rsid w:val="006F7F2D"/>
    <w:rPr>
      <w:noProof/>
      <w:sz w:val="24"/>
      <w:lang w:val="pl-PL"/>
    </w:rPr>
  </w:style>
  <w:style w:type="paragraph" w:customStyle="1" w:styleId="Normal6">
    <w:name w:val="Normal6"/>
    <w:basedOn w:val="Normal"/>
    <w:link w:val="Normal6Char"/>
    <w:rsid w:val="006F7F2D"/>
    <w:pPr>
      <w:spacing w:after="120"/>
    </w:pPr>
  </w:style>
  <w:style w:type="character" w:customStyle="1" w:styleId="Normal6Char">
    <w:name w:val="Normal6 Char"/>
    <w:basedOn w:val="DefaultParagraphFont"/>
    <w:link w:val="Normal6"/>
    <w:rsid w:val="006F7F2D"/>
    <w:rPr>
      <w:sz w:val="24"/>
      <w:lang w:val="pl-PL"/>
    </w:rPr>
  </w:style>
  <w:style w:type="paragraph" w:customStyle="1" w:styleId="Normal12Italic">
    <w:name w:val="Normal12Italic"/>
    <w:basedOn w:val="Normal12"/>
    <w:rsid w:val="006F7F2D"/>
    <w:rPr>
      <w:i/>
    </w:rPr>
  </w:style>
  <w:style w:type="paragraph" w:customStyle="1" w:styleId="AMNumberTabs0">
    <w:name w:val="AMNumberTabs"/>
    <w:basedOn w:val="Normal"/>
    <w:rsid w:val="006F7F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F7F2D"/>
    <w:pPr>
      <w:spacing w:after="240"/>
      <w:jc w:val="center"/>
    </w:pPr>
    <w:rPr>
      <w:i/>
    </w:rPr>
  </w:style>
  <w:style w:type="paragraph" w:customStyle="1" w:styleId="Olang">
    <w:name w:val="Olang"/>
    <w:basedOn w:val="Normal"/>
    <w:rsid w:val="006F7F2D"/>
    <w:pPr>
      <w:spacing w:before="240" w:after="240"/>
      <w:jc w:val="right"/>
    </w:pPr>
    <w:rPr>
      <w:noProof/>
      <w:szCs w:val="24"/>
    </w:rPr>
  </w:style>
  <w:style w:type="paragraph" w:styleId="CommentSubject">
    <w:name w:val="annotation subject"/>
    <w:basedOn w:val="CommentText"/>
    <w:next w:val="CommentText"/>
    <w:link w:val="CommentSubjectChar"/>
    <w:unhideWhenUsed/>
    <w:rsid w:val="006F7F2D"/>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6F7F2D"/>
    <w:rPr>
      <w:rFonts w:eastAsiaTheme="minorHAnsi"/>
      <w:b/>
      <w:bCs/>
      <w:lang w:val="pl-PL" w:eastAsia="en-US"/>
    </w:rPr>
  </w:style>
  <w:style w:type="paragraph" w:styleId="Footer">
    <w:name w:val="footer"/>
    <w:basedOn w:val="Normal"/>
    <w:link w:val="FooterChar"/>
    <w:rsid w:val="006F7F2D"/>
    <w:pPr>
      <w:tabs>
        <w:tab w:val="center" w:pos="4513"/>
        <w:tab w:val="right" w:pos="9026"/>
      </w:tabs>
    </w:pPr>
  </w:style>
  <w:style w:type="character" w:customStyle="1" w:styleId="FooterChar">
    <w:name w:val="Footer Char"/>
    <w:basedOn w:val="DefaultParagraphFont"/>
    <w:link w:val="Footer"/>
    <w:rsid w:val="006F7F2D"/>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793B9-CA1E-46DC-AF71-078028567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8162</Words>
  <Characters>46529</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2024-09-23T06:25:00Z</dcterms:created>
  <dcterms:modified xsi:type="dcterms:W3CDTF">2024-09-23T06:25:00Z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P9_TA(2024)0336_</vt:lpwstr>
  </property>
  <property fmtid="{D5CDD505-2E9C-101B-9397-08002B2CF9AE}" pid="4" name="&lt;Type&gt;">
    <vt:lpwstr>RR</vt:lpwstr>
  </property>
</Properties>
</file>