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73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73AD" w:rsidRDefault="00C1626B" w:rsidP="0010095E">
            <w:pPr>
              <w:pStyle w:val="EPName"/>
            </w:pPr>
            <w:r w:rsidRPr="00F273AD">
              <w:t>Parlement européen</w:t>
            </w:r>
          </w:p>
          <w:p w:rsidR="00751A4A" w:rsidRPr="00F273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7FE6">
              <w:t>2019</w:t>
            </w:r>
            <w:r w:rsidRPr="00F273AD">
              <w:t>-</w:t>
            </w:r>
            <w:r w:rsidRPr="00537FE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273AD" w:rsidRDefault="00187494" w:rsidP="0010095E">
            <w:pPr>
              <w:pStyle w:val="EPLogo"/>
            </w:pPr>
            <w:r w:rsidRPr="00F273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73AD" w:rsidRDefault="00D058B8" w:rsidP="004C5D52">
      <w:pPr>
        <w:pStyle w:val="LineTop"/>
      </w:pPr>
    </w:p>
    <w:p w:rsidR="00680577" w:rsidRPr="00F273AD" w:rsidRDefault="00C1626B" w:rsidP="00680577">
      <w:pPr>
        <w:pStyle w:val="EPBodyTA1"/>
      </w:pPr>
      <w:r w:rsidRPr="00F273AD">
        <w:t>TEXTES ADOPTÉS</w:t>
      </w:r>
    </w:p>
    <w:p w:rsidR="00D058B8" w:rsidRPr="00F273AD" w:rsidRDefault="00D058B8" w:rsidP="00D058B8">
      <w:pPr>
        <w:pStyle w:val="LineBottom"/>
      </w:pPr>
    </w:p>
    <w:p w:rsidR="00C1626B" w:rsidRPr="00F273AD" w:rsidRDefault="00C1626B" w:rsidP="00C1626B">
      <w:pPr>
        <w:pStyle w:val="ATHeading1"/>
      </w:pPr>
      <w:bookmarkStart w:id="0" w:name="TANumber"/>
      <w:r w:rsidRPr="00F273AD">
        <w:t>P</w:t>
      </w:r>
      <w:r w:rsidRPr="00537FE6">
        <w:t>9</w:t>
      </w:r>
      <w:r w:rsidRPr="00F273AD">
        <w:t>_</w:t>
      </w:r>
      <w:proofErr w:type="gramStart"/>
      <w:r w:rsidRPr="00F273AD">
        <w:t>TA(</w:t>
      </w:r>
      <w:proofErr w:type="gramEnd"/>
      <w:r w:rsidRPr="00537FE6">
        <w:t>2024</w:t>
      </w:r>
      <w:r w:rsidRPr="00F273AD">
        <w:t>)</w:t>
      </w:r>
      <w:r w:rsidRPr="00537FE6">
        <w:t>0</w:t>
      </w:r>
      <w:r w:rsidR="005E7152" w:rsidRPr="00537FE6">
        <w:t>338</w:t>
      </w:r>
      <w:bookmarkEnd w:id="0"/>
    </w:p>
    <w:p w:rsidR="00C1626B" w:rsidRPr="00F273AD" w:rsidRDefault="00310A4C" w:rsidP="00C1626B">
      <w:pPr>
        <w:pStyle w:val="ATHeading2"/>
      </w:pPr>
      <w:r w:rsidRPr="00310A4C">
        <w:rPr>
          <w:bCs/>
        </w:rPr>
        <w:t>Lutte contre la violence à l’égard des femmes et la violence domestique</w:t>
      </w:r>
    </w:p>
    <w:p w:rsidR="00C1626B" w:rsidRPr="00F273AD" w:rsidRDefault="00C1626B" w:rsidP="00C1626B">
      <w:pPr>
        <w:rPr>
          <w:i/>
          <w:vanish/>
        </w:rPr>
      </w:pPr>
      <w:r w:rsidRPr="00F273AD">
        <w:rPr>
          <w:i/>
        </w:rPr>
        <w:fldChar w:fldCharType="begin"/>
      </w:r>
      <w:r w:rsidRPr="00F273AD">
        <w:rPr>
          <w:i/>
        </w:rPr>
        <w:instrText xml:space="preserve"> TC"(</w:instrText>
      </w:r>
      <w:bookmarkStart w:id="1" w:name="DocNumber"/>
      <w:r w:rsidRPr="00F273AD">
        <w:rPr>
          <w:i/>
        </w:rPr>
        <w:instrText>A</w:instrText>
      </w:r>
      <w:r w:rsidRPr="00537FE6">
        <w:rPr>
          <w:i/>
        </w:rPr>
        <w:instrText>9</w:instrText>
      </w:r>
      <w:r w:rsidRPr="00F273AD">
        <w:rPr>
          <w:i/>
        </w:rPr>
        <w:instrText>-</w:instrText>
      </w:r>
      <w:r w:rsidRPr="00537FE6">
        <w:rPr>
          <w:i/>
        </w:rPr>
        <w:instrText>0234</w:instrText>
      </w:r>
      <w:r w:rsidRPr="00F273AD">
        <w:rPr>
          <w:i/>
        </w:rPr>
        <w:instrText>/</w:instrText>
      </w:r>
      <w:r w:rsidRPr="00537FE6">
        <w:rPr>
          <w:i/>
        </w:rPr>
        <w:instrText>2023</w:instrText>
      </w:r>
      <w:bookmarkEnd w:id="1"/>
      <w:r w:rsidRPr="00F273AD">
        <w:rPr>
          <w:i/>
        </w:rPr>
        <w:instrText xml:space="preserve"> - Rapporteurs: </w:instrText>
      </w:r>
      <w:r w:rsidR="001E2C50" w:rsidRPr="001E2C50">
        <w:rPr>
          <w:i/>
        </w:rPr>
        <w:instrText>Evin Incir</w:instrText>
      </w:r>
      <w:r w:rsidR="001E2C50">
        <w:rPr>
          <w:i/>
        </w:rPr>
        <w:instrText xml:space="preserve">, </w:instrText>
      </w:r>
      <w:r w:rsidRPr="00F273AD">
        <w:rPr>
          <w:i/>
        </w:rPr>
        <w:instrText>Frances Fitzgerald)"\l</w:instrText>
      </w:r>
      <w:r w:rsidRPr="00537FE6">
        <w:rPr>
          <w:i/>
        </w:rPr>
        <w:instrText>3</w:instrText>
      </w:r>
      <w:r w:rsidRPr="00F273AD">
        <w:rPr>
          <w:i/>
        </w:rPr>
        <w:instrText xml:space="preserve"> \n&gt; \* MERGEFORMAT </w:instrText>
      </w:r>
      <w:r w:rsidRPr="00F273AD">
        <w:rPr>
          <w:i/>
        </w:rPr>
        <w:fldChar w:fldCharType="end"/>
      </w:r>
    </w:p>
    <w:p w:rsidR="00C1626B" w:rsidRPr="00F273AD" w:rsidRDefault="00C1626B" w:rsidP="00C1626B">
      <w:pPr>
        <w:rPr>
          <w:vanish/>
        </w:rPr>
      </w:pPr>
      <w:bookmarkStart w:id="2" w:name="Commission"/>
      <w:r w:rsidRPr="00F273AD">
        <w:rPr>
          <w:vanish/>
        </w:rPr>
        <w:t>Commission des libertés civiles, de la justice et des affaires intérieures</w:t>
      </w:r>
      <w:bookmarkEnd w:id="2"/>
      <w:r w:rsidR="00485655">
        <w:rPr>
          <w:vanish/>
        </w:rPr>
        <w:t>, Commission des droits des femmes et de l’égalité des genres</w:t>
      </w:r>
    </w:p>
    <w:p w:rsidR="00C1626B" w:rsidRPr="00F273AD" w:rsidRDefault="00C1626B" w:rsidP="00C1626B">
      <w:pPr>
        <w:rPr>
          <w:vanish/>
        </w:rPr>
      </w:pPr>
      <w:bookmarkStart w:id="3" w:name="PE"/>
      <w:r w:rsidRPr="00F273AD">
        <w:rPr>
          <w:vanish/>
        </w:rPr>
        <w:t>PE</w:t>
      </w:r>
      <w:r w:rsidRPr="00537FE6">
        <w:rPr>
          <w:vanish/>
        </w:rPr>
        <w:t>739</w:t>
      </w:r>
      <w:r w:rsidRPr="00F273AD">
        <w:rPr>
          <w:vanish/>
        </w:rPr>
        <w:t>.</w:t>
      </w:r>
      <w:r w:rsidRPr="00537FE6">
        <w:rPr>
          <w:vanish/>
        </w:rPr>
        <w:t>730</w:t>
      </w:r>
      <w:bookmarkEnd w:id="3"/>
    </w:p>
    <w:p w:rsidR="00C1626B" w:rsidRPr="00F273AD" w:rsidRDefault="00C1626B" w:rsidP="00C1626B">
      <w:pPr>
        <w:pStyle w:val="ATHeading3"/>
      </w:pPr>
      <w:bookmarkStart w:id="4" w:name="Sujet"/>
      <w:r w:rsidRPr="00F273AD">
        <w:t xml:space="preserve">Résolution législative du Parlement européen du </w:t>
      </w:r>
      <w:r w:rsidR="00325974" w:rsidRPr="00537FE6">
        <w:t>24</w:t>
      </w:r>
      <w:r w:rsidR="00D02045">
        <w:t xml:space="preserve"> avril</w:t>
      </w:r>
      <w:r w:rsidRPr="00F273AD">
        <w:t xml:space="preserve"> </w:t>
      </w:r>
      <w:r w:rsidRPr="00537FE6">
        <w:t>2024</w:t>
      </w:r>
      <w:r w:rsidRPr="00F273AD">
        <w:t xml:space="preserve"> sur la proposition de directive du Parlement européen et du Conseil sur la lutte contre la violence à l’égard des femmes et la violence domestique</w:t>
      </w:r>
      <w:bookmarkEnd w:id="4"/>
      <w:r w:rsidRPr="00F273AD">
        <w:t xml:space="preserve"> </w:t>
      </w:r>
      <w:bookmarkStart w:id="5" w:name="References"/>
      <w:r w:rsidRPr="00F273AD">
        <w:t>(</w:t>
      </w:r>
      <w:proofErr w:type="gramStart"/>
      <w:r w:rsidRPr="00F273AD">
        <w:t>COM(</w:t>
      </w:r>
      <w:proofErr w:type="gramEnd"/>
      <w:r w:rsidRPr="00537FE6">
        <w:t>2022</w:t>
      </w:r>
      <w:r w:rsidRPr="00F273AD">
        <w:t>)</w:t>
      </w:r>
      <w:r w:rsidRPr="00537FE6">
        <w:t>0105</w:t>
      </w:r>
      <w:r w:rsidRPr="00F273AD">
        <w:t xml:space="preserve"> – C</w:t>
      </w:r>
      <w:r w:rsidRPr="00537FE6">
        <w:t>9</w:t>
      </w:r>
      <w:r w:rsidRPr="00F273AD">
        <w:t>-</w:t>
      </w:r>
      <w:r w:rsidRPr="00537FE6">
        <w:t>0058</w:t>
      </w:r>
      <w:r w:rsidRPr="00F273AD">
        <w:t>/</w:t>
      </w:r>
      <w:r w:rsidRPr="00537FE6">
        <w:t>2022</w:t>
      </w:r>
      <w:r w:rsidRPr="00F273AD">
        <w:t xml:space="preserve"> – </w:t>
      </w:r>
      <w:r w:rsidRPr="00537FE6">
        <w:t>2022</w:t>
      </w:r>
      <w:r w:rsidRPr="00F273AD">
        <w:t>/</w:t>
      </w:r>
      <w:r w:rsidRPr="00537FE6">
        <w:t>0066</w:t>
      </w:r>
      <w:r w:rsidRPr="00F273AD">
        <w:t>(COD))</w:t>
      </w:r>
      <w:bookmarkEnd w:id="5"/>
    </w:p>
    <w:p w:rsidR="00FF7C67" w:rsidRPr="00F273AD" w:rsidRDefault="00FF7C67" w:rsidP="00FF7C67">
      <w:pPr>
        <w:rPr>
          <w:b/>
        </w:rPr>
      </w:pPr>
      <w:bookmarkStart w:id="6" w:name="TextBodyBegin"/>
      <w:bookmarkEnd w:id="6"/>
      <w:r w:rsidRPr="00F273AD">
        <w:rPr>
          <w:b/>
        </w:rPr>
        <w:t>(Procédure législative ordinaire: première lecture)</w:t>
      </w:r>
    </w:p>
    <w:p w:rsidR="00FF7C67" w:rsidRPr="00F273AD" w:rsidRDefault="00FF7C67" w:rsidP="00FF7C67">
      <w:pPr>
        <w:spacing w:before="480" w:after="240"/>
      </w:pPr>
      <w:r w:rsidRPr="00F273AD">
        <w:rPr>
          <w:i/>
        </w:rPr>
        <w:t>Le Parlement européen</w:t>
      </w:r>
      <w:r w:rsidRPr="00F273AD">
        <w:t>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 xml:space="preserve">vu la proposition de la Commission au Parlement </w:t>
      </w:r>
      <w:r w:rsidR="0035162A">
        <w:t xml:space="preserve">européen </w:t>
      </w:r>
      <w:r w:rsidRPr="00F273AD">
        <w:t>et au Conseil (</w:t>
      </w:r>
      <w:proofErr w:type="gramStart"/>
      <w:r w:rsidRPr="00F273AD">
        <w:t>COM(</w:t>
      </w:r>
      <w:proofErr w:type="gramEnd"/>
      <w:r w:rsidRPr="00537FE6">
        <w:t>2022</w:t>
      </w:r>
      <w:r w:rsidRPr="00F273AD">
        <w:t>)</w:t>
      </w:r>
      <w:r w:rsidRPr="00537FE6">
        <w:t>0105</w:t>
      </w:r>
      <w:r w:rsidRPr="00F273AD">
        <w:t>),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l’article </w:t>
      </w:r>
      <w:r w:rsidRPr="00537FE6">
        <w:t>294</w:t>
      </w:r>
      <w:r w:rsidRPr="00F273AD">
        <w:t>, paragraphe </w:t>
      </w:r>
      <w:r w:rsidRPr="00537FE6">
        <w:t>2</w:t>
      </w:r>
      <w:r w:rsidRPr="00F273AD">
        <w:t>, l’article </w:t>
      </w:r>
      <w:r w:rsidRPr="00537FE6">
        <w:t>82</w:t>
      </w:r>
      <w:r w:rsidRPr="00F273AD">
        <w:t>, paragraphe </w:t>
      </w:r>
      <w:r w:rsidRPr="00537FE6">
        <w:t>2</w:t>
      </w:r>
      <w:r w:rsidRPr="00F273AD">
        <w:t>, et l’article </w:t>
      </w:r>
      <w:r w:rsidRPr="00537FE6">
        <w:t>83</w:t>
      </w:r>
      <w:r w:rsidRPr="00F273AD">
        <w:t>, paragraphe </w:t>
      </w:r>
      <w:r w:rsidRPr="00537FE6">
        <w:t>1</w:t>
      </w:r>
      <w:r w:rsidRPr="00F273AD">
        <w:t>, du traité sur le fonctionnement de l’Union européenne, conformément auxquels la proposition lui a été présentée par la Commission (C</w:t>
      </w:r>
      <w:r w:rsidRPr="00537FE6">
        <w:t>9</w:t>
      </w:r>
      <w:r w:rsidRPr="00F273AD">
        <w:noBreakHyphen/>
      </w:r>
      <w:r w:rsidRPr="00537FE6">
        <w:t>0058</w:t>
      </w:r>
      <w:r w:rsidRPr="00F273AD">
        <w:t>/</w:t>
      </w:r>
      <w:r w:rsidRPr="00537FE6">
        <w:t>2022</w:t>
      </w:r>
      <w:r w:rsidRPr="00F273AD">
        <w:t>),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l’avis de la commission des affaires juridiques sur la base juridique proposée,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l’article </w:t>
      </w:r>
      <w:r w:rsidRPr="00537FE6">
        <w:t>294</w:t>
      </w:r>
      <w:r w:rsidRPr="00F273AD">
        <w:t>, paragraphe </w:t>
      </w:r>
      <w:r w:rsidRPr="00537FE6">
        <w:t>3</w:t>
      </w:r>
      <w:r w:rsidRPr="00F273AD">
        <w:t>, du traité sur le fonctionnement de l’Union européenne,</w:t>
      </w:r>
    </w:p>
    <w:p w:rsidR="00FF7C67" w:rsidRDefault="00FF7C67" w:rsidP="00FF7C67">
      <w:pPr>
        <w:pStyle w:val="NormalHanging12a"/>
      </w:pPr>
      <w:r w:rsidRPr="00F273AD">
        <w:t>–</w:t>
      </w:r>
      <w:r w:rsidRPr="00F273AD">
        <w:tab/>
        <w:t>vu l’avis motivé soumis par la Chambre des députés tchèque, dans le cadre du protocole nº </w:t>
      </w:r>
      <w:r w:rsidRPr="00537FE6">
        <w:t>2</w:t>
      </w:r>
      <w:r w:rsidRPr="00F273AD">
        <w:t xml:space="preserve"> sur l’application des principes de subsidiarité et de proportionnalité, déclarant que le projet d’acte législatif n’est pas conforme au principe de subsidiarité,</w:t>
      </w:r>
    </w:p>
    <w:p w:rsidR="004A3755" w:rsidRDefault="004A3755" w:rsidP="00FF7C67">
      <w:pPr>
        <w:pStyle w:val="NormalHanging12a"/>
      </w:pPr>
      <w:r w:rsidRPr="00F273AD">
        <w:t>–</w:t>
      </w:r>
      <w:r w:rsidRPr="00F273AD">
        <w:tab/>
      </w:r>
      <w:r>
        <w:t xml:space="preserve">vu l’avis du Comité économique et social européen du </w:t>
      </w:r>
      <w:r w:rsidRPr="00537FE6">
        <w:t>13</w:t>
      </w:r>
      <w:r>
        <w:t xml:space="preserve"> juillet </w:t>
      </w:r>
      <w:r w:rsidRPr="00537FE6">
        <w:t>2022</w:t>
      </w:r>
      <w:r>
        <w:rPr>
          <w:rStyle w:val="FootnoteReference"/>
        </w:rPr>
        <w:footnoteReference w:id="1"/>
      </w:r>
      <w:r w:rsidR="0035162A">
        <w:t>,</w:t>
      </w:r>
    </w:p>
    <w:p w:rsidR="004A3755" w:rsidRPr="00F273AD" w:rsidRDefault="004A3755" w:rsidP="00FF7C67">
      <w:pPr>
        <w:pStyle w:val="NormalHanging12a"/>
      </w:pPr>
      <w:r w:rsidRPr="00F273AD">
        <w:t>–</w:t>
      </w:r>
      <w:r w:rsidRPr="00F273AD">
        <w:tab/>
      </w:r>
      <w:r w:rsidRPr="004A3755">
        <w:t>vu l’accord provisoire approuvé en vertu de l’article </w:t>
      </w:r>
      <w:r w:rsidRPr="00537FE6">
        <w:t>74</w:t>
      </w:r>
      <w:r w:rsidRPr="004A3755">
        <w:t>, paragraphe </w:t>
      </w:r>
      <w:r w:rsidRPr="00537FE6">
        <w:t>4</w:t>
      </w:r>
      <w:r w:rsidRPr="004A3755">
        <w:t>, de son règlement intérieur par l</w:t>
      </w:r>
      <w:r w:rsidR="00296491">
        <w:t>es</w:t>
      </w:r>
      <w:r w:rsidRPr="004A3755">
        <w:t xml:space="preserve"> commission</w:t>
      </w:r>
      <w:r w:rsidR="00296491">
        <w:t>s</w:t>
      </w:r>
      <w:r w:rsidRPr="004A3755">
        <w:t xml:space="preserve"> compétente</w:t>
      </w:r>
      <w:r w:rsidR="00296491">
        <w:t>s</w:t>
      </w:r>
      <w:r w:rsidRPr="004A3755">
        <w:t xml:space="preserve"> et l’engagement pris par le représentant du Conseil, par lettre du </w:t>
      </w:r>
      <w:r w:rsidRPr="00537FE6">
        <w:t>14</w:t>
      </w:r>
      <w:r w:rsidRPr="004A3755">
        <w:t> février </w:t>
      </w:r>
      <w:r w:rsidRPr="00537FE6">
        <w:t>2024</w:t>
      </w:r>
      <w:r w:rsidRPr="004A3755">
        <w:t>, d’approuver la position du Parlement européen, conformément à l’article </w:t>
      </w:r>
      <w:r w:rsidRPr="00537FE6">
        <w:t>294</w:t>
      </w:r>
      <w:r w:rsidRPr="004A3755">
        <w:t>, paragraphe </w:t>
      </w:r>
      <w:r w:rsidRPr="00537FE6">
        <w:t>4</w:t>
      </w:r>
      <w:r w:rsidRPr="004A3755">
        <w:t xml:space="preserve">, du traité sur le fonctionnement de l’Union </w:t>
      </w:r>
      <w:r w:rsidRPr="004A3755">
        <w:lastRenderedPageBreak/>
        <w:t>européenne,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les articles </w:t>
      </w:r>
      <w:r w:rsidRPr="00537FE6">
        <w:t>59</w:t>
      </w:r>
      <w:r w:rsidRPr="00F273AD">
        <w:t xml:space="preserve"> et </w:t>
      </w:r>
      <w:r w:rsidRPr="00537FE6">
        <w:t>40</w:t>
      </w:r>
      <w:r w:rsidRPr="00F273AD">
        <w:t xml:space="preserve"> de son règlement intérieur,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les délibérations conjointes de la commission des libertés civiles, de la justice et des affaires intérieures et de la commission des droits de</w:t>
      </w:r>
      <w:r w:rsidR="0035162A">
        <w:t>s</w:t>
      </w:r>
      <w:r w:rsidRPr="00F273AD">
        <w:t xml:space="preserve"> femme</w:t>
      </w:r>
      <w:r w:rsidR="0035162A">
        <w:t>s</w:t>
      </w:r>
      <w:r w:rsidRPr="00F273AD">
        <w:t xml:space="preserve"> et de l’égalité des genres conformément à l’article </w:t>
      </w:r>
      <w:r w:rsidRPr="00537FE6">
        <w:t>58</w:t>
      </w:r>
      <w:r w:rsidRPr="00F273AD">
        <w:t xml:space="preserve"> du règlement intérieur,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l’avis de la commission de l’emploi et des affaires sociales, de la commission des budgets et de la commission des affaires juridiques,</w:t>
      </w:r>
    </w:p>
    <w:p w:rsidR="00FF7C67" w:rsidRPr="00F273AD" w:rsidRDefault="00FF7C67" w:rsidP="00FF7C67">
      <w:pPr>
        <w:pStyle w:val="NormalHanging12a"/>
      </w:pPr>
      <w:r w:rsidRPr="00F273AD">
        <w:t>–</w:t>
      </w:r>
      <w:r w:rsidRPr="00F273AD">
        <w:tab/>
        <w:t>vu le rapport de la commission des libertés civiles, de la justice et des affaires intérieures et de la commission des droits de</w:t>
      </w:r>
      <w:r w:rsidR="0035162A">
        <w:t>s</w:t>
      </w:r>
      <w:r w:rsidRPr="00F273AD">
        <w:t xml:space="preserve"> femme</w:t>
      </w:r>
      <w:r w:rsidR="0035162A">
        <w:t>s</w:t>
      </w:r>
      <w:r w:rsidRPr="00F273AD">
        <w:t xml:space="preserve"> et de l’égalité des genres (A</w:t>
      </w:r>
      <w:r w:rsidRPr="00537FE6">
        <w:t>9</w:t>
      </w:r>
      <w:r w:rsidRPr="00F273AD">
        <w:t>-</w:t>
      </w:r>
      <w:r w:rsidRPr="00537FE6">
        <w:t>0234</w:t>
      </w:r>
      <w:r w:rsidRPr="00F273AD">
        <w:t>/</w:t>
      </w:r>
      <w:r w:rsidRPr="00537FE6">
        <w:t>2023</w:t>
      </w:r>
      <w:r w:rsidRPr="00F273AD">
        <w:t>),</w:t>
      </w:r>
    </w:p>
    <w:p w:rsidR="00FF7C67" w:rsidRPr="00F273AD" w:rsidRDefault="00FF7C67" w:rsidP="00FF7C67">
      <w:pPr>
        <w:pStyle w:val="NormalHanging12a"/>
      </w:pPr>
      <w:r w:rsidRPr="00537FE6">
        <w:t>1</w:t>
      </w:r>
      <w:r w:rsidRPr="00F273AD">
        <w:t>.</w:t>
      </w:r>
      <w:r w:rsidRPr="00F273AD">
        <w:tab/>
        <w:t>arrête la position en première lecture figurant ci-après;</w:t>
      </w:r>
    </w:p>
    <w:p w:rsidR="00FF7C67" w:rsidRPr="00F273AD" w:rsidRDefault="00FF7C67" w:rsidP="00FF7C67">
      <w:pPr>
        <w:pStyle w:val="NormalHanging12a"/>
      </w:pPr>
      <w:r w:rsidRPr="00537FE6">
        <w:t>2</w:t>
      </w:r>
      <w:r w:rsidRPr="00F273AD">
        <w:t>.</w:t>
      </w:r>
      <w:r w:rsidRPr="00F273AD">
        <w:tab/>
        <w:t>demande à la Commission de le saisir à nouveau, si elle remplace, modifie de manière substantielle ou entend modifier de manière substantielle sa proposition;</w:t>
      </w:r>
    </w:p>
    <w:p w:rsidR="00FF7C67" w:rsidRPr="00F273AD" w:rsidRDefault="00FF7C67" w:rsidP="00FF7C67">
      <w:pPr>
        <w:pStyle w:val="NormalHanging12a"/>
      </w:pPr>
      <w:r w:rsidRPr="00537FE6">
        <w:t>3</w:t>
      </w:r>
      <w:r w:rsidRPr="00F273AD">
        <w:t>.</w:t>
      </w:r>
      <w:r w:rsidRPr="00F273AD">
        <w:tab/>
        <w:t>charge sa Présidente de transmettre la position du Parlement au Conseil et à la Commission ainsi qu’aux parlements nationaux.</w:t>
      </w:r>
    </w:p>
    <w:p w:rsidR="004D2F8F" w:rsidRDefault="004D2F8F" w:rsidP="004D2F8F">
      <w:pPr>
        <w:widowControl/>
        <w:rPr>
          <w:b/>
        </w:rPr>
        <w:sectPr w:rsidR="004D2F8F" w:rsidSect="00F273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D2F8F" w:rsidRPr="00E7025D" w:rsidRDefault="004D2F8F" w:rsidP="004D2F8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537FE6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537FE6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7025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537FE6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537FE6">
        <w:rPr>
          <w:rFonts w:eastAsia="Calibri"/>
          <w:b/>
          <w:bCs/>
          <w:color w:val="000000"/>
          <w:szCs w:val="24"/>
        </w:rPr>
        <w:t>0066</w:t>
      </w:r>
    </w:p>
    <w:p w:rsidR="004F05BA" w:rsidRPr="004F05BA" w:rsidRDefault="004D2F8F" w:rsidP="004F05BA">
      <w:pPr>
        <w:widowControl/>
        <w:rPr>
          <w:rFonts w:eastAsia="Calibri"/>
          <w:b/>
          <w:szCs w:val="24"/>
          <w:lang w:eastAsia="en-US"/>
        </w:rPr>
      </w:pPr>
      <w:r>
        <w:rPr>
          <w:b/>
        </w:rPr>
        <w:t xml:space="preserve">Position du Parlement européen arrêtée en première lecture le </w:t>
      </w:r>
      <w:r w:rsidRPr="00537FE6">
        <w:rPr>
          <w:b/>
        </w:rPr>
        <w:t>24</w:t>
      </w:r>
      <w:r>
        <w:rPr>
          <w:b/>
        </w:rPr>
        <w:t xml:space="preserve"> avril </w:t>
      </w:r>
      <w:r w:rsidRPr="00537FE6">
        <w:rPr>
          <w:b/>
        </w:rPr>
        <w:t>2024</w:t>
      </w:r>
      <w:r>
        <w:rPr>
          <w:b/>
        </w:rPr>
        <w:t xml:space="preserve"> en vue de l’adoption de la directive </w:t>
      </w:r>
      <w:r w:rsidR="004F05BA" w:rsidRPr="004F05BA">
        <w:rPr>
          <w:rFonts w:eastAsia="Calibri"/>
          <w:b/>
          <w:szCs w:val="22"/>
          <w:lang w:eastAsia="en-US"/>
        </w:rPr>
        <w:t>(UE) </w:t>
      </w:r>
      <w:r w:rsidR="004F05BA" w:rsidRPr="00537FE6">
        <w:rPr>
          <w:rFonts w:eastAsia="Calibri"/>
          <w:b/>
          <w:szCs w:val="22"/>
          <w:lang w:eastAsia="en-US"/>
        </w:rPr>
        <w:t>2024</w:t>
      </w:r>
      <w:r w:rsidR="004F05BA" w:rsidRPr="004F05BA">
        <w:rPr>
          <w:rFonts w:eastAsia="Calibri"/>
          <w:b/>
          <w:szCs w:val="22"/>
          <w:lang w:eastAsia="en-US"/>
        </w:rPr>
        <w:t>/...</w:t>
      </w:r>
      <w:r w:rsidR="004F05BA">
        <w:rPr>
          <w:rFonts w:eastAsia="Calibri"/>
          <w:b/>
          <w:szCs w:val="22"/>
          <w:lang w:eastAsia="en-US"/>
        </w:rPr>
        <w:t xml:space="preserve"> du Parlement européen et du Conseil </w:t>
      </w:r>
      <w:r w:rsidR="004F05BA" w:rsidRPr="004F05BA">
        <w:rPr>
          <w:rFonts w:eastAsia="Calibri"/>
          <w:b/>
          <w:szCs w:val="22"/>
          <w:lang w:eastAsia="en-US"/>
        </w:rPr>
        <w:t>sur la lutte contre la violence à l’égard des femmes et la violence domestique</w:t>
      </w:r>
    </w:p>
    <w:p w:rsidR="004F05BA" w:rsidRDefault="004F05BA" w:rsidP="004D2F8F">
      <w:pPr>
        <w:widowControl/>
        <w:rPr>
          <w:rFonts w:eastAsia="Calibri"/>
          <w:szCs w:val="22"/>
          <w:lang w:eastAsia="en-US"/>
        </w:rPr>
      </w:pPr>
    </w:p>
    <w:p w:rsidR="00BD2A0C" w:rsidRPr="00EB53D5" w:rsidRDefault="00BD2A0C" w:rsidP="00BD2A0C">
      <w:pPr>
        <w:pStyle w:val="Datedadoption"/>
        <w:spacing w:after="240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2024/</w:t>
      </w:r>
      <w:r>
        <w:rPr>
          <w:b w:val="0"/>
          <w:i/>
        </w:rPr>
        <w:t>1385</w:t>
      </w:r>
      <w:bookmarkStart w:id="7" w:name="_GoBack"/>
      <w:bookmarkEnd w:id="7"/>
      <w:r w:rsidRPr="00EB53D5">
        <w:rPr>
          <w:b w:val="0"/>
          <w:i/>
        </w:rPr>
        <w:t>.)</w:t>
      </w:r>
    </w:p>
    <w:p w:rsidR="00BD2A0C" w:rsidRPr="004D2F8F" w:rsidRDefault="00BD2A0C" w:rsidP="004D2F8F">
      <w:pPr>
        <w:widowControl/>
        <w:rPr>
          <w:b/>
        </w:rPr>
      </w:pPr>
    </w:p>
    <w:sectPr w:rsidR="00BD2A0C" w:rsidRPr="004D2F8F" w:rsidSect="00F273A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26B" w:rsidRPr="00F273AD" w:rsidRDefault="00C1626B">
      <w:r w:rsidRPr="00F273AD">
        <w:separator/>
      </w:r>
    </w:p>
  </w:endnote>
  <w:endnote w:type="continuationSeparator" w:id="0">
    <w:p w:rsidR="00C1626B" w:rsidRPr="00F273AD" w:rsidRDefault="00C1626B">
      <w:r w:rsidRPr="00F273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26B" w:rsidRPr="00F273AD" w:rsidRDefault="00C1626B">
      <w:r w:rsidRPr="00F273AD">
        <w:separator/>
      </w:r>
    </w:p>
  </w:footnote>
  <w:footnote w:type="continuationSeparator" w:id="0">
    <w:p w:rsidR="00C1626B" w:rsidRPr="00F273AD" w:rsidRDefault="00C1626B">
      <w:r w:rsidRPr="00F273AD">
        <w:continuationSeparator/>
      </w:r>
    </w:p>
  </w:footnote>
  <w:footnote w:id="1">
    <w:p w:rsidR="004A3755" w:rsidRPr="00C626A8" w:rsidRDefault="004A3755" w:rsidP="0035162A">
      <w:pPr>
        <w:pStyle w:val="FootnoteText"/>
        <w:ind w:left="567" w:hanging="567"/>
        <w:rPr>
          <w:sz w:val="24"/>
          <w:szCs w:val="24"/>
          <w:lang w:val="da-DK"/>
        </w:rPr>
      </w:pPr>
      <w:r w:rsidRPr="0035162A">
        <w:rPr>
          <w:rStyle w:val="FootnoteReference"/>
          <w:sz w:val="24"/>
          <w:szCs w:val="24"/>
        </w:rPr>
        <w:footnoteRef/>
      </w:r>
      <w:r w:rsidRPr="00C626A8">
        <w:rPr>
          <w:sz w:val="24"/>
          <w:szCs w:val="24"/>
          <w:lang w:val="da-DK"/>
        </w:rPr>
        <w:tab/>
        <w:t xml:space="preserve">JO C </w:t>
      </w:r>
      <w:r w:rsidRPr="00537FE6">
        <w:rPr>
          <w:sz w:val="24"/>
          <w:szCs w:val="24"/>
          <w:lang w:val="da-DK"/>
        </w:rPr>
        <w:t>443</w:t>
      </w:r>
      <w:r w:rsidRPr="00C626A8">
        <w:rPr>
          <w:sz w:val="24"/>
          <w:szCs w:val="24"/>
          <w:lang w:val="da-DK"/>
        </w:rPr>
        <w:t xml:space="preserve"> du </w:t>
      </w:r>
      <w:r w:rsidRPr="00537FE6">
        <w:rPr>
          <w:sz w:val="24"/>
          <w:szCs w:val="24"/>
          <w:lang w:val="da-DK"/>
        </w:rPr>
        <w:t>22</w:t>
      </w:r>
      <w:r w:rsidRPr="00C626A8">
        <w:rPr>
          <w:sz w:val="24"/>
          <w:szCs w:val="24"/>
          <w:lang w:val="da-DK"/>
        </w:rPr>
        <w:t>.</w:t>
      </w:r>
      <w:r w:rsidRPr="00537FE6">
        <w:rPr>
          <w:sz w:val="24"/>
          <w:szCs w:val="24"/>
          <w:lang w:val="da-DK"/>
        </w:rPr>
        <w:t>11</w:t>
      </w:r>
      <w:r w:rsidRPr="00C626A8">
        <w:rPr>
          <w:sz w:val="24"/>
          <w:szCs w:val="24"/>
          <w:lang w:val="da-DK"/>
        </w:rPr>
        <w:t>.</w:t>
      </w:r>
      <w:r w:rsidRPr="00537FE6">
        <w:rPr>
          <w:sz w:val="24"/>
          <w:szCs w:val="24"/>
          <w:lang w:val="da-DK"/>
        </w:rPr>
        <w:t>2022</w:t>
      </w:r>
      <w:r w:rsidRPr="00C626A8">
        <w:rPr>
          <w:sz w:val="24"/>
          <w:szCs w:val="24"/>
          <w:lang w:val="da-DK"/>
        </w:rPr>
        <w:t xml:space="preserve">, p. </w:t>
      </w:r>
      <w:r w:rsidRPr="00537FE6">
        <w:rPr>
          <w:sz w:val="24"/>
          <w:szCs w:val="24"/>
          <w:lang w:val="da-DK"/>
        </w:rPr>
        <w:t>93</w:t>
      </w:r>
      <w:r w:rsidRPr="00C626A8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1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1232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7"/>
  </w:num>
  <w:num w:numId="7">
    <w:abstractNumId w:val="16"/>
  </w:num>
  <w:num w:numId="8">
    <w:abstractNumId w:val="3"/>
  </w:num>
  <w:num w:numId="9">
    <w:abstractNumId w:val="10"/>
  </w:num>
  <w:num w:numId="10">
    <w:abstractNumId w:val="4"/>
  </w:num>
  <w:num w:numId="11">
    <w:abstractNumId w:val="21"/>
  </w:num>
  <w:num w:numId="12">
    <w:abstractNumId w:val="12"/>
  </w:num>
  <w:num w:numId="13">
    <w:abstractNumId w:val="22"/>
  </w:num>
  <w:num w:numId="14">
    <w:abstractNumId w:val="8"/>
  </w:num>
  <w:num w:numId="15">
    <w:abstractNumId w:val="13"/>
  </w:num>
  <w:num w:numId="16">
    <w:abstractNumId w:val="5"/>
  </w:num>
  <w:num w:numId="17">
    <w:abstractNumId w:val="15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23"/>
  </w:num>
  <w:num w:numId="23">
    <w:abstractNumId w:val="14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FR"/>
    <w:docVar w:name="dvnumam" w:val="642"/>
    <w:docVar w:name="dvpe" w:val="739.730"/>
    <w:docVar w:name="dvrapporteur" w:val="Rapporteurs: "/>
    <w:docVar w:name="dvstar" w:val="***I"/>
    <w:docVar w:name="dvtitre" w:val="Résolution législative du Parlement européen du ... 2024 sur la proposition de directive du Parlement européen et du Conseil sur la lutte contre la violence à l’égard des femmes et la violence domestique(COM(2022)0105 – C9-0058/2022 – 2022/0066(COD))"/>
  </w:docVars>
  <w:rsids>
    <w:rsidRoot w:val="00C1626B"/>
    <w:rsid w:val="00002272"/>
    <w:rsid w:val="00064002"/>
    <w:rsid w:val="000677B9"/>
    <w:rsid w:val="000831BA"/>
    <w:rsid w:val="000A42CC"/>
    <w:rsid w:val="000E7DD9"/>
    <w:rsid w:val="0010095E"/>
    <w:rsid w:val="00125B37"/>
    <w:rsid w:val="00143AF8"/>
    <w:rsid w:val="00187494"/>
    <w:rsid w:val="001968FB"/>
    <w:rsid w:val="001E2C50"/>
    <w:rsid w:val="001F32AE"/>
    <w:rsid w:val="002767FF"/>
    <w:rsid w:val="00296491"/>
    <w:rsid w:val="002B18FE"/>
    <w:rsid w:val="002B5493"/>
    <w:rsid w:val="00310A4C"/>
    <w:rsid w:val="00325974"/>
    <w:rsid w:val="00343214"/>
    <w:rsid w:val="0035162A"/>
    <w:rsid w:val="00361C00"/>
    <w:rsid w:val="00384270"/>
    <w:rsid w:val="00395FA1"/>
    <w:rsid w:val="003E15D4"/>
    <w:rsid w:val="00411CCE"/>
    <w:rsid w:val="0041666E"/>
    <w:rsid w:val="00421060"/>
    <w:rsid w:val="00471C19"/>
    <w:rsid w:val="00482441"/>
    <w:rsid w:val="00485655"/>
    <w:rsid w:val="004867E3"/>
    <w:rsid w:val="00494A28"/>
    <w:rsid w:val="004A3755"/>
    <w:rsid w:val="004C0004"/>
    <w:rsid w:val="004C5D52"/>
    <w:rsid w:val="004D2F8F"/>
    <w:rsid w:val="004F05BA"/>
    <w:rsid w:val="0050519A"/>
    <w:rsid w:val="005072A1"/>
    <w:rsid w:val="00514517"/>
    <w:rsid w:val="00537FE6"/>
    <w:rsid w:val="00545827"/>
    <w:rsid w:val="00560270"/>
    <w:rsid w:val="005C2568"/>
    <w:rsid w:val="005E715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5F0"/>
    <w:rsid w:val="007D1690"/>
    <w:rsid w:val="007E22AD"/>
    <w:rsid w:val="00817416"/>
    <w:rsid w:val="00842779"/>
    <w:rsid w:val="00865F67"/>
    <w:rsid w:val="00870974"/>
    <w:rsid w:val="00881A7B"/>
    <w:rsid w:val="00883BD9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A0C"/>
    <w:rsid w:val="00BD48FE"/>
    <w:rsid w:val="00BD7BD8"/>
    <w:rsid w:val="00BE6ADC"/>
    <w:rsid w:val="00C05BFE"/>
    <w:rsid w:val="00C1626B"/>
    <w:rsid w:val="00C23CD4"/>
    <w:rsid w:val="00C61C0C"/>
    <w:rsid w:val="00C626A8"/>
    <w:rsid w:val="00C941CB"/>
    <w:rsid w:val="00CC2357"/>
    <w:rsid w:val="00CF071A"/>
    <w:rsid w:val="00D02045"/>
    <w:rsid w:val="00D058B8"/>
    <w:rsid w:val="00D54223"/>
    <w:rsid w:val="00D56C11"/>
    <w:rsid w:val="00D834A0"/>
    <w:rsid w:val="00D84D5B"/>
    <w:rsid w:val="00D872DF"/>
    <w:rsid w:val="00D91E21"/>
    <w:rsid w:val="00D92FBE"/>
    <w:rsid w:val="00DA7FCD"/>
    <w:rsid w:val="00E365E1"/>
    <w:rsid w:val="00E820A4"/>
    <w:rsid w:val="00EB006A"/>
    <w:rsid w:val="00EB4772"/>
    <w:rsid w:val="00EC3A4A"/>
    <w:rsid w:val="00ED0C8A"/>
    <w:rsid w:val="00ED169E"/>
    <w:rsid w:val="00ED4235"/>
    <w:rsid w:val="00F04346"/>
    <w:rsid w:val="00F075DC"/>
    <w:rsid w:val="00F149E9"/>
    <w:rsid w:val="00F273AD"/>
    <w:rsid w:val="00F5134D"/>
    <w:rsid w:val="00F74202"/>
    <w:rsid w:val="00F87713"/>
    <w:rsid w:val="00FB4360"/>
    <w:rsid w:val="00FD0C70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7EC5A"/>
  <w15:chartTrackingRefBased/>
  <w15:docId w15:val="{4DF26AFA-205E-489C-AD05-02041BCD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7C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C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C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C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C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C67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C67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FF7C67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FF7C67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FF7C6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7C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7C6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7C67"/>
    <w:pPr>
      <w:spacing w:after="120"/>
    </w:pPr>
  </w:style>
  <w:style w:type="paragraph" w:customStyle="1" w:styleId="PageHeading">
    <w:name w:val="PageHeading"/>
    <w:basedOn w:val="Normal"/>
    <w:rsid w:val="00FF7C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7C6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F7C67"/>
    <w:rPr>
      <w:b/>
      <w:sz w:val="24"/>
      <w:lang w:val="fr-FR"/>
    </w:rPr>
  </w:style>
  <w:style w:type="paragraph" w:customStyle="1" w:styleId="NormalBold12a">
    <w:name w:val="NormalBold12a"/>
    <w:basedOn w:val="Normal"/>
    <w:rsid w:val="00FF7C67"/>
    <w:pPr>
      <w:spacing w:after="240"/>
    </w:pPr>
    <w:rPr>
      <w:b/>
    </w:rPr>
  </w:style>
  <w:style w:type="paragraph" w:customStyle="1" w:styleId="AmJustText">
    <w:name w:val="AmJustText"/>
    <w:basedOn w:val="Normal"/>
    <w:rsid w:val="00FF7C67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FF7C67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FF7C67"/>
    <w:rPr>
      <w:sz w:val="24"/>
      <w:lang w:val="fr-FR"/>
    </w:rPr>
  </w:style>
  <w:style w:type="paragraph" w:customStyle="1" w:styleId="CoverNormal24a">
    <w:name w:val="CoverNormal24a"/>
    <w:basedOn w:val="Normal"/>
    <w:rsid w:val="00FF7C67"/>
    <w:pPr>
      <w:spacing w:after="480"/>
      <w:ind w:left="1417"/>
    </w:pPr>
  </w:style>
  <w:style w:type="paragraph" w:customStyle="1" w:styleId="CoverNormal">
    <w:name w:val="CoverNormal"/>
    <w:basedOn w:val="Normal"/>
    <w:rsid w:val="00FF7C67"/>
    <w:pPr>
      <w:ind w:left="1418"/>
    </w:pPr>
  </w:style>
  <w:style w:type="paragraph" w:customStyle="1" w:styleId="AmCrossRef">
    <w:name w:val="AmCrossRef"/>
    <w:basedOn w:val="Normal"/>
    <w:rsid w:val="00FF7C6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7C6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7C6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7C6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7C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7C6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7C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C67"/>
    <w:rPr>
      <w:sz w:val="24"/>
      <w:lang w:val="fr-FR"/>
    </w:rPr>
  </w:style>
  <w:style w:type="paragraph" w:customStyle="1" w:styleId="AmOrLang">
    <w:name w:val="AmOrLang"/>
    <w:basedOn w:val="Normal"/>
    <w:rsid w:val="00FF7C6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7C6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7C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F7C67"/>
    <w:pPr>
      <w:spacing w:before="240"/>
    </w:pPr>
    <w:rPr>
      <w:b/>
    </w:rPr>
  </w:style>
  <w:style w:type="paragraph" w:customStyle="1" w:styleId="EPBody">
    <w:name w:val="EPBody"/>
    <w:basedOn w:val="Normal"/>
    <w:rsid w:val="00FF7C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7C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7C67"/>
    <w:pPr>
      <w:spacing w:before="480" w:after="240"/>
    </w:pPr>
  </w:style>
  <w:style w:type="paragraph" w:customStyle="1" w:styleId="Lgendesigne">
    <w:name w:val="Légende signe"/>
    <w:basedOn w:val="Normal"/>
    <w:rsid w:val="00FF7C67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FF7C67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FF7C67"/>
    <w:rPr>
      <w:sz w:val="18"/>
      <w:lang w:val="en-GB"/>
    </w:rPr>
  </w:style>
  <w:style w:type="character" w:styleId="Hyperlink">
    <w:name w:val="Hyperlink"/>
    <w:basedOn w:val="DefaultParagraphFont"/>
    <w:uiPriority w:val="99"/>
    <w:unhideWhenUsed/>
    <w:rsid w:val="00FF7C6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FF7C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C67"/>
    <w:rPr>
      <w:sz w:val="24"/>
      <w:lang w:val="fr-FR"/>
    </w:rPr>
  </w:style>
  <w:style w:type="character" w:customStyle="1" w:styleId="FooterChar1">
    <w:name w:val="Footer Char1"/>
    <w:basedOn w:val="DefaultParagraphFont"/>
    <w:semiHidden/>
    <w:rsid w:val="00FF7C67"/>
    <w:rPr>
      <w:sz w:val="24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FF7C67"/>
    <w:rPr>
      <w:noProof/>
      <w:sz w:val="24"/>
    </w:rPr>
  </w:style>
  <w:style w:type="paragraph" w:customStyle="1" w:styleId="Normal12">
    <w:name w:val="Normal12"/>
    <w:basedOn w:val="Normal"/>
    <w:link w:val="Normal12Char"/>
    <w:rsid w:val="00FF7C6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F7C67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FF7C67"/>
    <w:pPr>
      <w:spacing w:after="120"/>
    </w:pPr>
  </w:style>
  <w:style w:type="paragraph" w:customStyle="1" w:styleId="Normal12Italic">
    <w:name w:val="Normal12Italic"/>
    <w:basedOn w:val="Normal12"/>
    <w:rsid w:val="00FF7C67"/>
    <w:rPr>
      <w:i/>
      <w:lang w:val="fr-FR"/>
    </w:rPr>
  </w:style>
  <w:style w:type="paragraph" w:customStyle="1" w:styleId="EntPE">
    <w:name w:val="EntPE"/>
    <w:basedOn w:val="Normal12"/>
    <w:rsid w:val="00FF7C67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FF7C67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F7C6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F7C67"/>
  </w:style>
  <w:style w:type="paragraph" w:styleId="CommentSubject">
    <w:name w:val="annotation subject"/>
    <w:basedOn w:val="CommentText"/>
    <w:next w:val="CommentText"/>
    <w:link w:val="CommentSubjectChar"/>
    <w:unhideWhenUsed/>
    <w:rsid w:val="00FF7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C67"/>
    <w:rPr>
      <w:b/>
      <w:bCs/>
    </w:rPr>
  </w:style>
  <w:style w:type="paragraph" w:styleId="BalloonText">
    <w:name w:val="Balloon Text"/>
    <w:basedOn w:val="Normal"/>
    <w:link w:val="BalloonTextChar"/>
    <w:unhideWhenUsed/>
    <w:rsid w:val="00FF7C67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FF7C67"/>
    <w:rPr>
      <w:rFonts w:ascii="Segoe UI" w:hAnsi="Segoe UI" w:cs="Segoe UI"/>
      <w:sz w:val="18"/>
      <w:szCs w:val="18"/>
    </w:rPr>
  </w:style>
  <w:style w:type="paragraph" w:customStyle="1" w:styleId="AMNumberTabs0">
    <w:name w:val="AMNumberTabs"/>
    <w:basedOn w:val="Normal"/>
    <w:rsid w:val="00FF7C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F7C6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F7C67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FF7C67"/>
    <w:pPr>
      <w:ind w:left="357" w:hanging="357"/>
    </w:pPr>
    <w:rPr>
      <w:noProof w:val="0"/>
      <w:snapToGrid w:val="0"/>
    </w:rPr>
  </w:style>
  <w:style w:type="character" w:customStyle="1" w:styleId="FooterChar11">
    <w:name w:val="Footer Char11"/>
    <w:basedOn w:val="DefaultParagraphFont"/>
    <w:semiHidden/>
    <w:rsid w:val="00FF7C67"/>
    <w:rPr>
      <w:rFonts w:cs="Times New Roman"/>
      <w:sz w:val="24"/>
    </w:rPr>
  </w:style>
  <w:style w:type="paragraph" w:styleId="Index1">
    <w:name w:val="index 1"/>
    <w:basedOn w:val="Normal"/>
    <w:next w:val="Normal"/>
    <w:autoRedefine/>
    <w:unhideWhenUsed/>
    <w:rsid w:val="00FF7C67"/>
    <w:pPr>
      <w:widowControl/>
      <w:snapToGrid w:val="0"/>
    </w:pPr>
    <w:rPr>
      <w:lang w:val="en-GB"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FF7C67"/>
    <w:pPr>
      <w:ind w:left="720"/>
      <w:contextualSpacing/>
    </w:pPr>
    <w:rPr>
      <w:szCs w:val="24"/>
      <w:lang w:val="en-GB"/>
    </w:rPr>
  </w:style>
  <w:style w:type="paragraph" w:customStyle="1" w:styleId="JustificationTitle">
    <w:name w:val="JustificationTitle"/>
    <w:basedOn w:val="Normal"/>
    <w:next w:val="Normal"/>
    <w:rsid w:val="00FF7C67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FF7C67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FF7C6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FF7C67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uiPriority w:val="99"/>
    <w:rsid w:val="00FF7C67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FF7C67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1">
    <w:name w:val="Point 1"/>
    <w:basedOn w:val="Normal"/>
    <w:rsid w:val="00FF7C67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FF7C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FF7C67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FF7C67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FF7C67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FF7C67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FF7C67"/>
    <w:pPr>
      <w:snapToGrid w:val="0"/>
      <w:spacing w:before="120" w:after="120"/>
    </w:pPr>
    <w:rPr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FF7C67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FF7C67"/>
    <w:rPr>
      <w:sz w:val="24"/>
    </w:rPr>
  </w:style>
  <w:style w:type="character" w:customStyle="1" w:styleId="Sup">
    <w:name w:val="Sup"/>
    <w:uiPriority w:val="1"/>
    <w:qFormat/>
    <w:rsid w:val="00FF7C67"/>
    <w:rPr>
      <w:vertAlign w:val="superscript"/>
    </w:rPr>
  </w:style>
  <w:style w:type="character" w:customStyle="1" w:styleId="SupBoldItalic">
    <w:name w:val="SupBoldItalic"/>
    <w:uiPriority w:val="1"/>
    <w:qFormat/>
    <w:rsid w:val="00FF7C67"/>
    <w:rPr>
      <w:b/>
      <w:i/>
      <w:vertAlign w:val="superscript"/>
    </w:rPr>
  </w:style>
  <w:style w:type="paragraph" w:customStyle="1" w:styleId="LetterSubject">
    <w:name w:val="LetterSubject"/>
    <w:basedOn w:val="Normal"/>
    <w:rsid w:val="00FF7C67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FF7C67"/>
    <w:pPr>
      <w:spacing w:before="1320"/>
    </w:pPr>
    <w:rPr>
      <w:lang w:val="en-GB"/>
    </w:rPr>
  </w:style>
  <w:style w:type="paragraph" w:customStyle="1" w:styleId="LetterSalutation">
    <w:name w:val="LetterSalutation"/>
    <w:basedOn w:val="Normal"/>
    <w:rsid w:val="00FF7C67"/>
    <w:pPr>
      <w:spacing w:before="600" w:after="360"/>
    </w:pPr>
    <w:rPr>
      <w:lang w:val="en-GB"/>
    </w:rPr>
  </w:style>
  <w:style w:type="paragraph" w:customStyle="1" w:styleId="Default">
    <w:name w:val="Default"/>
    <w:rsid w:val="00FF7C67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eastAsia="en-US"/>
    </w:rPr>
  </w:style>
  <w:style w:type="paragraph" w:customStyle="1" w:styleId="Pointabc">
    <w:name w:val="Point abc"/>
    <w:basedOn w:val="Normal"/>
    <w:rsid w:val="00FF7C6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Pointabc1">
    <w:name w:val="Point abc (1)"/>
    <w:basedOn w:val="Normal"/>
    <w:rsid w:val="00FF7C6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val="en-GB" w:eastAsia="en-US"/>
    </w:rPr>
  </w:style>
  <w:style w:type="paragraph" w:customStyle="1" w:styleId="Pointabc2">
    <w:name w:val="Point abc (2)"/>
    <w:basedOn w:val="Normal"/>
    <w:rsid w:val="00FF7C6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val="en-GB" w:eastAsia="en-US"/>
    </w:rPr>
  </w:style>
  <w:style w:type="paragraph" w:customStyle="1" w:styleId="Pointabc3">
    <w:name w:val="Point abc (3)"/>
    <w:basedOn w:val="Normal"/>
    <w:rsid w:val="00FF7C6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val="en-GB" w:eastAsia="en-US"/>
    </w:rPr>
  </w:style>
  <w:style w:type="paragraph" w:customStyle="1" w:styleId="Pointabc4">
    <w:name w:val="Point abc (4)"/>
    <w:basedOn w:val="Normal"/>
    <w:rsid w:val="00FF7C67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val="en-GB" w:eastAsia="en-US"/>
    </w:rPr>
  </w:style>
  <w:style w:type="paragraph" w:customStyle="1" w:styleId="Point123">
    <w:name w:val="Point 123"/>
    <w:basedOn w:val="Normal"/>
    <w:rsid w:val="00FF7C6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Point1231">
    <w:name w:val="Point 123 (1)"/>
    <w:basedOn w:val="Normal"/>
    <w:rsid w:val="00FF7C67"/>
    <w:pPr>
      <w:widowControl/>
      <w:numPr>
        <w:ilvl w:val="7"/>
        <w:numId w:val="3"/>
      </w:numPr>
      <w:tabs>
        <w:tab w:val="clear" w:pos="2268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val="en-GB" w:eastAsia="en-US"/>
    </w:rPr>
  </w:style>
  <w:style w:type="paragraph" w:customStyle="1" w:styleId="Point1232">
    <w:name w:val="Point 123 (2)"/>
    <w:basedOn w:val="Normal"/>
    <w:rsid w:val="00FF7C67"/>
    <w:pPr>
      <w:widowControl/>
      <w:numPr>
        <w:ilvl w:val="8"/>
        <w:numId w:val="3"/>
      </w:numPr>
      <w:tabs>
        <w:tab w:val="clear" w:pos="2835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val="en-GB" w:eastAsia="en-US"/>
    </w:rPr>
  </w:style>
  <w:style w:type="paragraph" w:customStyle="1" w:styleId="Point1233">
    <w:name w:val="Point 123 (3)"/>
    <w:basedOn w:val="Normal"/>
    <w:rsid w:val="00FF7C67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character" w:customStyle="1" w:styleId="Nessuno">
    <w:name w:val="Nessuno"/>
    <w:rsid w:val="00FF7C67"/>
  </w:style>
  <w:style w:type="character" w:customStyle="1" w:styleId="outputecliaff">
    <w:name w:val="outputecliaff"/>
    <w:basedOn w:val="DefaultParagraphFont"/>
    <w:rsid w:val="00FF7C67"/>
  </w:style>
  <w:style w:type="character" w:customStyle="1" w:styleId="affairetitle">
    <w:name w:val="affaire_title"/>
    <w:basedOn w:val="DefaultParagraphFont"/>
    <w:rsid w:val="00FF7C67"/>
  </w:style>
  <w:style w:type="paragraph" w:customStyle="1" w:styleId="AmDocTypeTab">
    <w:name w:val="AmDocTypeTab"/>
    <w:basedOn w:val="Normal"/>
    <w:rsid w:val="004F05B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F05BA"/>
    <w:pPr>
      <w:spacing w:after="240"/>
      <w:jc w:val="center"/>
    </w:pPr>
  </w:style>
  <w:style w:type="paragraph" w:customStyle="1" w:styleId="AmDateTab">
    <w:name w:val="AmDateTab"/>
    <w:basedOn w:val="Normal"/>
    <w:rsid w:val="004F05B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F05B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F05BA"/>
  </w:style>
  <w:style w:type="paragraph" w:styleId="ListNumber">
    <w:name w:val="List Number"/>
    <w:basedOn w:val="Normal"/>
    <w:rsid w:val="004F05B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4F05BA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4F05B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4F05B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4F05B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4F05B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4F05BA"/>
    <w:rPr>
      <w:sz w:val="24"/>
      <w:szCs w:val="24"/>
    </w:rPr>
  </w:style>
  <w:style w:type="paragraph" w:customStyle="1" w:styleId="Caption1">
    <w:name w:val="Caption1"/>
    <w:basedOn w:val="Normal"/>
    <w:next w:val="Normal"/>
    <w:unhideWhenUsed/>
    <w:qFormat/>
    <w:rsid w:val="004F05B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4F05B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4F05BA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4F05BA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4F05B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4F05B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F05B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F05B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F05B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F05B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F05B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F05B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4F05BA"/>
    <w:pPr>
      <w:spacing w:before="120" w:after="120"/>
      <w:jc w:val="both"/>
    </w:pPr>
    <w:rPr>
      <w:lang w:val="fr-F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4F05BA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4F05BA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4F05BA"/>
    <w:pPr>
      <w:numPr>
        <w:numId w:val="10"/>
      </w:numPr>
      <w:tabs>
        <w:tab w:val="clear" w:pos="1560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F05BA"/>
    <w:pPr>
      <w:numPr>
        <w:ilvl w:val="1"/>
        <w:numId w:val="10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F05B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F05B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F05B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F05BA"/>
    <w:pPr>
      <w:numPr>
        <w:ilvl w:val="2"/>
        <w:numId w:val="10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F05B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F05B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F05B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F05BA"/>
    <w:pPr>
      <w:numPr>
        <w:ilvl w:val="3"/>
        <w:numId w:val="10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F05B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F05B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F05B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4F05B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4F05B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4F05B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4F05BA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4F05BA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4F05B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F05B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4F05B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4F05B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4F05B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4F05B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4F05BA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4F05BA"/>
    <w:rPr>
      <w:vanish/>
      <w:color w:val="800080"/>
      <w:vertAlign w:val="subscript"/>
    </w:rPr>
  </w:style>
  <w:style w:type="character" w:styleId="FollowedHyperlink">
    <w:name w:val="FollowedHyperlink"/>
    <w:rsid w:val="004F05BA"/>
    <w:rPr>
      <w:color w:val="800080"/>
      <w:u w:val="single"/>
    </w:rPr>
  </w:style>
  <w:style w:type="paragraph" w:customStyle="1" w:styleId="Sous-titreobjet">
    <w:name w:val="Sous-titre objet"/>
    <w:basedOn w:val="Normal"/>
    <w:rsid w:val="004F05B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4F05BA"/>
  </w:style>
  <w:style w:type="paragraph" w:styleId="Revision">
    <w:name w:val="Revision"/>
    <w:hidden/>
    <w:uiPriority w:val="99"/>
    <w:semiHidden/>
    <w:rsid w:val="004F05BA"/>
    <w:pPr>
      <w:spacing w:after="200" w:line="276" w:lineRule="auto"/>
    </w:pPr>
    <w:rPr>
      <w:rFonts w:ascii="Calibri" w:eastAsia="Calibri" w:hAnsi="Calibri"/>
      <w:sz w:val="24"/>
      <w:szCs w:val="22"/>
      <w:lang w:val="fr-FR"/>
    </w:rPr>
  </w:style>
  <w:style w:type="paragraph" w:customStyle="1" w:styleId="FooterCoverPage">
    <w:name w:val="Footer Cover Page"/>
    <w:basedOn w:val="Normal"/>
    <w:link w:val="FooterCoverPageChar"/>
    <w:rsid w:val="004F05B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4F05BA"/>
    <w:rPr>
      <w:rFonts w:ascii="Times New Roman" w:hAnsi="Times New Roman" w:cs="Times New Roman"/>
      <w:b/>
      <w:sz w:val="28"/>
      <w:lang w:val="fr-FR"/>
    </w:rPr>
  </w:style>
  <w:style w:type="character" w:customStyle="1" w:styleId="FooterCoverPageChar">
    <w:name w:val="Footer Cover Page Char"/>
    <w:link w:val="FooterCoverPage"/>
    <w:rsid w:val="004F05BA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4F05B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F05BA"/>
    <w:rPr>
      <w:rFonts w:eastAsia="Calibri"/>
      <w:sz w:val="24"/>
      <w:szCs w:val="22"/>
      <w:lang w:val="fr-FR"/>
    </w:rPr>
  </w:style>
  <w:style w:type="paragraph" w:customStyle="1" w:styleId="ti-art">
    <w:name w:val="ti-art"/>
    <w:basedOn w:val="Normal"/>
    <w:rsid w:val="004F05B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4F05B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4F05B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4F05BA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4F05BA"/>
  </w:style>
  <w:style w:type="paragraph" w:customStyle="1" w:styleId="Point">
    <w:name w:val="Point"/>
    <w:basedOn w:val="NumPar1"/>
    <w:rsid w:val="004F05BA"/>
  </w:style>
  <w:style w:type="paragraph" w:customStyle="1" w:styleId="Pointletter">
    <w:name w:val="Point letter"/>
    <w:basedOn w:val="Point"/>
    <w:rsid w:val="004F05BA"/>
  </w:style>
  <w:style w:type="paragraph" w:customStyle="1" w:styleId="Numpar">
    <w:name w:val="Num par"/>
    <w:basedOn w:val="Text1"/>
    <w:rsid w:val="004F05BA"/>
  </w:style>
  <w:style w:type="paragraph" w:styleId="TOC4">
    <w:name w:val="toc 4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F05BA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F05B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F05B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F05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F05B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F05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4F05B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F05B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F05B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F05B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F05B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F05B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F05B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F05B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F05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F05B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F05B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F05B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F05BA"/>
    <w:pPr>
      <w:numPr>
        <w:numId w:val="11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4F05BA"/>
    <w:pPr>
      <w:numPr>
        <w:numId w:val="12"/>
      </w:numPr>
      <w:tabs>
        <w:tab w:val="clear" w:pos="1417"/>
        <w:tab w:val="num" w:pos="1440"/>
      </w:tabs>
      <w:ind w:left="1440" w:hanging="360"/>
    </w:pPr>
    <w:rPr>
      <w:rFonts w:eastAsia="Calibri"/>
      <w:lang w:val="fr-FR"/>
    </w:rPr>
  </w:style>
  <w:style w:type="paragraph" w:customStyle="1" w:styleId="Tiret2">
    <w:name w:val="Tiret 2"/>
    <w:basedOn w:val="Point2"/>
    <w:rsid w:val="004F05BA"/>
    <w:pPr>
      <w:numPr>
        <w:numId w:val="13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4F05BA"/>
    <w:pPr>
      <w:numPr>
        <w:numId w:val="14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4F05BA"/>
    <w:pPr>
      <w:numPr>
        <w:numId w:val="15"/>
      </w:numPr>
      <w:tabs>
        <w:tab w:val="clear" w:pos="3118"/>
        <w:tab w:val="num" w:pos="1800"/>
      </w:tabs>
      <w:ind w:left="1800" w:hanging="360"/>
    </w:pPr>
  </w:style>
  <w:style w:type="paragraph" w:customStyle="1" w:styleId="PointDouble0">
    <w:name w:val="PointDouble 0"/>
    <w:basedOn w:val="Normal"/>
    <w:rsid w:val="004F05B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F05B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F05B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F05B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F05B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F05B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F05B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F05B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F05B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F05B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F05BA"/>
    <w:pPr>
      <w:widowControl/>
      <w:numPr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F05BA"/>
    <w:pPr>
      <w:widowControl/>
      <w:numPr>
        <w:ilvl w:val="1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F05BA"/>
    <w:pPr>
      <w:widowControl/>
      <w:numPr>
        <w:ilvl w:val="2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F05BA"/>
    <w:pPr>
      <w:widowControl/>
      <w:numPr>
        <w:ilvl w:val="3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F05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F05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F05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F05B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F05B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F05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F05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F05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F05B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F05B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F05B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4F05B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F05B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F05B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F05BA"/>
    <w:pPr>
      <w:widowControl/>
      <w:numPr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F05BA"/>
    <w:pPr>
      <w:widowControl/>
      <w:numPr>
        <w:ilvl w:val="2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F05BA"/>
    <w:pPr>
      <w:widowControl/>
      <w:numPr>
        <w:ilvl w:val="4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F05BA"/>
    <w:pPr>
      <w:widowControl/>
      <w:numPr>
        <w:ilvl w:val="6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F05BA"/>
    <w:pPr>
      <w:widowControl/>
      <w:numPr>
        <w:ilvl w:val="1"/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F05BA"/>
    <w:pPr>
      <w:widowControl/>
      <w:numPr>
        <w:ilvl w:val="3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F05BA"/>
    <w:pPr>
      <w:widowControl/>
      <w:numPr>
        <w:ilvl w:val="5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F05BA"/>
    <w:pPr>
      <w:widowControl/>
      <w:numPr>
        <w:ilvl w:val="7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F05BA"/>
    <w:pPr>
      <w:widowControl/>
      <w:numPr>
        <w:ilvl w:val="8"/>
        <w:numId w:val="1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F05BA"/>
    <w:pPr>
      <w:widowControl/>
      <w:numPr>
        <w:numId w:val="17"/>
      </w:numPr>
      <w:tabs>
        <w:tab w:val="clear" w:pos="850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F05BA"/>
    <w:pPr>
      <w:widowControl/>
      <w:numPr>
        <w:numId w:val="18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F05BA"/>
    <w:pPr>
      <w:widowControl/>
      <w:numPr>
        <w:numId w:val="19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F05BA"/>
    <w:pPr>
      <w:widowControl/>
      <w:numPr>
        <w:numId w:val="20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F05BA"/>
    <w:pPr>
      <w:widowControl/>
      <w:numPr>
        <w:numId w:val="21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F05B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F05B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F05B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F05B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F05B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F05B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F05B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F05B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F05B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F05B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F05B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F05B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F05B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F05B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F05BA"/>
    <w:pPr>
      <w:widowControl/>
      <w:numPr>
        <w:numId w:val="22"/>
      </w:numPr>
      <w:tabs>
        <w:tab w:val="clear" w:pos="709"/>
        <w:tab w:val="num" w:pos="1560"/>
      </w:tabs>
      <w:spacing w:before="120" w:after="120"/>
      <w:ind w:left="15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F05B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F05B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F05B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F05B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F05B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F05B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F05B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F05B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F05B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F05B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F05B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F05B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F05B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4F05B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F05B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F05B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F05B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F05B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F05B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4F05B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F05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F05B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F05BA"/>
  </w:style>
  <w:style w:type="paragraph" w:customStyle="1" w:styleId="StatutPagedecouverture">
    <w:name w:val="Statut (Page de couverture)"/>
    <w:basedOn w:val="Statut"/>
    <w:next w:val="TypedudocumentPagedecouverture"/>
    <w:rsid w:val="004F05BA"/>
  </w:style>
  <w:style w:type="paragraph" w:customStyle="1" w:styleId="TitreobjetPagedecouverture">
    <w:name w:val="Titre objet (Page de couverture)"/>
    <w:basedOn w:val="Titreobjet"/>
    <w:next w:val="IntrtEEEPagedecouverture"/>
    <w:rsid w:val="004F05B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F05BA"/>
  </w:style>
  <w:style w:type="paragraph" w:customStyle="1" w:styleId="Volume">
    <w:name w:val="Volume"/>
    <w:basedOn w:val="Normal"/>
    <w:next w:val="Confidentialit"/>
    <w:rsid w:val="004F05B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F05BA"/>
    <w:pPr>
      <w:spacing w:after="240"/>
    </w:pPr>
  </w:style>
  <w:style w:type="paragraph" w:customStyle="1" w:styleId="Accompagnant">
    <w:name w:val="Accompagnant"/>
    <w:basedOn w:val="Normal"/>
    <w:next w:val="Typeacteprincipal"/>
    <w:rsid w:val="004F05B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F05B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F05B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F05BA"/>
  </w:style>
  <w:style w:type="paragraph" w:customStyle="1" w:styleId="AccompagnantPagedecouverture">
    <w:name w:val="Accompagnant (Page de couverture)"/>
    <w:basedOn w:val="Accompagnant"/>
    <w:next w:val="TypeacteprincipalPagedecouverture"/>
    <w:rsid w:val="004F05B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F05BA"/>
  </w:style>
  <w:style w:type="paragraph" w:customStyle="1" w:styleId="ObjetacteprincipalPagedecouverture">
    <w:name w:val="Objet acte principal (Page de couverture)"/>
    <w:basedOn w:val="Objetacteprincipal"/>
    <w:next w:val="Rfrencecroise"/>
    <w:rsid w:val="004F05BA"/>
  </w:style>
  <w:style w:type="paragraph" w:customStyle="1" w:styleId="LanguesfaisantfoiPagedecouverture">
    <w:name w:val="Langues faisant foi (Page de couverture)"/>
    <w:basedOn w:val="Normal"/>
    <w:next w:val="Normal"/>
    <w:rsid w:val="004F05B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F05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F05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F05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F05B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F05B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F05B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4F05BA"/>
    <w:pPr>
      <w:numPr>
        <w:numId w:val="23"/>
      </w:numPr>
      <w:tabs>
        <w:tab w:val="clear" w:pos="3685"/>
        <w:tab w:val="num" w:pos="1417"/>
      </w:tabs>
      <w:ind w:left="1417"/>
    </w:pPr>
  </w:style>
  <w:style w:type="paragraph" w:customStyle="1" w:styleId="NumPar5">
    <w:name w:val="NumPar 5"/>
    <w:basedOn w:val="Normal"/>
    <w:next w:val="Text2"/>
    <w:rsid w:val="004F05BA"/>
    <w:pPr>
      <w:widowControl/>
      <w:numPr>
        <w:ilvl w:val="4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F05BA"/>
    <w:pPr>
      <w:widowControl/>
      <w:numPr>
        <w:ilvl w:val="5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F05BA"/>
    <w:pPr>
      <w:widowControl/>
      <w:numPr>
        <w:ilvl w:val="6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F05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F05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F05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4F05BA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4F05BA"/>
    <w:rPr>
      <w:i/>
      <w:iCs/>
    </w:rPr>
  </w:style>
  <w:style w:type="character" w:customStyle="1" w:styleId="sdzsvb">
    <w:name w:val="sdzsvb"/>
    <w:basedOn w:val="DefaultParagraphFont"/>
    <w:rsid w:val="004F05B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0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84AD9-1EE3-4B7B-A91F-16A797975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2024-09-09T13:51:00Z</dcterms:created>
  <dcterms:modified xsi:type="dcterms:W3CDTF">2024-09-09T13:51:00Z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