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6B71" w14:paraId="5CECB1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13097E" w14:textId="77777777" w:rsidR="00751A4A" w:rsidRPr="00BE6B71" w:rsidRDefault="00FE5DB5" w:rsidP="0010095E">
            <w:pPr>
              <w:pStyle w:val="EPName"/>
            </w:pPr>
            <w:r w:rsidRPr="00BE6B71">
              <w:t>Eiropas Parlaments</w:t>
            </w:r>
          </w:p>
          <w:p w14:paraId="046004BD" w14:textId="77777777" w:rsidR="00751A4A" w:rsidRPr="00BE6B7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21C6">
              <w:t>2019</w:t>
            </w:r>
            <w:r w:rsidRPr="00BE6B71">
              <w:t>-</w:t>
            </w:r>
            <w:r w:rsidRPr="000521C6">
              <w:t>2024</w:t>
            </w:r>
          </w:p>
        </w:tc>
        <w:tc>
          <w:tcPr>
            <w:tcW w:w="2268" w:type="dxa"/>
            <w:shd w:val="clear" w:color="auto" w:fill="auto"/>
          </w:tcPr>
          <w:p w14:paraId="72A27197" w14:textId="77777777" w:rsidR="00751A4A" w:rsidRPr="00BE6B71" w:rsidRDefault="00187494" w:rsidP="0010095E">
            <w:pPr>
              <w:pStyle w:val="EPLogo"/>
            </w:pPr>
            <w:r w:rsidRPr="00BE6B71">
              <w:rPr>
                <w:noProof/>
                <w:lang w:val="en-GB"/>
              </w:rPr>
              <w:drawing>
                <wp:inline distT="0" distB="0" distL="0" distR="0" wp14:anchorId="31314968" wp14:editId="4AD9FA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5421D1" w14:textId="77777777" w:rsidR="00D058B8" w:rsidRPr="00BE6B71" w:rsidRDefault="00D058B8" w:rsidP="004C5D52">
      <w:pPr>
        <w:pStyle w:val="LineTop"/>
      </w:pPr>
    </w:p>
    <w:p w14:paraId="59A23F2B" w14:textId="77777777" w:rsidR="00680577" w:rsidRPr="00BE6B71" w:rsidRDefault="00FE5DB5" w:rsidP="00680577">
      <w:pPr>
        <w:pStyle w:val="EPBodyTA1"/>
      </w:pPr>
      <w:r w:rsidRPr="00BE6B71">
        <w:t>PIEŅEMTIE TEKSTI</w:t>
      </w:r>
    </w:p>
    <w:p w14:paraId="405E325B" w14:textId="77777777" w:rsidR="00D058B8" w:rsidRPr="00BE6B71" w:rsidRDefault="00D058B8" w:rsidP="00D058B8">
      <w:pPr>
        <w:pStyle w:val="LineBottom"/>
      </w:pPr>
    </w:p>
    <w:p w14:paraId="78BEAFD0" w14:textId="2E933ACF" w:rsidR="00FE5DB5" w:rsidRPr="00BE6B71" w:rsidRDefault="00FE5DB5" w:rsidP="00FE5DB5">
      <w:pPr>
        <w:pStyle w:val="ATHeading1"/>
      </w:pPr>
      <w:bookmarkStart w:id="0" w:name="TANumber"/>
      <w:r w:rsidRPr="00BE6B71">
        <w:t>P</w:t>
      </w:r>
      <w:r w:rsidRPr="000521C6">
        <w:t>9</w:t>
      </w:r>
      <w:r w:rsidRPr="00BE6B71">
        <w:t>_TA(</w:t>
      </w:r>
      <w:r w:rsidRPr="000521C6">
        <w:t>2024</w:t>
      </w:r>
      <w:r w:rsidRPr="00BE6B71">
        <w:t>)</w:t>
      </w:r>
      <w:r w:rsidRPr="000521C6">
        <w:t>0</w:t>
      </w:r>
      <w:r w:rsidR="00BE6B71" w:rsidRPr="000521C6">
        <w:t>338</w:t>
      </w:r>
      <w:bookmarkEnd w:id="0"/>
    </w:p>
    <w:p w14:paraId="466BA7D6" w14:textId="77777777" w:rsidR="00FE5DB5" w:rsidRPr="00BE6B71" w:rsidRDefault="00784358" w:rsidP="00FE5DB5">
      <w:pPr>
        <w:pStyle w:val="ATHeading2"/>
      </w:pPr>
      <w:bookmarkStart w:id="1" w:name="title"/>
      <w:r w:rsidRPr="00BE6B71">
        <w:t>Vardarbības pret sievietēm un vardarbības ģimenē apkarošana</w:t>
      </w:r>
      <w:bookmarkEnd w:id="1"/>
    </w:p>
    <w:p w14:paraId="2B129E86" w14:textId="7A0EC2C9" w:rsidR="00FE5DB5" w:rsidRPr="00BE6B71" w:rsidRDefault="00FE5DB5" w:rsidP="00FE5DB5">
      <w:pPr>
        <w:rPr>
          <w:i/>
          <w:vanish/>
        </w:rPr>
      </w:pPr>
      <w:r w:rsidRPr="00BE6B71">
        <w:rPr>
          <w:i/>
        </w:rPr>
        <w:fldChar w:fldCharType="begin"/>
      </w:r>
      <w:r w:rsidRPr="00BE6B71">
        <w:rPr>
          <w:i/>
        </w:rPr>
        <w:instrText xml:space="preserve"> TC"(</w:instrText>
      </w:r>
      <w:bookmarkStart w:id="2" w:name="DocNumber"/>
      <w:r w:rsidRPr="00BE6B71">
        <w:rPr>
          <w:i/>
        </w:rPr>
        <w:instrText>A</w:instrText>
      </w:r>
      <w:r w:rsidRPr="000521C6">
        <w:rPr>
          <w:i/>
        </w:rPr>
        <w:instrText>9</w:instrText>
      </w:r>
      <w:r w:rsidRPr="00BE6B71">
        <w:rPr>
          <w:i/>
        </w:rPr>
        <w:instrText>-</w:instrText>
      </w:r>
      <w:r w:rsidRPr="000521C6">
        <w:rPr>
          <w:i/>
        </w:rPr>
        <w:instrText>0234</w:instrText>
      </w:r>
      <w:r w:rsidRPr="00BE6B71">
        <w:rPr>
          <w:i/>
        </w:rPr>
        <w:instrText>/</w:instrText>
      </w:r>
      <w:r w:rsidRPr="000521C6">
        <w:rPr>
          <w:i/>
        </w:rPr>
        <w:instrText>2023</w:instrText>
      </w:r>
      <w:bookmarkEnd w:id="2"/>
      <w:r w:rsidRPr="00BE6B71">
        <w:rPr>
          <w:i/>
        </w:rPr>
        <w:instrText xml:space="preserve"> - Referentes:</w:instrText>
      </w:r>
      <w:r w:rsidR="004648AF" w:rsidRPr="00BE6B71">
        <w:rPr>
          <w:i/>
        </w:rPr>
        <w:instrText xml:space="preserve"> </w:instrText>
      </w:r>
      <w:proofErr w:type="spellStart"/>
      <w:r w:rsidRPr="00BE6B71">
        <w:rPr>
          <w:i/>
        </w:rPr>
        <w:instrText>Evin</w:instrText>
      </w:r>
      <w:proofErr w:type="spellEnd"/>
      <w:r w:rsidRPr="00BE6B71">
        <w:rPr>
          <w:i/>
        </w:rPr>
        <w:instrText xml:space="preserve"> </w:instrText>
      </w:r>
      <w:proofErr w:type="spellStart"/>
      <w:r w:rsidRPr="00BE6B71">
        <w:rPr>
          <w:i/>
        </w:rPr>
        <w:instrText>Incir</w:instrText>
      </w:r>
      <w:proofErr w:type="spellEnd"/>
      <w:r w:rsidR="004648AF" w:rsidRPr="00BE6B71">
        <w:rPr>
          <w:i/>
        </w:rPr>
        <w:instrText xml:space="preserve">, </w:instrText>
      </w:r>
      <w:proofErr w:type="spellStart"/>
      <w:r w:rsidR="004648AF" w:rsidRPr="00BE6B71">
        <w:rPr>
          <w:i/>
        </w:rPr>
        <w:instrText>Frances</w:instrText>
      </w:r>
      <w:proofErr w:type="spellEnd"/>
      <w:r w:rsidR="004648AF" w:rsidRPr="00BE6B71">
        <w:rPr>
          <w:i/>
        </w:rPr>
        <w:instrText xml:space="preserve"> </w:instrText>
      </w:r>
      <w:proofErr w:type="spellStart"/>
      <w:r w:rsidR="004648AF" w:rsidRPr="00BE6B71">
        <w:rPr>
          <w:i/>
        </w:rPr>
        <w:instrText>Fitzgerald</w:instrText>
      </w:r>
      <w:proofErr w:type="spellEnd"/>
      <w:r w:rsidRPr="00BE6B71">
        <w:rPr>
          <w:i/>
        </w:rPr>
        <w:instrText>)"\l</w:instrText>
      </w:r>
      <w:r w:rsidRPr="000521C6">
        <w:rPr>
          <w:i/>
        </w:rPr>
        <w:instrText>3</w:instrText>
      </w:r>
      <w:r w:rsidRPr="00BE6B71">
        <w:rPr>
          <w:i/>
        </w:rPr>
        <w:instrText xml:space="preserve"> \n&gt; \* MERGEFORMAT </w:instrText>
      </w:r>
      <w:r w:rsidRPr="00BE6B71">
        <w:rPr>
          <w:i/>
        </w:rPr>
        <w:fldChar w:fldCharType="end"/>
      </w:r>
    </w:p>
    <w:p w14:paraId="04585619" w14:textId="23539062" w:rsidR="00FE5DB5" w:rsidRPr="00BE6B71" w:rsidRDefault="00FE5DB5" w:rsidP="00FE5DB5">
      <w:pPr>
        <w:rPr>
          <w:vanish/>
        </w:rPr>
      </w:pPr>
      <w:bookmarkStart w:id="3" w:name="Commission"/>
      <w:r w:rsidRPr="00BE6B71">
        <w:rPr>
          <w:vanish/>
        </w:rPr>
        <w:t xml:space="preserve">Pilsoņu brīvību, tieslietu un </w:t>
      </w:r>
      <w:proofErr w:type="spellStart"/>
      <w:r w:rsidRPr="00BE6B71">
        <w:rPr>
          <w:vanish/>
        </w:rPr>
        <w:t>iekšlietu</w:t>
      </w:r>
      <w:proofErr w:type="spellEnd"/>
      <w:r w:rsidRPr="00BE6B71">
        <w:rPr>
          <w:vanish/>
        </w:rPr>
        <w:t xml:space="preserve"> </w:t>
      </w:r>
      <w:r w:rsidR="0016714F" w:rsidRPr="00BE6B71">
        <w:rPr>
          <w:vanish/>
        </w:rPr>
        <w:t>komiteja, Sieviešu tiesību un dzimumu līdztiesības komiteja</w:t>
      </w:r>
      <w:bookmarkEnd w:id="3"/>
    </w:p>
    <w:p w14:paraId="4BEBA146" w14:textId="77777777" w:rsidR="00FE5DB5" w:rsidRPr="00BE6B71" w:rsidRDefault="00FE5DB5" w:rsidP="00FE5DB5">
      <w:pPr>
        <w:rPr>
          <w:vanish/>
        </w:rPr>
      </w:pPr>
      <w:bookmarkStart w:id="4" w:name="PE"/>
      <w:r w:rsidRPr="00BE6B71">
        <w:rPr>
          <w:vanish/>
        </w:rPr>
        <w:t>PE</w:t>
      </w:r>
      <w:r w:rsidRPr="000521C6">
        <w:rPr>
          <w:vanish/>
        </w:rPr>
        <w:t>739</w:t>
      </w:r>
      <w:r w:rsidRPr="00BE6B71">
        <w:rPr>
          <w:vanish/>
        </w:rPr>
        <w:t>.</w:t>
      </w:r>
      <w:r w:rsidRPr="000521C6">
        <w:rPr>
          <w:vanish/>
        </w:rPr>
        <w:t>730</w:t>
      </w:r>
      <w:bookmarkEnd w:id="4"/>
    </w:p>
    <w:p w14:paraId="2996CA01" w14:textId="70A74E46" w:rsidR="00FE5DB5" w:rsidRPr="00BE6B71" w:rsidRDefault="00FE5DB5" w:rsidP="00FE5DB5">
      <w:pPr>
        <w:pStyle w:val="ATHeading3"/>
      </w:pPr>
      <w:bookmarkStart w:id="5" w:name="Sujet"/>
      <w:r w:rsidRPr="00BE6B71">
        <w:t xml:space="preserve">Eiropas Parlamenta </w:t>
      </w:r>
      <w:r w:rsidRPr="000521C6">
        <w:t>2024</w:t>
      </w:r>
      <w:r w:rsidRPr="00BE6B71">
        <w:t xml:space="preserve">. gada </w:t>
      </w:r>
      <w:r w:rsidR="00784358" w:rsidRPr="000521C6">
        <w:t>24</w:t>
      </w:r>
      <w:r w:rsidR="00784358" w:rsidRPr="00BE6B71">
        <w:t>. aprīļa</w:t>
      </w:r>
      <w:r w:rsidRPr="00BE6B71">
        <w:t xml:space="preserve"> normatīvā rezolūcija par priekšlikumu Eiropas Parlamenta un Padomes direktīvai </w:t>
      </w:r>
      <w:bookmarkEnd w:id="5"/>
      <w:r w:rsidR="00DF2C21" w:rsidRPr="00181C6A">
        <w:rPr>
          <w:noProof/>
        </w:rPr>
        <w:t>par vardarbības pret sievietēm un vardarbības ģimenē apkarošanu</w:t>
      </w:r>
      <w:r w:rsidRPr="00BE6B71">
        <w:t xml:space="preserve"> </w:t>
      </w:r>
      <w:bookmarkStart w:id="6" w:name="References"/>
      <w:r w:rsidRPr="00BE6B71">
        <w:t>(COM(</w:t>
      </w:r>
      <w:r w:rsidRPr="000521C6">
        <w:t>2022</w:t>
      </w:r>
      <w:r w:rsidRPr="00BE6B71">
        <w:t>)</w:t>
      </w:r>
      <w:r w:rsidRPr="000521C6">
        <w:t>0105</w:t>
      </w:r>
      <w:r w:rsidRPr="00BE6B71">
        <w:t xml:space="preserve"> – C</w:t>
      </w:r>
      <w:r w:rsidRPr="000521C6">
        <w:t>9</w:t>
      </w:r>
      <w:r w:rsidRPr="00BE6B71">
        <w:t>-</w:t>
      </w:r>
      <w:r w:rsidRPr="000521C6">
        <w:t>0058</w:t>
      </w:r>
      <w:r w:rsidRPr="00BE6B71">
        <w:t>/</w:t>
      </w:r>
      <w:r w:rsidRPr="000521C6">
        <w:t>2022</w:t>
      </w:r>
      <w:r w:rsidRPr="00BE6B71">
        <w:t xml:space="preserve"> – </w:t>
      </w:r>
      <w:r w:rsidRPr="000521C6">
        <w:t>2022</w:t>
      </w:r>
      <w:r w:rsidRPr="00BE6B71">
        <w:t>/</w:t>
      </w:r>
      <w:r w:rsidRPr="000521C6">
        <w:t>0066</w:t>
      </w:r>
      <w:r w:rsidRPr="00BE6B71">
        <w:t>(COD))</w:t>
      </w:r>
      <w:bookmarkEnd w:id="6"/>
    </w:p>
    <w:p w14:paraId="68FD5D2B" w14:textId="77777777" w:rsidR="00A77DCB" w:rsidRPr="00BE6B71" w:rsidRDefault="00A77DCB" w:rsidP="00A77DCB">
      <w:pPr>
        <w:pStyle w:val="NormalBold"/>
      </w:pPr>
      <w:bookmarkStart w:id="7" w:name="TextBodyBegin"/>
      <w:bookmarkEnd w:id="7"/>
      <w:r w:rsidRPr="00BE6B71">
        <w:t>(Parastā likumdošanas procedūra: pirmais lasījums)</w:t>
      </w:r>
    </w:p>
    <w:p w14:paraId="5AEC1C7A" w14:textId="77777777" w:rsidR="00A77DCB" w:rsidRPr="00BE6B71" w:rsidRDefault="00A77DCB" w:rsidP="00A77DCB">
      <w:pPr>
        <w:pStyle w:val="EPComma"/>
      </w:pPr>
      <w:r w:rsidRPr="00BE6B71">
        <w:rPr>
          <w:i/>
        </w:rPr>
        <w:t>Eiropas Parlaments</w:t>
      </w:r>
      <w:r w:rsidRPr="00BE6B71">
        <w:t>,</w:t>
      </w:r>
    </w:p>
    <w:p w14:paraId="2F0D56B4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>ņemot vērā Komisijas priekšlikumu Eiropas Parlamentam un Padomei (COM(</w:t>
      </w:r>
      <w:r w:rsidRPr="000521C6">
        <w:t>2022</w:t>
      </w:r>
      <w:r w:rsidRPr="00BE6B71">
        <w:t>)</w:t>
      </w:r>
      <w:r w:rsidRPr="000521C6">
        <w:t>0105</w:t>
      </w:r>
      <w:r w:rsidRPr="00BE6B71">
        <w:t>),</w:t>
      </w:r>
    </w:p>
    <w:p w14:paraId="2DC3FDD3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 xml:space="preserve">ņemot vērā Līguma par Eiropas Savienības darbību </w:t>
      </w:r>
      <w:r w:rsidRPr="000521C6">
        <w:t>294</w:t>
      </w:r>
      <w:r w:rsidRPr="00BE6B71">
        <w:t xml:space="preserve">. panta </w:t>
      </w:r>
      <w:r w:rsidRPr="000521C6">
        <w:t>2</w:t>
      </w:r>
      <w:r w:rsidRPr="00BE6B71">
        <w:t xml:space="preserve">. punktu, </w:t>
      </w:r>
      <w:r w:rsidRPr="000521C6">
        <w:t>82</w:t>
      </w:r>
      <w:r w:rsidRPr="00BE6B71">
        <w:t xml:space="preserve">. panta </w:t>
      </w:r>
      <w:r w:rsidRPr="000521C6">
        <w:t>2</w:t>
      </w:r>
      <w:r w:rsidRPr="00BE6B71">
        <w:t xml:space="preserve">. punktu un </w:t>
      </w:r>
      <w:r w:rsidRPr="000521C6">
        <w:t>83</w:t>
      </w:r>
      <w:r w:rsidRPr="00BE6B71">
        <w:t xml:space="preserve">. panta </w:t>
      </w:r>
      <w:r w:rsidRPr="000521C6">
        <w:t>1</w:t>
      </w:r>
      <w:r w:rsidRPr="00BE6B71">
        <w:t>. punktu, saskaņā ar kuriem Komisija tam ir iesniegusi priekšlikumu (C</w:t>
      </w:r>
      <w:r w:rsidRPr="000521C6">
        <w:t>9</w:t>
      </w:r>
      <w:r w:rsidRPr="00BE6B71">
        <w:noBreakHyphen/>
      </w:r>
      <w:r w:rsidRPr="000521C6">
        <w:t>0058</w:t>
      </w:r>
      <w:r w:rsidRPr="00BE6B71">
        <w:t>/</w:t>
      </w:r>
      <w:r w:rsidRPr="000521C6">
        <w:t>2022</w:t>
      </w:r>
      <w:r w:rsidRPr="00BE6B71">
        <w:t>),</w:t>
      </w:r>
    </w:p>
    <w:p w14:paraId="52ED579A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>ņemot vērā Juridiskās komitejas atzinumu par ierosināto juridisko pamatu,</w:t>
      </w:r>
    </w:p>
    <w:p w14:paraId="76468183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 xml:space="preserve">ņemot vērā Līguma par Eiropas Savienības darbību </w:t>
      </w:r>
      <w:r w:rsidRPr="000521C6">
        <w:t>294</w:t>
      </w:r>
      <w:r w:rsidRPr="00BE6B71">
        <w:t xml:space="preserve">. panta </w:t>
      </w:r>
      <w:r w:rsidRPr="000521C6">
        <w:t>3</w:t>
      </w:r>
      <w:r w:rsidRPr="00BE6B71">
        <w:t>. punktu,</w:t>
      </w:r>
    </w:p>
    <w:p w14:paraId="09E3853D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>ņemot vērā pamatoto atzinumu, kuru saskaņā ar Protokolu Nr. </w:t>
      </w:r>
      <w:r w:rsidRPr="000521C6">
        <w:t>2</w:t>
      </w:r>
      <w:r w:rsidRPr="00BE6B71">
        <w:t xml:space="preserve"> par subsidiaritātes principa un proporcionalitātes principa piemērošanu iesniegusi Čehijas parlamenta Deputātu palāta un kurā norādīts, ka leģislatīvā akta projekts neatbilst subsidiaritātes principam,</w:t>
      </w:r>
    </w:p>
    <w:p w14:paraId="787B385E" w14:textId="77777777" w:rsidR="00784358" w:rsidRPr="00BE6B71" w:rsidRDefault="00784358" w:rsidP="00784358">
      <w:pPr>
        <w:pStyle w:val="NormalHanging12a"/>
      </w:pPr>
      <w:r w:rsidRPr="00BE6B71">
        <w:t>–</w:t>
      </w:r>
      <w:r w:rsidRPr="00BE6B71">
        <w:tab/>
        <w:t xml:space="preserve">ņemot vērā Eiropas Ekonomikas un sociālo lietu komitejas </w:t>
      </w:r>
      <w:r w:rsidRPr="000521C6">
        <w:t>2022</w:t>
      </w:r>
      <w:r w:rsidRPr="00BE6B71">
        <w:t xml:space="preserve">. gada </w:t>
      </w:r>
      <w:r w:rsidRPr="000521C6">
        <w:t>13</w:t>
      </w:r>
      <w:r w:rsidRPr="00BE6B71">
        <w:t>. jūlija atzinumu</w:t>
      </w:r>
      <w:r w:rsidRPr="00BE6B71">
        <w:rPr>
          <w:rStyle w:val="FootnoteReference"/>
        </w:rPr>
        <w:footnoteReference w:id="1"/>
      </w:r>
      <w:r w:rsidRPr="00BE6B71">
        <w:t>,</w:t>
      </w:r>
    </w:p>
    <w:p w14:paraId="2A2E6BBB" w14:textId="77777777" w:rsidR="00784358" w:rsidRPr="00BE6B71" w:rsidRDefault="00784358" w:rsidP="00784358">
      <w:pPr>
        <w:spacing w:after="240"/>
        <w:ind w:left="567" w:hanging="567"/>
      </w:pPr>
      <w:r w:rsidRPr="00BE6B71">
        <w:t>–</w:t>
      </w:r>
      <w:r w:rsidRPr="00BE6B71">
        <w:tab/>
        <w:t xml:space="preserve">ņemot vērā provizorisko vienošanos, ko atbildīgā komiteja apstiprināja saskaņā ar Reglamenta </w:t>
      </w:r>
      <w:r w:rsidRPr="000521C6">
        <w:t>74</w:t>
      </w:r>
      <w:r w:rsidRPr="00BE6B71">
        <w:t xml:space="preserve">. panta </w:t>
      </w:r>
      <w:r w:rsidRPr="000521C6">
        <w:t>4</w:t>
      </w:r>
      <w:r w:rsidRPr="00BE6B71">
        <w:t xml:space="preserve">. punktu, un Padomes pārstāvja </w:t>
      </w:r>
      <w:r w:rsidRPr="000521C6">
        <w:t>2024</w:t>
      </w:r>
      <w:r w:rsidRPr="00BE6B71">
        <w:t xml:space="preserve">. gada </w:t>
      </w:r>
      <w:r w:rsidRPr="000521C6">
        <w:t>14</w:t>
      </w:r>
      <w:r w:rsidRPr="00BE6B71">
        <w:t xml:space="preserve">. februāra vēstulē pausto apņemšanos apstiprināt Parlamenta nostāju saskaņā ar Līguma par Eiropas Savienības darbību </w:t>
      </w:r>
      <w:r w:rsidRPr="000521C6">
        <w:t>294</w:t>
      </w:r>
      <w:r w:rsidRPr="00BE6B71">
        <w:t xml:space="preserve">. panta </w:t>
      </w:r>
      <w:r w:rsidRPr="000521C6">
        <w:t>4</w:t>
      </w:r>
      <w:r w:rsidRPr="00BE6B71">
        <w:t>. punktu,</w:t>
      </w:r>
    </w:p>
    <w:p w14:paraId="3F47295D" w14:textId="77777777" w:rsidR="00A77DCB" w:rsidRPr="00BE6B71" w:rsidRDefault="00A77DCB" w:rsidP="00A77DCB">
      <w:pPr>
        <w:pStyle w:val="NormalHanging12a"/>
      </w:pPr>
      <w:r w:rsidRPr="00BE6B71">
        <w:lastRenderedPageBreak/>
        <w:t>–</w:t>
      </w:r>
      <w:r w:rsidRPr="00BE6B71">
        <w:tab/>
        <w:t xml:space="preserve">ņemot vērā Reglamenta </w:t>
      </w:r>
      <w:r w:rsidRPr="000521C6">
        <w:t>59</w:t>
      </w:r>
      <w:r w:rsidRPr="00BE6B71">
        <w:t xml:space="preserve">. un </w:t>
      </w:r>
      <w:r w:rsidRPr="000521C6">
        <w:t>40</w:t>
      </w:r>
      <w:r w:rsidRPr="00BE6B71">
        <w:t>. pantu,</w:t>
      </w:r>
    </w:p>
    <w:p w14:paraId="280ABC43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 xml:space="preserve">ņemot vērā Pilsoņu brīvību, tieslietu un </w:t>
      </w:r>
      <w:proofErr w:type="spellStart"/>
      <w:r w:rsidRPr="00BE6B71">
        <w:t>iekšlietu</w:t>
      </w:r>
      <w:proofErr w:type="spellEnd"/>
      <w:r w:rsidRPr="00BE6B71">
        <w:t xml:space="preserve"> komitejas un Sieviešu tiesību un dzimumu līdztiesības komitejas kopīgās apspriedes, kas rīkotas saskaņā ar Reglamenta </w:t>
      </w:r>
      <w:r w:rsidRPr="000521C6">
        <w:t>58</w:t>
      </w:r>
      <w:r w:rsidRPr="00BE6B71">
        <w:t>. pantu,</w:t>
      </w:r>
    </w:p>
    <w:p w14:paraId="3EE52A43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>ņemot vērā Nodarbinātības un sociālo lietu komitejas, Budžeta komitejas un Juridiskās komitejas atzinumus,</w:t>
      </w:r>
    </w:p>
    <w:p w14:paraId="78931099" w14:textId="77777777" w:rsidR="00A77DCB" w:rsidRPr="00BE6B71" w:rsidRDefault="00A77DCB" w:rsidP="00A77DCB">
      <w:pPr>
        <w:pStyle w:val="NormalHanging12a"/>
      </w:pPr>
      <w:r w:rsidRPr="00BE6B71">
        <w:t>–</w:t>
      </w:r>
      <w:r w:rsidRPr="00BE6B71">
        <w:tab/>
        <w:t xml:space="preserve">ņemot vērā Pilsoņu brīvību, tieslietu un </w:t>
      </w:r>
      <w:proofErr w:type="spellStart"/>
      <w:r w:rsidRPr="00BE6B71">
        <w:t>iekšlietu</w:t>
      </w:r>
      <w:proofErr w:type="spellEnd"/>
      <w:r w:rsidRPr="00BE6B71">
        <w:t xml:space="preserve"> komitejas un Sieviešu tiesību un dzimumu līdztiesības komitejas ziņojumu (A</w:t>
      </w:r>
      <w:r w:rsidRPr="000521C6">
        <w:t>9</w:t>
      </w:r>
      <w:r w:rsidRPr="00BE6B71">
        <w:t>-</w:t>
      </w:r>
      <w:r w:rsidRPr="000521C6">
        <w:t>0234</w:t>
      </w:r>
      <w:r w:rsidRPr="00BE6B71">
        <w:t>/</w:t>
      </w:r>
      <w:r w:rsidRPr="000521C6">
        <w:t>2023</w:t>
      </w:r>
      <w:r w:rsidRPr="00BE6B71">
        <w:t>),</w:t>
      </w:r>
    </w:p>
    <w:p w14:paraId="3CF0A9A1" w14:textId="77777777" w:rsidR="00A77DCB" w:rsidRPr="00BE6B71" w:rsidRDefault="00A77DCB" w:rsidP="00A77DCB">
      <w:pPr>
        <w:pStyle w:val="NormalHanging12a"/>
      </w:pPr>
      <w:r w:rsidRPr="000521C6">
        <w:t>1</w:t>
      </w:r>
      <w:r w:rsidRPr="00BE6B71">
        <w:t>.</w:t>
      </w:r>
      <w:r w:rsidRPr="00BE6B71">
        <w:tab/>
        <w:t>pieņem pirmajā lasījumā turpmāk izklāstīto nostāju;</w:t>
      </w:r>
    </w:p>
    <w:p w14:paraId="77A85CA0" w14:textId="77777777" w:rsidR="00A77DCB" w:rsidRPr="00BE6B71" w:rsidRDefault="00A77DCB" w:rsidP="00A77DCB">
      <w:pPr>
        <w:pStyle w:val="NormalHanging12a"/>
      </w:pPr>
      <w:r w:rsidRPr="000521C6">
        <w:t>2</w:t>
      </w:r>
      <w:r w:rsidRPr="00BE6B71">
        <w:t>.</w:t>
      </w:r>
      <w:r w:rsidRPr="00BE6B71">
        <w:tab/>
        <w:t>prasa Komisijai priekšlikumu Parlamentam iesniegt vēlreiz, ja tā savu priekšlikumu aizstāj, būtiski groza vai ir paredzējusi to būtiski grozīt;</w:t>
      </w:r>
    </w:p>
    <w:p w14:paraId="10F66FD9" w14:textId="37BE5905" w:rsidR="00637B06" w:rsidRPr="00BE6B71" w:rsidRDefault="00A77DCB" w:rsidP="00A77DCB">
      <w:pPr>
        <w:pStyle w:val="NormalHanging12a"/>
        <w:sectPr w:rsidR="00637B06" w:rsidRPr="00BE6B71" w:rsidSect="003441B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521C6">
        <w:t>3</w:t>
      </w:r>
      <w:r w:rsidRPr="00BE6B71">
        <w:t>.</w:t>
      </w:r>
      <w:r w:rsidRPr="00BE6B71">
        <w:tab/>
        <w:t>uzdod priekšsēdētājai Parlamenta nostāju nosūtīt Padomei</w:t>
      </w:r>
      <w:r w:rsidR="00BC46BF" w:rsidRPr="00BE6B71">
        <w:t xml:space="preserve"> un </w:t>
      </w:r>
      <w:r w:rsidRPr="00BE6B71">
        <w:t>Komisijai</w:t>
      </w:r>
      <w:r w:rsidR="00784358" w:rsidRPr="00BE6B71">
        <w:t>, kā arī</w:t>
      </w:r>
      <w:r w:rsidRPr="00BE6B71">
        <w:t xml:space="preserve"> dalībvalstu parlamentiem.</w:t>
      </w:r>
    </w:p>
    <w:p w14:paraId="592D85E9" w14:textId="26689B0B" w:rsidR="00637B06" w:rsidRPr="00BE6B71" w:rsidRDefault="00637B06" w:rsidP="00637B06">
      <w:pPr>
        <w:pStyle w:val="Normal12Hanging"/>
        <w:tabs>
          <w:tab w:val="left" w:pos="357"/>
          <w:tab w:val="left" w:pos="2551"/>
        </w:tabs>
        <w:ind w:left="0" w:firstLine="0"/>
        <w:rPr>
          <w:b/>
          <w:noProof/>
          <w:lang w:val="lv-LV"/>
        </w:rPr>
      </w:pPr>
      <w:r w:rsidRPr="00BE6B71">
        <w:rPr>
          <w:b/>
          <w:noProof/>
          <w:lang w:val="lv-LV"/>
        </w:rPr>
        <w:lastRenderedPageBreak/>
        <w:t>P</w:t>
      </w:r>
      <w:r w:rsidRPr="000521C6">
        <w:rPr>
          <w:b/>
          <w:noProof/>
          <w:lang w:val="lv-LV"/>
        </w:rPr>
        <w:t>9</w:t>
      </w:r>
      <w:r w:rsidRPr="00BE6B71">
        <w:rPr>
          <w:b/>
          <w:noProof/>
          <w:lang w:val="lv-LV"/>
        </w:rPr>
        <w:t>_TC</w:t>
      </w:r>
      <w:r w:rsidRPr="000521C6">
        <w:rPr>
          <w:b/>
          <w:noProof/>
          <w:lang w:val="lv-LV"/>
        </w:rPr>
        <w:t>1</w:t>
      </w:r>
      <w:r w:rsidRPr="00BE6B71">
        <w:rPr>
          <w:b/>
          <w:noProof/>
          <w:lang w:val="lv-LV"/>
        </w:rPr>
        <w:t>-COD(</w:t>
      </w:r>
      <w:r w:rsidRPr="000521C6">
        <w:rPr>
          <w:b/>
          <w:noProof/>
          <w:lang w:val="lv-LV"/>
        </w:rPr>
        <w:t>2022</w:t>
      </w:r>
      <w:r w:rsidRPr="00BE6B71">
        <w:rPr>
          <w:b/>
          <w:noProof/>
          <w:lang w:val="lv-LV"/>
        </w:rPr>
        <w:t>)</w:t>
      </w:r>
      <w:r w:rsidRPr="000521C6">
        <w:rPr>
          <w:b/>
          <w:noProof/>
          <w:lang w:val="lv-LV"/>
        </w:rPr>
        <w:t>0066</w:t>
      </w:r>
    </w:p>
    <w:p w14:paraId="719378C5" w14:textId="6C4C10AB" w:rsidR="00637B06" w:rsidRPr="00DF2C21" w:rsidRDefault="00637B06" w:rsidP="00BE6B71">
      <w:pPr>
        <w:pStyle w:val="Normal12Hanging"/>
        <w:tabs>
          <w:tab w:val="left" w:pos="2551"/>
        </w:tabs>
        <w:ind w:left="0" w:firstLine="0"/>
        <w:rPr>
          <w:b/>
          <w:lang w:val="lv-LV"/>
        </w:rPr>
      </w:pPr>
      <w:r w:rsidRPr="00BE6B71">
        <w:rPr>
          <w:b/>
          <w:noProof/>
          <w:lang w:val="lv-LV"/>
        </w:rPr>
        <w:t xml:space="preserve">Eiropas Parlamenta nostāja, pieņemta pirmajā lasījumā </w:t>
      </w:r>
      <w:r w:rsidRPr="000521C6">
        <w:rPr>
          <w:b/>
          <w:lang w:val="lv-LV"/>
        </w:rPr>
        <w:t>2024</w:t>
      </w:r>
      <w:r w:rsidRPr="00BE6B71">
        <w:rPr>
          <w:b/>
          <w:lang w:val="lv-LV"/>
        </w:rPr>
        <w:t xml:space="preserve">. gada </w:t>
      </w:r>
      <w:r w:rsidRPr="000521C6">
        <w:rPr>
          <w:b/>
          <w:lang w:val="lv-LV"/>
        </w:rPr>
        <w:t>24</w:t>
      </w:r>
      <w:r w:rsidRPr="00BE6B71">
        <w:rPr>
          <w:b/>
          <w:lang w:val="lv-LV"/>
        </w:rPr>
        <w:t>. aprīlī</w:t>
      </w:r>
      <w:r w:rsidRPr="00BE6B71">
        <w:rPr>
          <w:b/>
          <w:noProof/>
          <w:lang w:val="lv-LV"/>
        </w:rPr>
        <w:t xml:space="preserve">, lai pieņemtu Eiropas Parlamenta un Padomes Direktīvu (ES) </w:t>
      </w:r>
      <w:r w:rsidRPr="000521C6">
        <w:rPr>
          <w:b/>
          <w:noProof/>
          <w:lang w:val="lv-LV"/>
        </w:rPr>
        <w:t>2024</w:t>
      </w:r>
      <w:r w:rsidRPr="00BE6B71">
        <w:rPr>
          <w:b/>
          <w:noProof/>
          <w:lang w:val="lv-LV"/>
        </w:rPr>
        <w:t xml:space="preserve">/... </w:t>
      </w:r>
      <w:r w:rsidR="00DF2C21" w:rsidRPr="00DF2C21">
        <w:rPr>
          <w:b/>
          <w:bCs/>
          <w:color w:val="000000"/>
          <w:shd w:val="clear" w:color="auto" w:fill="FFFFFF"/>
          <w:lang w:val="lv-LV"/>
        </w:rPr>
        <w:t>par vardarbības pret sievietēm un vardarbības ģimenē apkarošanu</w:t>
      </w:r>
      <w:bookmarkStart w:id="8" w:name="_GoBack"/>
      <w:bookmarkEnd w:id="8"/>
    </w:p>
    <w:p w14:paraId="48D75D62" w14:textId="4A0B335F" w:rsidR="00DF2C21" w:rsidRDefault="00DF2C21" w:rsidP="00DF2C21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DF2C21">
        <w:rPr>
          <w:i/>
        </w:rPr>
        <w:t>(ES) 202</w:t>
      </w:r>
      <w:r w:rsidRPr="00DF2C21">
        <w:rPr>
          <w:i/>
        </w:rPr>
        <w:t>4</w:t>
      </w:r>
      <w:r w:rsidRPr="00DF2C21">
        <w:rPr>
          <w:i/>
        </w:rPr>
        <w:t>/</w:t>
      </w:r>
      <w:r w:rsidRPr="00DF2C21">
        <w:rPr>
          <w:i/>
        </w:rPr>
        <w:t>1385</w:t>
      </w:r>
      <w:r w:rsidRPr="00DF2C21">
        <w:rPr>
          <w:i/>
        </w:rPr>
        <w:t>.)</w:t>
      </w:r>
    </w:p>
    <w:p w14:paraId="09265897" w14:textId="77777777" w:rsidR="00DF2C21" w:rsidRPr="00C03649" w:rsidRDefault="00DF2C21" w:rsidP="00DF2C21"/>
    <w:p w14:paraId="514EE7AD" w14:textId="77777777" w:rsidR="00DF2C21" w:rsidRPr="00BE6B71" w:rsidRDefault="00DF2C21" w:rsidP="00BE6B71">
      <w:pPr>
        <w:pStyle w:val="Normal12Hanging"/>
        <w:tabs>
          <w:tab w:val="left" w:pos="2551"/>
        </w:tabs>
        <w:ind w:left="0" w:firstLine="0"/>
        <w:rPr>
          <w:b/>
          <w:szCs w:val="24"/>
          <w:lang w:val="lv-LV"/>
        </w:rPr>
      </w:pPr>
    </w:p>
    <w:sectPr w:rsidR="00DF2C21" w:rsidRPr="00BE6B71" w:rsidSect="003441B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76798" w14:textId="77777777" w:rsidR="00EE69AD" w:rsidRPr="003441B0" w:rsidRDefault="00EE69AD">
      <w:r w:rsidRPr="003441B0">
        <w:separator/>
      </w:r>
    </w:p>
  </w:endnote>
  <w:endnote w:type="continuationSeparator" w:id="0">
    <w:p w14:paraId="5D16BCC9" w14:textId="77777777" w:rsidR="00EE69AD" w:rsidRPr="003441B0" w:rsidRDefault="00EE69AD">
      <w:r w:rsidRPr="003441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CEDFC" w14:textId="77777777" w:rsidR="00EE69AD" w:rsidRPr="003441B0" w:rsidRDefault="00EE69AD">
      <w:r w:rsidRPr="003441B0">
        <w:separator/>
      </w:r>
    </w:p>
  </w:footnote>
  <w:footnote w:type="continuationSeparator" w:id="0">
    <w:p w14:paraId="3055430D" w14:textId="77777777" w:rsidR="00EE69AD" w:rsidRPr="003441B0" w:rsidRDefault="00EE69AD">
      <w:r w:rsidRPr="003441B0">
        <w:continuationSeparator/>
      </w:r>
    </w:p>
  </w:footnote>
  <w:footnote w:id="1">
    <w:p w14:paraId="75C0F113" w14:textId="52630F15" w:rsidR="00EE69AD" w:rsidRPr="00637B06" w:rsidRDefault="00EE69AD" w:rsidP="00BE6B71">
      <w:pPr>
        <w:pStyle w:val="FootnoteText"/>
        <w:ind w:left="709" w:hanging="709"/>
        <w:rPr>
          <w:sz w:val="24"/>
          <w:szCs w:val="24"/>
          <w:lang w:val="lv-LV"/>
        </w:rPr>
      </w:pPr>
      <w:r w:rsidRPr="00637B06">
        <w:rPr>
          <w:rStyle w:val="FootnoteReference"/>
          <w:sz w:val="24"/>
          <w:szCs w:val="24"/>
          <w:lang w:val="lv-LV"/>
        </w:rPr>
        <w:footnoteRef/>
      </w:r>
      <w:r w:rsidRPr="00637B06">
        <w:rPr>
          <w:sz w:val="24"/>
          <w:szCs w:val="24"/>
          <w:lang w:val="lv-LV"/>
        </w:rPr>
        <w:t xml:space="preserve"> </w:t>
      </w:r>
      <w:r w:rsidRPr="00637B06">
        <w:rPr>
          <w:sz w:val="24"/>
          <w:szCs w:val="24"/>
          <w:lang w:val="lv-LV"/>
        </w:rPr>
        <w:tab/>
        <w:t xml:space="preserve">OV C </w:t>
      </w:r>
      <w:r w:rsidRPr="000521C6">
        <w:rPr>
          <w:sz w:val="24"/>
          <w:szCs w:val="24"/>
          <w:lang w:val="lv-LV"/>
        </w:rPr>
        <w:t>443</w:t>
      </w:r>
      <w:r w:rsidRPr="00637B06">
        <w:rPr>
          <w:sz w:val="24"/>
          <w:szCs w:val="24"/>
          <w:lang w:val="lv-LV"/>
        </w:rPr>
        <w:t xml:space="preserve">, </w:t>
      </w:r>
      <w:r w:rsidRPr="000521C6">
        <w:rPr>
          <w:sz w:val="24"/>
          <w:szCs w:val="24"/>
          <w:lang w:val="lv-LV"/>
        </w:rPr>
        <w:t>22</w:t>
      </w:r>
      <w:r w:rsidRPr="00637B06">
        <w:rPr>
          <w:sz w:val="24"/>
          <w:szCs w:val="24"/>
          <w:lang w:val="lv-LV"/>
        </w:rPr>
        <w:t>.</w:t>
      </w:r>
      <w:r w:rsidRPr="000521C6">
        <w:rPr>
          <w:sz w:val="24"/>
          <w:szCs w:val="24"/>
          <w:lang w:val="lv-LV"/>
        </w:rPr>
        <w:t>11</w:t>
      </w:r>
      <w:r w:rsidRPr="00637B06">
        <w:rPr>
          <w:sz w:val="24"/>
          <w:szCs w:val="24"/>
          <w:lang w:val="lv-LV"/>
        </w:rPr>
        <w:t>.</w:t>
      </w:r>
      <w:r w:rsidRPr="000521C6">
        <w:rPr>
          <w:sz w:val="24"/>
          <w:szCs w:val="24"/>
          <w:lang w:val="lv-LV"/>
        </w:rPr>
        <w:t>2022</w:t>
      </w:r>
      <w:r w:rsidRPr="00637B06">
        <w:rPr>
          <w:sz w:val="24"/>
          <w:szCs w:val="24"/>
          <w:lang w:val="lv-LV"/>
        </w:rPr>
        <w:t xml:space="preserve">., </w:t>
      </w:r>
      <w:r w:rsidRPr="000521C6">
        <w:rPr>
          <w:sz w:val="24"/>
          <w:szCs w:val="24"/>
          <w:lang w:val="lv-LV"/>
        </w:rPr>
        <w:t>93</w:t>
      </w:r>
      <w:r w:rsidRPr="00637B06">
        <w:rPr>
          <w:sz w:val="24"/>
          <w:szCs w:val="24"/>
          <w:lang w:val="lv-LV"/>
        </w:rPr>
        <w:t xml:space="preserve">. </w:t>
      </w:r>
      <w:proofErr w:type="spellStart"/>
      <w:r w:rsidRPr="00637B06">
        <w:rPr>
          <w:sz w:val="24"/>
          <w:szCs w:val="24"/>
          <w:lang w:val="lv-LV"/>
        </w:rPr>
        <w:t>lpp</w:t>
      </w:r>
      <w:proofErr w:type="spellEnd"/>
      <w:r w:rsidRPr="00BE6B71">
        <w:rPr>
          <w:sz w:val="24"/>
          <w:szCs w:val="24"/>
          <w:lang w:val="sv-SE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LV"/>
    <w:docVar w:name="dvnumam" w:val="642"/>
    <w:docVar w:name="dvpe" w:val="739.730"/>
    <w:docVar w:name="dvrapporteur" w:val="Referentes: "/>
    <w:docVar w:name="dvstar" w:val="***I"/>
    <w:docVar w:name="dvtitre" w:val="Eiropas Parlamenta 2024. gada XX. XXX normatīvā rezolūcija par priekšlikumu Eiropas Parlamenta un Padomes direktīvai par vardarbības pret sievietēm un vardarbības ģimenē apkarošanu(COM(2022)0105 – C9-0058/2022 – 2022/0066(COD))"/>
  </w:docVars>
  <w:rsids>
    <w:rsidRoot w:val="00FE5DB5"/>
    <w:rsid w:val="00002272"/>
    <w:rsid w:val="000521C6"/>
    <w:rsid w:val="00064002"/>
    <w:rsid w:val="000677B9"/>
    <w:rsid w:val="000831BA"/>
    <w:rsid w:val="000A42CC"/>
    <w:rsid w:val="000E7DD9"/>
    <w:rsid w:val="0010095E"/>
    <w:rsid w:val="00125B37"/>
    <w:rsid w:val="0016714F"/>
    <w:rsid w:val="00187494"/>
    <w:rsid w:val="001F32AE"/>
    <w:rsid w:val="002767FF"/>
    <w:rsid w:val="002B18FE"/>
    <w:rsid w:val="002B5493"/>
    <w:rsid w:val="00343214"/>
    <w:rsid w:val="003441B0"/>
    <w:rsid w:val="00361C00"/>
    <w:rsid w:val="00395FA1"/>
    <w:rsid w:val="003E15D4"/>
    <w:rsid w:val="00411CCE"/>
    <w:rsid w:val="0041666E"/>
    <w:rsid w:val="00421060"/>
    <w:rsid w:val="004648A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314A"/>
    <w:rsid w:val="00637B0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435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77DCB"/>
    <w:rsid w:val="00AB441E"/>
    <w:rsid w:val="00AB6293"/>
    <w:rsid w:val="00AE0928"/>
    <w:rsid w:val="00AF3B82"/>
    <w:rsid w:val="00B12E95"/>
    <w:rsid w:val="00B22876"/>
    <w:rsid w:val="00B558F0"/>
    <w:rsid w:val="00B655FA"/>
    <w:rsid w:val="00BC46BF"/>
    <w:rsid w:val="00BD48FE"/>
    <w:rsid w:val="00BD7BD8"/>
    <w:rsid w:val="00BE6ADC"/>
    <w:rsid w:val="00BE6B7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C21"/>
    <w:rsid w:val="00E365E1"/>
    <w:rsid w:val="00E820A4"/>
    <w:rsid w:val="00EB006A"/>
    <w:rsid w:val="00EB4772"/>
    <w:rsid w:val="00ED169E"/>
    <w:rsid w:val="00ED4235"/>
    <w:rsid w:val="00EE69AD"/>
    <w:rsid w:val="00F04346"/>
    <w:rsid w:val="00F075DC"/>
    <w:rsid w:val="00F149E9"/>
    <w:rsid w:val="00F5134D"/>
    <w:rsid w:val="00F74202"/>
    <w:rsid w:val="00F87713"/>
    <w:rsid w:val="00FB4360"/>
    <w:rsid w:val="00FD0C70"/>
    <w:rsid w:val="00FE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CC3C5C"/>
  <w15:chartTrackingRefBased/>
  <w15:docId w15:val="{6B11ACB7-11CF-46D8-9B9C-5262024F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77DC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7DC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7DC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DC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DC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DCB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DCB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A77DCB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A77DCB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A77DC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77DC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77DC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77DCB"/>
    <w:pPr>
      <w:spacing w:after="120"/>
    </w:pPr>
  </w:style>
  <w:style w:type="paragraph" w:customStyle="1" w:styleId="PageHeading">
    <w:name w:val="PageHeading"/>
    <w:basedOn w:val="Normal"/>
    <w:rsid w:val="00A77DC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77DCB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77DCB"/>
    <w:rPr>
      <w:b/>
      <w:sz w:val="24"/>
      <w:lang w:val="lv-LV"/>
    </w:rPr>
  </w:style>
  <w:style w:type="paragraph" w:customStyle="1" w:styleId="NormalBold12a">
    <w:name w:val="NormalBold12a"/>
    <w:basedOn w:val="Normal"/>
    <w:rsid w:val="00A77DCB"/>
    <w:pPr>
      <w:spacing w:after="240"/>
    </w:pPr>
    <w:rPr>
      <w:b/>
    </w:rPr>
  </w:style>
  <w:style w:type="paragraph" w:customStyle="1" w:styleId="AmJustText">
    <w:name w:val="AmJustText"/>
    <w:basedOn w:val="Normal"/>
    <w:rsid w:val="00A77DCB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A77DCB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A77DCB"/>
    <w:rPr>
      <w:sz w:val="24"/>
      <w:lang w:val="lv-LV"/>
    </w:rPr>
  </w:style>
  <w:style w:type="paragraph" w:customStyle="1" w:styleId="CoverNormal24a">
    <w:name w:val="CoverNormal24a"/>
    <w:basedOn w:val="Normal"/>
    <w:rsid w:val="00A77DCB"/>
    <w:pPr>
      <w:spacing w:after="480"/>
      <w:ind w:left="1417"/>
    </w:pPr>
  </w:style>
  <w:style w:type="paragraph" w:customStyle="1" w:styleId="CoverNormal">
    <w:name w:val="CoverNormal"/>
    <w:basedOn w:val="Normal"/>
    <w:rsid w:val="00A77DCB"/>
    <w:pPr>
      <w:ind w:left="1418"/>
    </w:pPr>
  </w:style>
  <w:style w:type="paragraph" w:customStyle="1" w:styleId="AmCrossRef">
    <w:name w:val="AmCrossRef"/>
    <w:basedOn w:val="Normal"/>
    <w:rsid w:val="00A77DC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77DC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77DC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77DC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77DC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77DC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77D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7DCB"/>
    <w:rPr>
      <w:sz w:val="24"/>
      <w:lang w:val="lv-LV"/>
    </w:rPr>
  </w:style>
  <w:style w:type="paragraph" w:customStyle="1" w:styleId="AmOrLang">
    <w:name w:val="AmOrLang"/>
    <w:basedOn w:val="Normal"/>
    <w:rsid w:val="00A77DC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77DC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77D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77DCB"/>
    <w:pPr>
      <w:spacing w:before="240"/>
    </w:pPr>
    <w:rPr>
      <w:b/>
    </w:rPr>
  </w:style>
  <w:style w:type="paragraph" w:customStyle="1" w:styleId="EPBody">
    <w:name w:val="EPBody"/>
    <w:basedOn w:val="Normal"/>
    <w:rsid w:val="00A77DC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77DC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77DCB"/>
    <w:pPr>
      <w:spacing w:before="480" w:after="240"/>
    </w:pPr>
  </w:style>
  <w:style w:type="paragraph" w:customStyle="1" w:styleId="Lgendesigne">
    <w:name w:val="Légende signe"/>
    <w:basedOn w:val="Normal"/>
    <w:rsid w:val="00A77DC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77DC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77DCB"/>
    <w:rPr>
      <w:sz w:val="18"/>
    </w:rPr>
  </w:style>
  <w:style w:type="character" w:styleId="Hyperlink">
    <w:name w:val="Hyperlink"/>
    <w:basedOn w:val="DefaultParagraphFont"/>
    <w:uiPriority w:val="99"/>
    <w:unhideWhenUsed/>
    <w:rsid w:val="00A77DCB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A77DCB"/>
    <w:rPr>
      <w:noProof/>
      <w:sz w:val="24"/>
    </w:rPr>
  </w:style>
  <w:style w:type="paragraph" w:customStyle="1" w:styleId="Normal12">
    <w:name w:val="Normal12"/>
    <w:basedOn w:val="Normal"/>
    <w:link w:val="Normal12Char"/>
    <w:rsid w:val="00A77DCB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77DCB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A77DCB"/>
    <w:pPr>
      <w:spacing w:after="120"/>
    </w:pPr>
  </w:style>
  <w:style w:type="paragraph" w:customStyle="1" w:styleId="Normal12Italic">
    <w:name w:val="Normal12Italic"/>
    <w:basedOn w:val="Normal12"/>
    <w:rsid w:val="00A77DCB"/>
    <w:rPr>
      <w:i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A77DCB"/>
    <w:pPr>
      <w:ind w:left="720"/>
      <w:contextualSpacing/>
    </w:pPr>
    <w:rPr>
      <w:szCs w:val="24"/>
    </w:rPr>
  </w:style>
  <w:style w:type="paragraph" w:customStyle="1" w:styleId="EntPE">
    <w:name w:val="EntPE"/>
    <w:basedOn w:val="Normal12"/>
    <w:rsid w:val="00A77DC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A77DCB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A77DC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77DCB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77D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77DCB"/>
    <w:rPr>
      <w:b/>
      <w:bCs/>
      <w:lang w:val="lv-LV"/>
    </w:rPr>
  </w:style>
  <w:style w:type="paragraph" w:styleId="BalloonText">
    <w:name w:val="Balloon Text"/>
    <w:basedOn w:val="Normal"/>
    <w:link w:val="BalloonTextChar"/>
    <w:unhideWhenUsed/>
    <w:rsid w:val="00A77D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77DCB"/>
    <w:rPr>
      <w:rFonts w:ascii="Segoe UI" w:hAnsi="Segoe UI" w:cs="Segoe UI"/>
      <w:sz w:val="18"/>
      <w:szCs w:val="18"/>
      <w:lang w:val="lv-LV"/>
    </w:rPr>
  </w:style>
  <w:style w:type="paragraph" w:customStyle="1" w:styleId="AMNumberTabs0">
    <w:name w:val="AMNumberTabs"/>
    <w:basedOn w:val="Normal"/>
    <w:rsid w:val="00A77DC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77DC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77DC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"/>
    <w:rsid w:val="00A77DCB"/>
    <w:pPr>
      <w:keepNext/>
      <w:spacing w:before="240" w:after="240"/>
      <w:jc w:val="center"/>
    </w:pPr>
    <w:rPr>
      <w:i/>
      <w:noProof/>
    </w:rPr>
  </w:style>
  <w:style w:type="paragraph" w:customStyle="1" w:styleId="Normal12Hanging">
    <w:name w:val="Normal12Hanging"/>
    <w:basedOn w:val="Normal12"/>
    <w:link w:val="Normal12HangingChar"/>
    <w:rsid w:val="00A77DCB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A77DCB"/>
    <w:pPr>
      <w:spacing w:after="240"/>
    </w:pPr>
  </w:style>
  <w:style w:type="paragraph" w:customStyle="1" w:styleId="PageHeadingNotTOC">
    <w:name w:val="PageHeadingNotTOC"/>
    <w:basedOn w:val="Normal"/>
    <w:rsid w:val="00A77DC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A77DC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A77DCB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A77DCB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A77DC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A77DC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A77DC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A77DCB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A77DCB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A77DCB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A77DCB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A77DCB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A77DCB"/>
    <w:rPr>
      <w:sz w:val="24"/>
      <w:lang w:val="lv-LV"/>
    </w:rPr>
  </w:style>
  <w:style w:type="character" w:customStyle="1" w:styleId="Sup">
    <w:name w:val="Sup"/>
    <w:uiPriority w:val="1"/>
    <w:qFormat/>
    <w:rsid w:val="00A77DCB"/>
    <w:rPr>
      <w:vertAlign w:val="superscript"/>
    </w:rPr>
  </w:style>
  <w:style w:type="character" w:customStyle="1" w:styleId="SupBoldItalic">
    <w:name w:val="SupBoldItalic"/>
    <w:uiPriority w:val="1"/>
    <w:qFormat/>
    <w:rsid w:val="00A77DCB"/>
    <w:rPr>
      <w:b/>
      <w:i/>
      <w:vertAlign w:val="superscript"/>
    </w:rPr>
  </w:style>
  <w:style w:type="paragraph" w:customStyle="1" w:styleId="LetterSubject">
    <w:name w:val="LetterSubject"/>
    <w:basedOn w:val="Normal"/>
    <w:rsid w:val="00A77DCB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A77DCB"/>
    <w:pPr>
      <w:spacing w:before="1320"/>
    </w:pPr>
  </w:style>
  <w:style w:type="paragraph" w:customStyle="1" w:styleId="LetterSalutation">
    <w:name w:val="LetterSalutation"/>
    <w:basedOn w:val="Normal"/>
    <w:rsid w:val="00A77DCB"/>
    <w:pPr>
      <w:spacing w:before="600" w:after="360"/>
    </w:pPr>
  </w:style>
  <w:style w:type="paragraph" w:customStyle="1" w:styleId="Default">
    <w:name w:val="Default"/>
    <w:rsid w:val="00A77DCB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lv-LV" w:eastAsia="en-US"/>
    </w:rPr>
  </w:style>
  <w:style w:type="paragraph" w:customStyle="1" w:styleId="Pointabc">
    <w:name w:val="Point abc"/>
    <w:basedOn w:val="Normal"/>
    <w:rsid w:val="00A77DCB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A77DCB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A77DCB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A77DCB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A77DCB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A77DCB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A77DCB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A77DCB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A77DCB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A77DCB"/>
  </w:style>
  <w:style w:type="character" w:customStyle="1" w:styleId="outputecliaff">
    <w:name w:val="outputecliaff"/>
    <w:basedOn w:val="DefaultParagraphFont"/>
    <w:rsid w:val="00A77DCB"/>
  </w:style>
  <w:style w:type="character" w:customStyle="1" w:styleId="affairetitle">
    <w:name w:val="affaire_title"/>
    <w:basedOn w:val="DefaultParagraphFont"/>
    <w:rsid w:val="00A77DCB"/>
  </w:style>
  <w:style w:type="paragraph" w:styleId="Footer">
    <w:name w:val="footer"/>
    <w:basedOn w:val="Normal"/>
    <w:link w:val="FooterChar"/>
    <w:uiPriority w:val="99"/>
    <w:rsid w:val="00A77D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7DCB"/>
    <w:rPr>
      <w:sz w:val="24"/>
      <w:lang w:val="lv-LV"/>
    </w:rPr>
  </w:style>
  <w:style w:type="paragraph" w:styleId="Index1">
    <w:name w:val="index 1"/>
    <w:basedOn w:val="Normal"/>
    <w:next w:val="Normal"/>
    <w:autoRedefine/>
    <w:unhideWhenUsed/>
    <w:rsid w:val="00A77DCB"/>
    <w:pPr>
      <w:widowControl/>
      <w:snapToGrid w:val="0"/>
    </w:pPr>
  </w:style>
  <w:style w:type="character" w:styleId="FollowedHyperlink">
    <w:name w:val="FollowedHyperlink"/>
    <w:basedOn w:val="DefaultParagraphFont"/>
    <w:unhideWhenUsed/>
    <w:rsid w:val="00A77DCB"/>
    <w:rPr>
      <w:color w:val="954F72" w:themeColor="followedHyperlink"/>
      <w:u w:val="single"/>
    </w:rPr>
  </w:style>
  <w:style w:type="paragraph" w:styleId="Revision">
    <w:name w:val="Revision"/>
    <w:uiPriority w:val="99"/>
    <w:semiHidden/>
    <w:rsid w:val="00A77DCB"/>
    <w:rPr>
      <w:sz w:val="24"/>
      <w:szCs w:val="24"/>
      <w:lang w:val="lv-LV"/>
    </w:rPr>
  </w:style>
  <w:style w:type="character" w:customStyle="1" w:styleId="Normal12HangingChar">
    <w:name w:val="Normal12Hanging Char"/>
    <w:link w:val="Normal12Hanging"/>
    <w:rsid w:val="00637B06"/>
    <w:rPr>
      <w:snapToGrid w:val="0"/>
      <w:sz w:val="24"/>
    </w:rPr>
  </w:style>
  <w:style w:type="paragraph" w:customStyle="1" w:styleId="AmDocTypeTab">
    <w:name w:val="AmDocTypeTab"/>
    <w:basedOn w:val="Normal"/>
    <w:rsid w:val="00637B0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37B06"/>
    <w:pPr>
      <w:spacing w:after="240"/>
      <w:jc w:val="center"/>
    </w:pPr>
  </w:style>
  <w:style w:type="paragraph" w:customStyle="1" w:styleId="AmDateTab">
    <w:name w:val="AmDateTab"/>
    <w:basedOn w:val="Normal"/>
    <w:rsid w:val="00637B0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37B06"/>
    <w:pPr>
      <w:spacing w:before="720" w:after="240"/>
      <w:jc w:val="center"/>
    </w:pPr>
  </w:style>
  <w:style w:type="paragraph" w:styleId="ListNumber">
    <w:name w:val="List Number"/>
    <w:basedOn w:val="Normal"/>
    <w:rsid w:val="00637B0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637B06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637B0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nhideWhenUsed/>
    <w:rsid w:val="00637B0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nhideWhenUsed/>
    <w:rsid w:val="00637B0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nhideWhenUsed/>
    <w:rsid w:val="00637B0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637B06"/>
    <w:rPr>
      <w:sz w:val="24"/>
      <w:szCs w:val="24"/>
      <w:lang w:val="lv-LV"/>
    </w:rPr>
  </w:style>
  <w:style w:type="paragraph" w:styleId="Caption">
    <w:name w:val="caption"/>
    <w:basedOn w:val="Normal"/>
    <w:next w:val="Normal"/>
    <w:unhideWhenUsed/>
    <w:qFormat/>
    <w:rsid w:val="00637B06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637B0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nhideWhenUsed/>
    <w:rsid w:val="00637B0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nhideWhenUsed/>
    <w:rsid w:val="00637B0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2">
    <w:name w:val="Normal2"/>
    <w:basedOn w:val="Normal"/>
    <w:rsid w:val="00637B0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637B06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637B06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637B06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637B06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637B06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637B06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637B06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637B06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637B06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637B06"/>
    <w:pPr>
      <w:numPr>
        <w:numId w:val="1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637B06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637B0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637B0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637B06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637B06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637B0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637B0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637B06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637B06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637B0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637B0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637B06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637B06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637B06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637B06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637B06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637B06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637B06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637B06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637B06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637B06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637B06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637B06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637B06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637B06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637B0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637B06"/>
  </w:style>
  <w:style w:type="paragraph" w:customStyle="1" w:styleId="FooterCoverPage">
    <w:name w:val="Footer Cover Page"/>
    <w:basedOn w:val="Normal"/>
    <w:link w:val="FooterCoverPageChar"/>
    <w:rsid w:val="00637B0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637B06"/>
    <w:rPr>
      <w:rFonts w:ascii="Times New Roman" w:hAnsi="Times New Roman" w:cs="Times New Roman"/>
      <w:b/>
      <w:sz w:val="28"/>
      <w:lang w:val="lv-LV"/>
    </w:rPr>
  </w:style>
  <w:style w:type="character" w:customStyle="1" w:styleId="FooterCoverPageChar">
    <w:name w:val="Footer Cover Page Char"/>
    <w:link w:val="FooterCoverPage"/>
    <w:rsid w:val="00637B06"/>
    <w:rPr>
      <w:rFonts w:eastAsia="Calibri"/>
      <w:sz w:val="24"/>
      <w:szCs w:val="22"/>
      <w:lang w:val="lv-LV"/>
    </w:rPr>
  </w:style>
  <w:style w:type="paragraph" w:customStyle="1" w:styleId="HeaderCoverPage">
    <w:name w:val="Header Cover Page"/>
    <w:basedOn w:val="Normal"/>
    <w:link w:val="HeaderCoverPageChar"/>
    <w:rsid w:val="00637B0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637B06"/>
    <w:rPr>
      <w:rFonts w:eastAsia="Calibri"/>
      <w:sz w:val="24"/>
      <w:szCs w:val="22"/>
      <w:lang w:val="lv-LV"/>
    </w:rPr>
  </w:style>
  <w:style w:type="paragraph" w:customStyle="1" w:styleId="ti-art">
    <w:name w:val="ti-art"/>
    <w:basedOn w:val="Normal"/>
    <w:rsid w:val="00637B0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637B0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637B06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637B06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637B06"/>
  </w:style>
  <w:style w:type="paragraph" w:customStyle="1" w:styleId="Point">
    <w:name w:val="Point"/>
    <w:basedOn w:val="NumPar1"/>
    <w:rsid w:val="00637B06"/>
  </w:style>
  <w:style w:type="paragraph" w:customStyle="1" w:styleId="Pointletter">
    <w:name w:val="Point letter"/>
    <w:basedOn w:val="Point"/>
    <w:rsid w:val="00637B06"/>
  </w:style>
  <w:style w:type="paragraph" w:customStyle="1" w:styleId="Numpar">
    <w:name w:val="Num par"/>
    <w:basedOn w:val="Text1"/>
    <w:rsid w:val="00637B06"/>
  </w:style>
  <w:style w:type="paragraph" w:styleId="TOC4">
    <w:name w:val="toc 4"/>
    <w:basedOn w:val="Normal"/>
    <w:next w:val="Normal"/>
    <w:uiPriority w:val="39"/>
    <w:unhideWhenUsed/>
    <w:rsid w:val="00637B0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37B0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37B0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37B0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37B0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37B06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37B06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37B0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37B0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37B0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37B0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637B0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637B0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37B0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37B0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37B0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37B0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37B06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37B0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37B0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37B0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37B0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37B0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37B06"/>
    <w:pPr>
      <w:numPr>
        <w:numId w:val="5"/>
      </w:numPr>
    </w:pPr>
  </w:style>
  <w:style w:type="paragraph" w:customStyle="1" w:styleId="Tiret1">
    <w:name w:val="Tiret 1"/>
    <w:basedOn w:val="Point1"/>
    <w:rsid w:val="00637B06"/>
    <w:pPr>
      <w:numPr>
        <w:numId w:val="16"/>
      </w:numPr>
    </w:pPr>
  </w:style>
  <w:style w:type="paragraph" w:customStyle="1" w:styleId="Tiret2">
    <w:name w:val="Tiret 2"/>
    <w:basedOn w:val="Point2"/>
    <w:rsid w:val="00637B06"/>
    <w:pPr>
      <w:numPr>
        <w:numId w:val="15"/>
      </w:numPr>
    </w:pPr>
  </w:style>
  <w:style w:type="paragraph" w:customStyle="1" w:styleId="Tiret3">
    <w:name w:val="Tiret 3"/>
    <w:basedOn w:val="Point3"/>
    <w:rsid w:val="00637B06"/>
    <w:pPr>
      <w:numPr>
        <w:numId w:val="19"/>
      </w:numPr>
    </w:pPr>
  </w:style>
  <w:style w:type="paragraph" w:customStyle="1" w:styleId="Tiret4">
    <w:name w:val="Tiret 4"/>
    <w:basedOn w:val="Point4"/>
    <w:rsid w:val="00637B06"/>
    <w:pPr>
      <w:numPr>
        <w:numId w:val="20"/>
      </w:numPr>
    </w:pPr>
  </w:style>
  <w:style w:type="paragraph" w:customStyle="1" w:styleId="PointDouble0">
    <w:name w:val="PointDouble 0"/>
    <w:basedOn w:val="Normal"/>
    <w:rsid w:val="00637B0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37B0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37B0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37B0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37B0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37B0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37B0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37B0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37B0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37B0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637B06"/>
    <w:pPr>
      <w:widowControl/>
      <w:numPr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37B06"/>
    <w:pPr>
      <w:widowControl/>
      <w:numPr>
        <w:ilvl w:val="1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37B06"/>
    <w:pPr>
      <w:widowControl/>
      <w:numPr>
        <w:ilvl w:val="2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37B06"/>
    <w:pPr>
      <w:widowControl/>
      <w:numPr>
        <w:ilvl w:val="3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37B0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37B0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37B0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37B0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37B0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37B0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37B0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37B0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37B0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37B0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37B0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37B0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637B0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37B0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637B0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637B06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37B06"/>
    <w:pPr>
      <w:widowControl/>
      <w:numPr>
        <w:ilvl w:val="2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637B06"/>
    <w:pPr>
      <w:widowControl/>
      <w:numPr>
        <w:ilvl w:val="4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37B06"/>
    <w:pPr>
      <w:widowControl/>
      <w:numPr>
        <w:ilvl w:val="6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37B06"/>
    <w:pPr>
      <w:widowControl/>
      <w:numPr>
        <w:ilvl w:val="1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637B06"/>
    <w:pPr>
      <w:widowControl/>
      <w:numPr>
        <w:ilvl w:val="3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37B06"/>
    <w:pPr>
      <w:widowControl/>
      <w:numPr>
        <w:ilvl w:val="5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37B06"/>
    <w:pPr>
      <w:widowControl/>
      <w:numPr>
        <w:ilvl w:val="7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37B06"/>
    <w:pPr>
      <w:widowControl/>
      <w:numPr>
        <w:ilvl w:val="8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37B06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37B06"/>
    <w:pPr>
      <w:widowControl/>
      <w:numPr>
        <w:numId w:val="1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37B06"/>
    <w:pPr>
      <w:widowControl/>
      <w:numPr>
        <w:numId w:val="2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37B06"/>
    <w:pPr>
      <w:widowControl/>
      <w:numPr>
        <w:numId w:val="2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37B06"/>
    <w:pPr>
      <w:widowControl/>
      <w:numPr>
        <w:numId w:val="2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37B0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37B0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37B0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37B0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37B0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37B0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37B0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637B0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637B0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37B0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37B0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37B0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37B0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37B0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37B0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37B0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37B0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37B06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37B0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37B0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37B0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37B0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37B0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37B0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37B0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37B0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37B0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37B0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37B0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37B0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37B0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37B0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637B0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37B0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37B0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37B0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37B0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37B0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37B0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37B0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37B0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37B06"/>
  </w:style>
  <w:style w:type="paragraph" w:customStyle="1" w:styleId="StatutPagedecouverture">
    <w:name w:val="Statut (Page de couverture)"/>
    <w:basedOn w:val="Statut"/>
    <w:next w:val="TypedudocumentPagedecouverture"/>
    <w:rsid w:val="00637B06"/>
  </w:style>
  <w:style w:type="paragraph" w:customStyle="1" w:styleId="TitreobjetPagedecouverture">
    <w:name w:val="Titre objet (Page de couverture)"/>
    <w:basedOn w:val="Titreobjet"/>
    <w:next w:val="IntrtEEEPagedecouverture"/>
    <w:rsid w:val="00637B0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37B06"/>
  </w:style>
  <w:style w:type="paragraph" w:customStyle="1" w:styleId="Volume">
    <w:name w:val="Volume"/>
    <w:basedOn w:val="Normal"/>
    <w:next w:val="Confidentialit"/>
    <w:rsid w:val="00637B0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37B06"/>
    <w:pPr>
      <w:spacing w:after="240"/>
    </w:pPr>
  </w:style>
  <w:style w:type="paragraph" w:customStyle="1" w:styleId="Accompagnant">
    <w:name w:val="Accompagnant"/>
    <w:basedOn w:val="Normal"/>
    <w:next w:val="Typeacteprincipal"/>
    <w:rsid w:val="00637B0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37B0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37B0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37B06"/>
  </w:style>
  <w:style w:type="paragraph" w:customStyle="1" w:styleId="AccompagnantPagedecouverture">
    <w:name w:val="Accompagnant (Page de couverture)"/>
    <w:basedOn w:val="Accompagnant"/>
    <w:next w:val="TypeacteprincipalPagedecouverture"/>
    <w:rsid w:val="00637B0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37B06"/>
  </w:style>
  <w:style w:type="paragraph" w:customStyle="1" w:styleId="ObjetacteprincipalPagedecouverture">
    <w:name w:val="Objet acte principal (Page de couverture)"/>
    <w:basedOn w:val="Objetacteprincipal"/>
    <w:next w:val="Rfrencecroise"/>
    <w:rsid w:val="00637B06"/>
  </w:style>
  <w:style w:type="paragraph" w:customStyle="1" w:styleId="LanguesfaisantfoiPagedecouverture">
    <w:name w:val="Langues faisant foi (Page de couverture)"/>
    <w:basedOn w:val="Normal"/>
    <w:next w:val="Normal"/>
    <w:rsid w:val="00637B0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37B0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37B0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37B0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637B06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637B06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637B0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637B06"/>
    <w:pPr>
      <w:numPr>
        <w:numId w:val="24"/>
      </w:numPr>
    </w:pPr>
  </w:style>
  <w:style w:type="paragraph" w:customStyle="1" w:styleId="NumPar5">
    <w:name w:val="NumPar 5"/>
    <w:basedOn w:val="Normal"/>
    <w:next w:val="Text2"/>
    <w:rsid w:val="00637B06"/>
    <w:pPr>
      <w:widowControl/>
      <w:numPr>
        <w:ilvl w:val="4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37B06"/>
    <w:pPr>
      <w:widowControl/>
      <w:numPr>
        <w:ilvl w:val="5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37B06"/>
    <w:pPr>
      <w:widowControl/>
      <w:numPr>
        <w:ilvl w:val="6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37B0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37B0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37B0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title-bold">
    <w:name w:val="title-bold"/>
    <w:basedOn w:val="Normal"/>
    <w:rsid w:val="00637B06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637B06"/>
    <w:rPr>
      <w:i/>
      <w:iCs/>
    </w:rPr>
  </w:style>
  <w:style w:type="character" w:customStyle="1" w:styleId="sdzsvb">
    <w:name w:val="sdzsvb"/>
    <w:basedOn w:val="DefaultParagraphFont"/>
    <w:rsid w:val="00637B06"/>
  </w:style>
  <w:style w:type="paragraph" w:customStyle="1" w:styleId="pf0">
    <w:name w:val="pf0"/>
    <w:basedOn w:val="Normal"/>
    <w:rsid w:val="00637B06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character" w:customStyle="1" w:styleId="cf01">
    <w:name w:val="cf01"/>
    <w:basedOn w:val="DefaultParagraphFont"/>
    <w:rsid w:val="00637B06"/>
    <w:rPr>
      <w:rFonts w:ascii="Segoe UI" w:hAnsi="Segoe UI" w:cs="Segoe UI" w:hint="default"/>
      <w:color w:val="1F1F1F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637B06"/>
    <w:rPr>
      <w:rFonts w:ascii="Segoe UI" w:hAnsi="Segoe UI" w:cs="Segoe UI" w:hint="default"/>
      <w:color w:val="1F1F1F"/>
      <w:sz w:val="18"/>
      <w:szCs w:val="18"/>
      <w:u w:val="single"/>
      <w:shd w:val="clear" w:color="auto" w:fill="FFFFFF"/>
    </w:rPr>
  </w:style>
  <w:style w:type="character" w:customStyle="1" w:styleId="cf21">
    <w:name w:val="cf21"/>
    <w:basedOn w:val="DefaultParagraphFont"/>
    <w:rsid w:val="00637B06"/>
    <w:rPr>
      <w:rFonts w:ascii="Segoe UI" w:hAnsi="Segoe UI" w:cs="Segoe UI" w:hint="default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unhideWhenUsed/>
    <w:rsid w:val="00637B06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37B06"/>
    <w:rPr>
      <w:rFonts w:eastAsiaTheme="minorHAnsi"/>
      <w:lang w:val="lv-LV" w:eastAsia="en-US"/>
    </w:rPr>
  </w:style>
  <w:style w:type="character" w:styleId="EndnoteReference">
    <w:name w:val="endnote reference"/>
    <w:basedOn w:val="DefaultParagraphFont"/>
    <w:uiPriority w:val="99"/>
    <w:unhideWhenUsed/>
    <w:rsid w:val="00637B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4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8FD7B-2E0E-4DA2-9BC4-A8F0CC799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2518</Characters>
  <Application>Microsoft Office Word</Application>
  <DocSecurity>0</DocSecurity>
  <Lines>45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MERSCH Larisa</cp:lastModifiedBy>
  <cp:revision>2</cp:revision>
  <cp:lastPrinted>2004-11-19T15:42:00Z</cp:lastPrinted>
  <dcterms:created xsi:type="dcterms:W3CDTF">2024-09-17T11:22:00Z</dcterms:created>
  <dcterms:modified xsi:type="dcterms:W3CDTF">2024-09-17T11:22:00Z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