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0" w:name="TANumber"/>
      <w:r>
        <w:t>P9_TA(2024)0338</w:t>
      </w:r>
      <w:bookmarkEnd w:id="0"/>
    </w:p>
    <w:p>
      <w:pPr>
        <w:pStyle w:val="ATHeading2"/>
      </w:pPr>
      <w:bookmarkStart w:id="1" w:name="title"/>
      <w:r>
        <w:t>Boj proti násiliu na ženách a domácemu násiliu</w:t>
      </w:r>
      <w:bookmarkEnd w:id="1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A9-0234/2023</w:instrText>
      </w:r>
      <w:bookmarkEnd w:id="2"/>
      <w:r>
        <w:rPr>
          <w:i/>
        </w:rPr>
        <w:instrText xml:space="preserve"> - Spravodajkyne: Evin Incir, Frances Fitzgerald)"\l3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3" w:name="Commission"/>
      <w:r>
        <w:rPr>
          <w:vanish/>
        </w:rPr>
        <w:t>Výbor pre občianske slobody, spravodlivosť a vnútorné veci, Výbor pre práva žien a rodovú rovnosť</w:t>
      </w:r>
      <w:bookmarkEnd w:id="3"/>
    </w:p>
    <w:p>
      <w:pPr>
        <w:rPr>
          <w:vanish/>
        </w:rPr>
      </w:pPr>
      <w:bookmarkStart w:id="4" w:name="PE"/>
      <w:r>
        <w:rPr>
          <w:vanish/>
        </w:rPr>
        <w:t>PE739.730</w:t>
      </w:r>
      <w:bookmarkEnd w:id="4"/>
    </w:p>
    <w:p>
      <w:pPr>
        <w:pStyle w:val="ATHeading3"/>
      </w:pPr>
      <w:bookmarkStart w:id="5" w:name="Sujet"/>
      <w:r>
        <w:t>Legislatívne uznesenie Európskeho parlamentu z 24. apríla 2024 o návrhu smernice Európskeho parlamentu a Rady o boji proti násiliu na ženách a domácemu násiliu</w:t>
      </w:r>
      <w:bookmarkEnd w:id="5"/>
      <w:r>
        <w:t xml:space="preserve"> </w:t>
      </w:r>
      <w:bookmarkStart w:id="6" w:name="References"/>
      <w:r>
        <w:t>(COM(2022)0105 – C9-0058/2022 – 2022/0066(COD))</w:t>
      </w:r>
      <w:bookmarkEnd w:id="6"/>
    </w:p>
    <w:p>
      <w:pPr>
        <w:pStyle w:val="NormalBold"/>
      </w:pPr>
      <w:bookmarkStart w:id="7" w:name="TextBodyBegin"/>
      <w:bookmarkEnd w:id="7"/>
      <w:r>
        <w:t>(Riadny legislatívny postup: prvé čítanie)</w:t>
      </w:r>
    </w:p>
    <w:p>
      <w:pPr>
        <w:pStyle w:val="EPComma"/>
      </w:pPr>
      <w:r>
        <w:rPr>
          <w:i/>
          <w:iCs/>
        </w:rPr>
        <w:t>Európsky parlament</w:t>
      </w:r>
      <w:r>
        <w:t>,</w:t>
      </w:r>
    </w:p>
    <w:p>
      <w:pPr>
        <w:pStyle w:val="NormalHanging12a"/>
      </w:pPr>
      <w:r>
        <w:t>–</w:t>
      </w:r>
      <w:r>
        <w:tab/>
        <w:t>so zreteľom na návrh Komisie pre Európsky parlament a Radu (COM(2022)0105),</w:t>
      </w:r>
    </w:p>
    <w:p>
      <w:pPr>
        <w:pStyle w:val="NormalHanging12a"/>
      </w:pPr>
      <w:r>
        <w:t>–</w:t>
      </w:r>
      <w:r>
        <w:tab/>
        <w:t>so zreteľom na článok 294 ods. 2, článok 82 ods. 2 a článok 83 ods. 1 Zmluvy o fungovaní Európskej únie, v súlade s ktorými Komisia predložila návrh Európskemu parlamentu (C9</w:t>
      </w:r>
      <w:r>
        <w:noBreakHyphen/>
        <w:t>0058/2022),</w:t>
      </w:r>
    </w:p>
    <w:p>
      <w:pPr>
        <w:pStyle w:val="NormalHanging12a"/>
      </w:pPr>
      <w:r>
        <w:t>–</w:t>
      </w:r>
      <w:r>
        <w:tab/>
        <w:t>so zreteľom na stanovisko Výboru pre právne veci k navrhnutému právnemu základu,</w:t>
      </w:r>
    </w:p>
    <w:p>
      <w:pPr>
        <w:pStyle w:val="NormalHanging12a"/>
      </w:pPr>
      <w:r>
        <w:t>–</w:t>
      </w:r>
      <w:r>
        <w:tab/>
        <w:t>so zreteľom na článok 294 ods. 3 Zmluvy o fungovaní Európskej únie,</w:t>
      </w:r>
    </w:p>
    <w:p>
      <w:pPr>
        <w:pStyle w:val="NormalHanging12a"/>
      </w:pPr>
      <w:r>
        <w:t>–</w:t>
      </w:r>
      <w:r>
        <w:tab/>
        <w:t>so zreteľom na odôvodnené stanovisko predložené na základe Protokolu č. 2 o uplatňovaní zásad subsidiarity a proporcionality českou Poslaneckou snemovňou, ktorá tvrdí, že návrh legislatívneho aktu nie je v súlade so zásadou subsidiarity,</w:t>
      </w:r>
    </w:p>
    <w:p>
      <w:pPr>
        <w:pStyle w:val="NormalHanging12a"/>
      </w:pPr>
      <w:r>
        <w:t>–</w:t>
      </w:r>
      <w:r>
        <w:tab/>
        <w:t>so zreteľom na stanovisko Európskeho hospodárskeho a sociálneho výboru z 13. júla 2022</w:t>
      </w:r>
      <w:r>
        <w:rPr>
          <w:rStyle w:val="FootnoteReference"/>
        </w:rPr>
        <w:footnoteReference w:id="1"/>
      </w:r>
      <w:r>
        <w:t>,</w:t>
      </w:r>
    </w:p>
    <w:p>
      <w:pPr>
        <w:pStyle w:val="NormalHanging12a"/>
      </w:pPr>
      <w:r>
        <w:t>–</w:t>
      </w:r>
      <w:r>
        <w:tab/>
        <w:t>so zreteľom na predbežnú dohodu schválenú gestorskými výbormi podľa článku 74 ods. 4 rokovacieho poriadku, a na záväzok zástupcu Rady, vyjadrený v liste zo 14. februára 2024, schváliť pozíciu Európskeho parlamentu v súlade s článkom 294 ods. 4 Zmluvy o fungovaní Európskej únie,</w:t>
      </w:r>
    </w:p>
    <w:p>
      <w:pPr>
        <w:pStyle w:val="NormalHanging12a"/>
      </w:pPr>
      <w:r>
        <w:lastRenderedPageBreak/>
        <w:t>–</w:t>
      </w:r>
      <w:r>
        <w:tab/>
        <w:t>so zreteľom na články 59 a 40 rokovacieho poriadku,</w:t>
      </w:r>
    </w:p>
    <w:p>
      <w:pPr>
        <w:pStyle w:val="NormalHanging12a"/>
      </w:pPr>
      <w:r>
        <w:t>–</w:t>
      </w:r>
      <w:r>
        <w:tab/>
        <w:t>so zreteľom na spoločné rokovania Výboru pre občianske slobody, spravodlivosť a vnútorné veci a Výboru pre práva žien a rodovú rovnosť podľa článku 58 rokovacieho poriadku,</w:t>
      </w:r>
    </w:p>
    <w:p>
      <w:pPr>
        <w:pStyle w:val="NormalHanging12a"/>
      </w:pPr>
      <w:r>
        <w:t>–</w:t>
      </w:r>
      <w:r>
        <w:tab/>
        <w:t>so zreteľom na stanovisko Výboru pre zamestnanosť a sociálne veci, Výboru pre rozpočet a Výboru pre právne veci,</w:t>
      </w:r>
    </w:p>
    <w:p>
      <w:pPr>
        <w:pStyle w:val="NormalHanging12a"/>
      </w:pPr>
      <w:r>
        <w:t>–</w:t>
      </w:r>
      <w:r>
        <w:tab/>
        <w:t>so zreteľom na správu Výboru pre občianske slobody, spravodlivosť a vnútorné veci a Výboru pre práva žien a rodovú rovnosť (A9-0234/2023),</w:t>
      </w:r>
    </w:p>
    <w:p>
      <w:pPr>
        <w:pStyle w:val="NormalHanging12a"/>
      </w:pPr>
      <w:r>
        <w:t>1.</w:t>
      </w:r>
      <w:r>
        <w:tab/>
        <w:t>prijíma nasledujúcu pozíciu v prvom čítaní;</w:t>
      </w:r>
    </w:p>
    <w:p>
      <w:pPr>
        <w:pStyle w:val="NormalHanging12a"/>
      </w:pPr>
      <w:r>
        <w:t>2.</w:t>
      </w:r>
      <w:r>
        <w:tab/>
        <w:t>žiada Komisiu, aby mu vec znovu predložila, ak nahrádza, podstatne mení alebo má v úmysle podstatne zmeniť svoj návrh;</w:t>
      </w:r>
    </w:p>
    <w:p>
      <w:pPr>
        <w:pStyle w:val="NormalHanging12a"/>
      </w:pPr>
      <w:r>
        <w:t>3.</w:t>
      </w:r>
      <w:r>
        <w:tab/>
        <w:t>poveruje svoju predsedníčku, aby postúpila túto pozíciu Rade, Komisii a národným parlamentom.</w:t>
      </w:r>
    </w:p>
    <w:p>
      <w:pPr>
        <w:pStyle w:val="NormalHanging12a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>
      <w:pPr>
        <w:pStyle w:val="Institutionquiagit"/>
        <w:keepNext w:val="0"/>
        <w:spacing w:before="0" w:after="240"/>
        <w:jc w:val="left"/>
        <w:outlineLvl w:val="0"/>
        <w:rPr>
          <w:b/>
        </w:rPr>
      </w:pPr>
      <w:r>
        <w:rPr>
          <w:b/>
        </w:rPr>
        <w:lastRenderedPageBreak/>
        <w:t>P9_TC1-COD(2022)0066</w:t>
      </w:r>
    </w:p>
    <w:p>
      <w:pPr>
        <w:pStyle w:val="NormalHanging12a"/>
        <w:ind w:left="0" w:firstLine="0"/>
        <w:rPr>
          <w:rFonts w:eastAsia="Calibri"/>
          <w:b/>
          <w:szCs w:val="24"/>
          <w:lang w:eastAsia="en-US"/>
        </w:rPr>
      </w:pPr>
      <w:r>
        <w:rPr>
          <w:b/>
        </w:rPr>
        <w:t xml:space="preserve">Pozícia Európskeho parlamentu prijatá v prvom čítaní 24. apríla 2024 na účely prijatia smernice Európskeho parlamentu a Rady (EÚ) 2024/... </w:t>
      </w:r>
      <w:r>
        <w:rPr>
          <w:rFonts w:eastAsia="Calibri"/>
          <w:b/>
          <w:szCs w:val="22"/>
          <w:lang w:eastAsia="en-US"/>
        </w:rPr>
        <w:t>o boji proti násiliu na ženách a domácemu násiliu</w:t>
      </w:r>
    </w:p>
    <w:p>
      <w:r>
        <w:rPr>
          <w:i/>
          <w:iCs/>
        </w:rPr>
        <w:t xml:space="preserve">(Keďže bola dosiahnutá dohoda medzi Európskym parlamentom a Radou, pozícia Európskeho parlamentu zodpovedá záverečnému legislatívnemu aktu, </w:t>
      </w:r>
      <w:r>
        <w:rPr>
          <w:i/>
          <w:iCs/>
        </w:rPr>
        <w:t>smernici</w:t>
      </w:r>
      <w:r>
        <w:rPr>
          <w:i/>
          <w:iCs/>
        </w:rPr>
        <w:t xml:space="preserve"> </w:t>
      </w:r>
      <w:r>
        <w:rPr>
          <w:i/>
          <w:iCs/>
        </w:rPr>
        <w:t>(EÚ) 2024/1385</w:t>
      </w:r>
      <w:bookmarkStart w:id="8" w:name="_GoBack"/>
      <w:bookmarkEnd w:id="8"/>
      <w:r>
        <w:rPr>
          <w:i/>
          <w:iCs/>
        </w:rPr>
        <w:t>.)</w:t>
      </w:r>
    </w:p>
    <w:p>
      <w:pPr>
        <w:widowControl/>
        <w:spacing w:before="600" w:after="120" w:line="360" w:lineRule="auto"/>
        <w:rPr>
          <w:rFonts w:eastAsia="Calibri"/>
          <w:szCs w:val="22"/>
          <w:lang w:eastAsia="en-US"/>
        </w:rPr>
      </w:pPr>
    </w:p>
    <w:sectPr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arnock Pro">
    <w:altName w:val="Warnock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  <w:sz w:val="24"/>
          <w:szCs w:val="24"/>
          <w:lang w:val="sk-SK"/>
        </w:rPr>
        <w:footnoteRef/>
      </w:r>
      <w:r>
        <w:rPr>
          <w:sz w:val="24"/>
          <w:szCs w:val="24"/>
          <w:lang w:val="sk-SK"/>
        </w:rPr>
        <w:t xml:space="preserve"> </w:t>
      </w:r>
      <w:r>
        <w:rPr>
          <w:sz w:val="24"/>
          <w:szCs w:val="24"/>
          <w:lang w:val="sk-SK"/>
        </w:rPr>
        <w:tab/>
        <w:t>Ú. v. EÚ C 443, 22.11.2022, s. 93.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6495604"/>
    <w:multiLevelType w:val="multilevel"/>
    <w:tmpl w:val="B8A4F914"/>
    <w:lvl w:ilvl="0">
      <w:start w:val="1"/>
      <w:numFmt w:val="decimal"/>
      <w:pStyle w:val="Point123"/>
      <w:lvlText w:val="%1."/>
      <w:lvlJc w:val="left"/>
      <w:pPr>
        <w:tabs>
          <w:tab w:val="num" w:pos="567"/>
        </w:tabs>
        <w:ind w:left="567" w:hanging="567"/>
      </w:pPr>
      <w:rPr>
        <w:i w:val="0"/>
        <w:iCs w:val="0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4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6" w15:restartNumberingAfterBreak="0">
    <w:nsid w:val="22E44180"/>
    <w:multiLevelType w:val="multilevel"/>
    <w:tmpl w:val="DFC88CEC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8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9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0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3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4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5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6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7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8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9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0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1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2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3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2"/>
  </w:num>
  <w:num w:numId="2">
    <w:abstractNumId w:val="1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  <w:lvlOverride w:ilvl="0">
      <w:startOverride w:val="1"/>
    </w:lvlOverride>
  </w:num>
  <w:num w:numId="5">
    <w:abstractNumId w:val="21"/>
    <w:lvlOverride w:ilvl="0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9"/>
  </w:num>
  <w:num w:numId="10">
    <w:abstractNumId w:val="17"/>
  </w:num>
  <w:num w:numId="11">
    <w:abstractNumId w:val="16"/>
  </w:num>
  <w:num w:numId="12">
    <w:abstractNumId w:val="3"/>
  </w:num>
  <w:num w:numId="13">
    <w:abstractNumId w:val="10"/>
  </w:num>
  <w:num w:numId="14">
    <w:abstractNumId w:val="4"/>
  </w:num>
  <w:num w:numId="15">
    <w:abstractNumId w:val="22"/>
    <w:lvlOverride w:ilvl="0">
      <w:startOverride w:val="1"/>
    </w:lvlOverride>
  </w:num>
  <w:num w:numId="16">
    <w:abstractNumId w:val="12"/>
    <w:lvlOverride w:ilvl="0">
      <w:startOverride w:val="1"/>
    </w:lvlOverride>
  </w:num>
  <w:num w:numId="17">
    <w:abstractNumId w:val="19"/>
    <w:lvlOverride w:ilvl="0">
      <w:startOverride w:val="1"/>
    </w:lvlOverride>
  </w:num>
  <w:num w:numId="18">
    <w:abstractNumId w:val="15"/>
    <w:lvlOverride w:ilvl="0">
      <w:startOverride w:val="1"/>
    </w:lvlOverride>
  </w:num>
  <w:num w:numId="19">
    <w:abstractNumId w:val="8"/>
  </w:num>
  <w:num w:numId="20">
    <w:abstractNumId w:val="13"/>
  </w:num>
  <w:num w:numId="21">
    <w:abstractNumId w:val="20"/>
  </w:num>
  <w:num w:numId="22">
    <w:abstractNumId w:val="7"/>
  </w:num>
  <w:num w:numId="23">
    <w:abstractNumId w:val="18"/>
  </w:num>
  <w:num w:numId="24">
    <w:abstractNumId w:val="14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34/2023"/>
    <w:docVar w:name="dvlangue" w:val="SK"/>
    <w:docVar w:name="dvnumam" w:val="642"/>
    <w:docVar w:name="dvpe" w:val="739.730"/>
    <w:docVar w:name="dvrapporteur" w:val="Spravodajcovia: "/>
    <w:docVar w:name="dvstar" w:val="***I"/>
    <w:docVar w:name="dvtitre" w:val="Legislatívne uznesenie Európskeho parlamentu z xx. apríla 2024 o návrhu smernice Európskeho parlamentu a Rady o boji proti násiliu na ženách a domácemu násiliu(COM(2022)0105 – C9-0058/2022 – 2022/0066(COD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D24E82-2B4F-42F8-88BC-C7DD3AD0D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uiPriority w:val="99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</w:style>
  <w:style w:type="paragraph" w:styleId="TOC2">
    <w:name w:val="toc 2"/>
    <w:basedOn w:val="Normal"/>
    <w:next w:val="Normal"/>
    <w:autoRedefine/>
    <w:uiPriority w:val="39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i/>
      <w:sz w:val="22"/>
      <w:lang w:val="sk-SK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="Arial" w:hAnsi="Arial"/>
      <w:sz w:val="24"/>
      <w:lang w:val="sk-SK"/>
    </w:rPr>
  </w:style>
  <w:style w:type="character" w:customStyle="1" w:styleId="Heading8Char">
    <w:name w:val="Heading 8 Char"/>
    <w:basedOn w:val="DefaultParagraphFont"/>
    <w:link w:val="Heading8"/>
    <w:semiHidden/>
    <w:rPr>
      <w:rFonts w:ascii="Arial" w:hAnsi="Arial"/>
      <w:i/>
      <w:sz w:val="24"/>
      <w:lang w:val="sk-SK"/>
    </w:rPr>
  </w:style>
  <w:style w:type="character" w:customStyle="1" w:styleId="Heading9Char">
    <w:name w:val="Heading 9 Char"/>
    <w:basedOn w:val="DefaultParagraphFont"/>
    <w:link w:val="Heading9"/>
    <w:semiHidden/>
    <w:rPr>
      <w:rFonts w:ascii="Arial" w:hAnsi="Arial"/>
      <w:b/>
      <w:i/>
      <w:sz w:val="18"/>
      <w:lang w:val="sk-SK"/>
    </w:rPr>
  </w:style>
  <w:style w:type="paragraph" w:styleId="TOCHeading">
    <w:name w:val="TOC Heading"/>
    <w:basedOn w:val="Normal"/>
    <w:next w:val="Normal"/>
    <w:uiPriority w:val="39"/>
    <w:unhideWhenUsed/>
    <w:qFormat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character" w:customStyle="1" w:styleId="NormalBoldChar">
    <w:name w:val="NormalBold Char"/>
    <w:basedOn w:val="DefaultParagraphFont"/>
    <w:link w:val="NormalBold"/>
    <w:locked/>
    <w:rPr>
      <w:b/>
      <w:sz w:val="24"/>
      <w:lang w:val="sk-SK"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link w:val="NormalHanging12aChar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locked/>
    <w:rPr>
      <w:sz w:val="24"/>
      <w:lang w:val="sk-SK"/>
    </w:rPr>
  </w:style>
  <w:style w:type="paragraph" w:customStyle="1" w:styleId="CoverNormal24a">
    <w:name w:val="CoverNormal24a"/>
    <w:basedOn w:val="Normal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Pr>
      <w:sz w:val="24"/>
      <w:lang w:val="sk-SK"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pPr>
      <w:spacing w:before="240"/>
    </w:pPr>
    <w:rPr>
      <w:b/>
    </w:rPr>
  </w:style>
  <w:style w:type="paragraph" w:customStyle="1" w:styleId="EPBody">
    <w:name w:val="EPBody"/>
    <w:basedOn w:val="Normal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Lgendesigne">
    <w:name w:val="Légende signe"/>
    <w:basedOn w:val="Normal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Pr>
      <w:sz w:val="18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Normal12Char">
    <w:name w:val="Normal12 Char"/>
    <w:basedOn w:val="DefaultParagraphFont"/>
    <w:link w:val="Normal12"/>
    <w:locked/>
    <w:rPr>
      <w:noProof/>
      <w:sz w:val="24"/>
    </w:rPr>
  </w:style>
  <w:style w:type="paragraph" w:customStyle="1" w:styleId="Normal12">
    <w:name w:val="Normal12"/>
    <w:basedOn w:val="Normal"/>
    <w:link w:val="Normal12Char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Pr>
      <w:sz w:val="24"/>
      <w:lang w:val="sk-SK"/>
    </w:rPr>
  </w:style>
  <w:style w:type="paragraph" w:customStyle="1" w:styleId="Normal6">
    <w:name w:val="Normal6"/>
    <w:basedOn w:val="Normal"/>
    <w:link w:val="Normal6Char"/>
    <w:pPr>
      <w:spacing w:after="120"/>
    </w:pPr>
  </w:style>
  <w:style w:type="paragraph" w:customStyle="1" w:styleId="Normal12Italic">
    <w:name w:val="Normal12Italic"/>
    <w:basedOn w:val="Normal12"/>
    <w:rPr>
      <w:i/>
    </w:rPr>
  </w:style>
  <w:style w:type="paragraph" w:styleId="ListParagraph">
    <w:name w:val="List Paragraph"/>
    <w:aliases w:val="Bullet List Paragraph,List Paragraph1,Elenco a colori - Colore 11,Fiche List Paragraph,Conclusion de partie,Dot pt,No Spacing1,List Paragraph Char Char Char,Indicator Text,Numbered Para 1,Bullet Points,MAIN CONTENT,List Paragraph12,L,EC,3"/>
    <w:basedOn w:val="Normal"/>
    <w:link w:val="ListParagraphChar"/>
    <w:uiPriority w:val="34"/>
    <w:qFormat/>
    <w:pPr>
      <w:ind w:left="720"/>
      <w:contextualSpacing/>
    </w:pPr>
    <w:rPr>
      <w:szCs w:val="24"/>
    </w:rPr>
  </w:style>
  <w:style w:type="paragraph" w:customStyle="1" w:styleId="EntPE">
    <w:name w:val="EntPE"/>
    <w:basedOn w:val="Normal12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link w:val="CommentTextChar"/>
    <w:qFormat/>
    <w:rPr>
      <w:sz w:val="20"/>
    </w:rPr>
  </w:style>
  <w:style w:type="character" w:customStyle="1" w:styleId="CommentTextChar">
    <w:name w:val="Comment Text Char"/>
    <w:basedOn w:val="DefaultParagraphFont"/>
    <w:link w:val="CommentText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rPr>
      <w:b/>
      <w:bCs/>
      <w:lang w:val="sk-SK"/>
    </w:rPr>
  </w:style>
  <w:style w:type="paragraph" w:styleId="BalloonText">
    <w:name w:val="Balloon Text"/>
    <w:basedOn w:val="Normal"/>
    <w:link w:val="BalloonTextChar"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val="sk-SK"/>
    </w:rPr>
  </w:style>
  <w:style w:type="paragraph" w:customStyle="1" w:styleId="AMNumberTabs0">
    <w:name w:val="AMNumberTabs"/>
    <w:basedOn w:val="Normal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pPr>
      <w:spacing w:after="240"/>
      <w:jc w:val="center"/>
    </w:pPr>
    <w:rPr>
      <w:i/>
    </w:rPr>
  </w:style>
  <w:style w:type="paragraph" w:customStyle="1" w:styleId="Olang">
    <w:name w:val="Olang"/>
    <w:basedOn w:val="Normal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"/>
    <w:pPr>
      <w:keepNext/>
      <w:spacing w:before="240" w:after="240"/>
      <w:jc w:val="center"/>
    </w:pPr>
    <w:rPr>
      <w:i/>
      <w:noProof/>
    </w:rPr>
  </w:style>
  <w:style w:type="paragraph" w:customStyle="1" w:styleId="Normal12Hanging">
    <w:name w:val="Normal12Hanging"/>
    <w:basedOn w:val="Normal12"/>
    <w:pPr>
      <w:ind w:left="357" w:hanging="357"/>
    </w:pPr>
    <w:rPr>
      <w:noProof w:val="0"/>
      <w:snapToGrid w:val="0"/>
    </w:r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PageHeadingNotTOC">
    <w:name w:val="PageHeadingNotTOC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msonormal0">
    <w:name w:val="msonormal"/>
    <w:basedOn w:val="Normal"/>
    <w:uiPriority w:val="99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pPr>
      <w:widowControl/>
      <w:spacing w:before="100" w:beforeAutospacing="1" w:after="100" w:afterAutospacing="1"/>
    </w:pPr>
    <w:rPr>
      <w:szCs w:val="24"/>
    </w:rPr>
  </w:style>
  <w:style w:type="paragraph" w:customStyle="1" w:styleId="Point1">
    <w:name w:val="Point 1"/>
    <w:basedOn w:val="Normal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Normal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RollCallSymbols14pt">
    <w:name w:val="RollCallSymbols14pt"/>
    <w:basedOn w:val="Normal"/>
    <w:pPr>
      <w:snapToGrid w:val="0"/>
      <w:spacing w:before="120" w:after="120"/>
      <w:jc w:val="center"/>
    </w:pPr>
    <w:rPr>
      <w:rFonts w:ascii="Arial" w:hAnsi="Arial"/>
      <w:b/>
      <w:bCs/>
      <w:sz w:val="28"/>
      <w:lang w:eastAsia="en-US"/>
    </w:rPr>
  </w:style>
  <w:style w:type="paragraph" w:customStyle="1" w:styleId="RollCallTabs">
    <w:name w:val="RollCallTabs"/>
    <w:basedOn w:val="Normal"/>
    <w:qFormat/>
    <w:pPr>
      <w:tabs>
        <w:tab w:val="center" w:pos="284"/>
        <w:tab w:val="left" w:pos="426"/>
      </w:tabs>
      <w:snapToGrid w:val="0"/>
    </w:pPr>
    <w:rPr>
      <w:lang w:eastAsia="en-US"/>
    </w:rPr>
  </w:style>
  <w:style w:type="paragraph" w:customStyle="1" w:styleId="RollCallVotes">
    <w:name w:val="RollCallVotes"/>
    <w:basedOn w:val="Normal"/>
    <w:pPr>
      <w:snapToGrid w:val="0"/>
      <w:spacing w:before="120" w:after="120"/>
      <w:jc w:val="center"/>
    </w:pPr>
    <w:rPr>
      <w:b/>
      <w:bCs/>
      <w:sz w:val="16"/>
      <w:lang w:eastAsia="en-US"/>
    </w:rPr>
  </w:style>
  <w:style w:type="paragraph" w:customStyle="1" w:styleId="RollCallTable">
    <w:name w:val="RollCallTable"/>
    <w:basedOn w:val="Normal"/>
    <w:pPr>
      <w:snapToGrid w:val="0"/>
      <w:spacing w:before="120" w:after="120"/>
    </w:pPr>
    <w:rPr>
      <w:sz w:val="16"/>
      <w:lang w:eastAsia="en-US"/>
    </w:rPr>
  </w:style>
  <w:style w:type="paragraph" w:customStyle="1" w:styleId="Normal24a">
    <w:name w:val="Normal24a"/>
    <w:basedOn w:val="Normal"/>
    <w:link w:val="Normal24aChar"/>
    <w:pPr>
      <w:spacing w:after="480"/>
    </w:pPr>
  </w:style>
  <w:style w:type="character" w:customStyle="1" w:styleId="Normal24aChar">
    <w:name w:val="Normal24a Char"/>
    <w:basedOn w:val="DefaultParagraphFont"/>
    <w:link w:val="Normal24a"/>
    <w:rPr>
      <w:sz w:val="24"/>
      <w:lang w:val="sk-SK"/>
    </w:rPr>
  </w:style>
  <w:style w:type="character" w:customStyle="1" w:styleId="Sup">
    <w:name w:val="Sup"/>
    <w:uiPriority w:val="1"/>
    <w:qFormat/>
    <w:rPr>
      <w:vertAlign w:val="superscript"/>
    </w:rPr>
  </w:style>
  <w:style w:type="character" w:customStyle="1" w:styleId="SupBoldItalic">
    <w:name w:val="SupBoldItalic"/>
    <w:uiPriority w:val="1"/>
    <w:qFormat/>
    <w:rPr>
      <w:b/>
      <w:i/>
      <w:vertAlign w:val="superscript"/>
    </w:rPr>
  </w:style>
  <w:style w:type="paragraph" w:customStyle="1" w:styleId="LetterSubject">
    <w:name w:val="LetterSubject"/>
    <w:basedOn w:val="Normal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pPr>
      <w:spacing w:before="1320"/>
    </w:pPr>
  </w:style>
  <w:style w:type="paragraph" w:customStyle="1" w:styleId="LetterSalutation">
    <w:name w:val="LetterSalutation"/>
    <w:basedOn w:val="Normal"/>
    <w:pPr>
      <w:spacing w:before="600" w:after="360"/>
    </w:p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Warnock Pro" w:eastAsiaTheme="minorHAnsi" w:hAnsi="Warnock Pro" w:cs="Warnock Pro"/>
      <w:color w:val="000000"/>
      <w:sz w:val="24"/>
      <w:szCs w:val="24"/>
      <w:lang w:val="sk-SK" w:eastAsia="en-US"/>
    </w:rPr>
  </w:style>
  <w:style w:type="paragraph" w:customStyle="1" w:styleId="Pointabc">
    <w:name w:val="Point abc"/>
    <w:basedOn w:val="Normal"/>
    <w:pPr>
      <w:widowControl/>
      <w:numPr>
        <w:ilvl w:val="1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1">
    <w:name w:val="Point abc (1)"/>
    <w:basedOn w:val="Normal"/>
    <w:pPr>
      <w:widowControl/>
      <w:numPr>
        <w:ilvl w:val="3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2">
    <w:name w:val="Point abc (2)"/>
    <w:basedOn w:val="Normal"/>
    <w:pPr>
      <w:widowControl/>
      <w:numPr>
        <w:ilvl w:val="5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3">
    <w:name w:val="Point abc (3)"/>
    <w:basedOn w:val="Normal"/>
    <w:pPr>
      <w:widowControl/>
      <w:numPr>
        <w:ilvl w:val="7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4">
    <w:name w:val="Point abc (4)"/>
    <w:basedOn w:val="Normal"/>
    <w:pPr>
      <w:widowControl/>
      <w:numPr>
        <w:ilvl w:val="8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">
    <w:name w:val="Point 123"/>
    <w:basedOn w:val="Normal"/>
    <w:pPr>
      <w:widowControl/>
      <w:numPr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1">
    <w:name w:val="Point 123 (1)"/>
    <w:basedOn w:val="Normal"/>
    <w:pPr>
      <w:widowControl/>
      <w:numPr>
        <w:ilvl w:val="2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2">
    <w:name w:val="Point 123 (2)"/>
    <w:basedOn w:val="Normal"/>
    <w:pPr>
      <w:widowControl/>
      <w:numPr>
        <w:ilvl w:val="4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3">
    <w:name w:val="Point 123 (3)"/>
    <w:basedOn w:val="Normal"/>
    <w:pPr>
      <w:widowControl/>
      <w:numPr>
        <w:ilvl w:val="6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character" w:customStyle="1" w:styleId="Nessuno">
    <w:name w:val="Nessuno"/>
  </w:style>
  <w:style w:type="character" w:customStyle="1" w:styleId="outputecliaff">
    <w:name w:val="outputecliaff"/>
    <w:basedOn w:val="DefaultParagraphFont"/>
  </w:style>
  <w:style w:type="character" w:customStyle="1" w:styleId="affairetitle">
    <w:name w:val="affaire_title"/>
    <w:basedOn w:val="DefaultParagraphFont"/>
  </w:style>
  <w:style w:type="paragraph" w:styleId="Index1">
    <w:name w:val="index 1"/>
    <w:basedOn w:val="Normal"/>
    <w:next w:val="Normal"/>
    <w:autoRedefine/>
    <w:unhideWhenUsed/>
    <w:pPr>
      <w:widowControl/>
      <w:snapToGrid w:val="0"/>
    </w:p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sk-SK"/>
    </w:rPr>
  </w:style>
  <w:style w:type="paragraph" w:customStyle="1" w:styleId="AmDocTypeTab">
    <w:name w:val="AmDocTypeTab"/>
    <w:basedOn w:val="Normal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pPr>
      <w:spacing w:after="240"/>
      <w:jc w:val="center"/>
    </w:pPr>
  </w:style>
  <w:style w:type="paragraph" w:customStyle="1" w:styleId="AmDateTab">
    <w:name w:val="AmDateTab"/>
    <w:basedOn w:val="Normal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</w:style>
  <w:style w:type="paragraph" w:styleId="ListNumber">
    <w:name w:val="List Number"/>
    <w:basedOn w:val="Normal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Number4">
    <w:name w:val="List Number 4"/>
    <w:basedOn w:val="Normal"/>
    <w:pPr>
      <w:widowControl/>
      <w:tabs>
        <w:tab w:val="num" w:pos="360"/>
      </w:tabs>
      <w:spacing w:before="120" w:after="120"/>
      <w:jc w:val="both"/>
    </w:pPr>
    <w:rPr>
      <w:szCs w:val="22"/>
    </w:rPr>
  </w:style>
  <w:style w:type="paragraph" w:styleId="ListBullet">
    <w:name w:val="List Bullet"/>
    <w:basedOn w:val="Normal"/>
    <w:unhideWhenUsed/>
    <w:pPr>
      <w:widowControl/>
      <w:tabs>
        <w:tab w:val="num" w:pos="720"/>
      </w:tabs>
      <w:spacing w:before="120" w:after="120"/>
      <w:ind w:left="72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nhideWhenUsed/>
    <w:pPr>
      <w:widowControl/>
      <w:tabs>
        <w:tab w:val="num" w:pos="720"/>
      </w:tabs>
      <w:spacing w:before="120" w:after="120"/>
      <w:ind w:left="72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nhideWhenUsed/>
    <w:pPr>
      <w:widowControl/>
      <w:tabs>
        <w:tab w:val="num" w:pos="1080"/>
      </w:tabs>
      <w:spacing w:before="120" w:after="120"/>
      <w:ind w:left="108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nhideWhenUsed/>
    <w:pPr>
      <w:widowControl/>
      <w:tabs>
        <w:tab w:val="num" w:pos="1080"/>
      </w:tabs>
      <w:spacing w:before="120" w:after="120"/>
      <w:ind w:left="1080" w:hanging="360"/>
      <w:contextualSpacing/>
      <w:jc w:val="both"/>
    </w:pPr>
    <w:rPr>
      <w:rFonts w:eastAsia="Calibri"/>
      <w:szCs w:val="22"/>
      <w:lang w:eastAsia="en-US"/>
    </w:rPr>
  </w:style>
  <w:style w:type="character" w:customStyle="1" w:styleId="ListParagraphChar">
    <w:name w:val="List Paragraph Char"/>
    <w:aliases w:val="Bullet List Paragraph Char,List Paragraph1 Char,Elenco a colori - Colore 11 Char,Fiche List Paragraph Char,Conclusion de partie Char,Dot pt Char,No Spacing1 Char,List Paragraph Char Char Char Char,Indicator Text Char,L Char,EC Char"/>
    <w:link w:val="ListParagraph"/>
    <w:uiPriority w:val="34"/>
    <w:qFormat/>
    <w:locked/>
    <w:rPr>
      <w:sz w:val="24"/>
      <w:szCs w:val="24"/>
      <w:lang w:val="sk-SK"/>
    </w:rPr>
  </w:style>
  <w:style w:type="paragraph" w:customStyle="1" w:styleId="Caption1">
    <w:name w:val="Caption1"/>
    <w:basedOn w:val="Normal"/>
    <w:next w:val="Normal"/>
    <w:unhideWhenUsed/>
    <w:qFormat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nhideWhenUsed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nhideWhenUsed/>
    <w:pPr>
      <w:widowControl/>
      <w:tabs>
        <w:tab w:val="num" w:pos="1440"/>
      </w:tabs>
      <w:spacing w:before="120" w:after="120"/>
      <w:ind w:left="1440" w:hanging="360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nhideWhenUsed/>
    <w:pPr>
      <w:widowControl/>
      <w:tabs>
        <w:tab w:val="num" w:pos="1800"/>
      </w:tabs>
      <w:spacing w:before="120" w:after="120"/>
      <w:ind w:left="180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Normal2">
    <w:name w:val="Normal2"/>
    <w:basedOn w:val="Normal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ListBullet1">
    <w:name w:val="List Bullet 1"/>
    <w:basedOn w:val="Normal"/>
    <w:pPr>
      <w:widowControl/>
      <w:numPr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pPr>
      <w:widowControl/>
      <w:numPr>
        <w:numId w:val="9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pPr>
      <w:widowControl/>
      <w:numPr>
        <w:numId w:val="10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pPr>
      <w:widowControl/>
      <w:numPr>
        <w:numId w:val="11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pPr>
      <w:widowControl/>
      <w:tabs>
        <w:tab w:val="num" w:pos="2126"/>
      </w:tabs>
      <w:spacing w:before="120" w:after="120"/>
      <w:ind w:left="2126" w:hanging="709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pPr>
      <w:widowControl/>
      <w:tabs>
        <w:tab w:val="num" w:pos="2835"/>
      </w:tabs>
      <w:spacing w:before="120" w:after="120"/>
      <w:ind w:left="2835" w:hanging="709"/>
      <w:jc w:val="both"/>
    </w:pPr>
    <w:rPr>
      <w:szCs w:val="22"/>
      <w:lang w:eastAsia="de-DE"/>
    </w:rPr>
  </w:style>
  <w:style w:type="table" w:customStyle="1" w:styleId="TableGrid1">
    <w:name w:val="Table Grid1"/>
    <w:basedOn w:val="TableNormal"/>
    <w:next w:val="TableGrid"/>
    <w:pPr>
      <w:spacing w:before="120" w:after="120"/>
      <w:jc w:val="both"/>
    </w:pPr>
    <w:rPr>
      <w:lang w:val="sk-SK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Dash3">
    <w:name w:val="List Dash 3"/>
    <w:basedOn w:val="Normal"/>
    <w:pPr>
      <w:widowControl/>
      <w:numPr>
        <w:numId w:val="12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pPr>
      <w:widowControl/>
      <w:numPr>
        <w:numId w:val="13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pPr>
      <w:numPr>
        <w:numId w:val="14"/>
      </w:numPr>
      <w:tabs>
        <w:tab w:val="clear" w:pos="1560"/>
        <w:tab w:val="num" w:pos="850"/>
      </w:tabs>
      <w:ind w:left="850" w:hanging="850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pPr>
      <w:numPr>
        <w:ilvl w:val="1"/>
        <w:numId w:val="14"/>
      </w:numPr>
      <w:tabs>
        <w:tab w:val="clear" w:pos="2268"/>
        <w:tab w:val="num" w:pos="850"/>
      </w:tabs>
      <w:ind w:left="850" w:hanging="850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pPr>
      <w:numPr>
        <w:ilvl w:val="2"/>
        <w:numId w:val="14"/>
      </w:numPr>
      <w:tabs>
        <w:tab w:val="clear" w:pos="2977"/>
        <w:tab w:val="num" w:pos="850"/>
      </w:tabs>
      <w:ind w:left="850" w:hanging="850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pPr>
      <w:numPr>
        <w:ilvl w:val="3"/>
        <w:numId w:val="14"/>
      </w:numPr>
      <w:tabs>
        <w:tab w:val="clear" w:pos="3686"/>
        <w:tab w:val="num" w:pos="850"/>
      </w:tabs>
      <w:ind w:left="850" w:hanging="850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pPr>
      <w:widowControl/>
      <w:spacing w:before="120" w:after="120"/>
      <w:jc w:val="center"/>
    </w:pPr>
    <w:rPr>
      <w:b/>
      <w:szCs w:val="22"/>
      <w:u w:val="single"/>
    </w:rPr>
  </w:style>
  <w:style w:type="character" w:customStyle="1" w:styleId="tw4winMark">
    <w:name w:val="tw4winMark"/>
    <w:rPr>
      <w:vanish/>
      <w:color w:val="800080"/>
      <w:vertAlign w:val="subscript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Sous-titreobjet">
    <w:name w:val="Sous-titre objet"/>
    <w:basedOn w:val="Normal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</w:style>
  <w:style w:type="paragraph" w:styleId="Revision">
    <w:name w:val="Revision"/>
    <w:hidden/>
    <w:uiPriority w:val="99"/>
    <w:semiHidden/>
    <w:pPr>
      <w:spacing w:after="200" w:line="276" w:lineRule="auto"/>
    </w:pPr>
    <w:rPr>
      <w:rFonts w:ascii="Calibri" w:eastAsia="Calibri" w:hAnsi="Calibri"/>
      <w:sz w:val="24"/>
      <w:szCs w:val="22"/>
      <w:lang w:val="sk-SK"/>
    </w:rPr>
  </w:style>
  <w:style w:type="paragraph" w:customStyle="1" w:styleId="FooterCoverPage">
    <w:name w:val="Footer Cover Page"/>
    <w:basedOn w:val="Normal"/>
    <w:link w:val="FooterCoverPageChar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TOCHeadingChar">
    <w:name w:val="TOC Heading Char"/>
    <w:uiPriority w:val="39"/>
    <w:rPr>
      <w:rFonts w:ascii="Times New Roman" w:hAnsi="Times New Roman" w:cs="Times New Roman"/>
      <w:b/>
      <w:sz w:val="28"/>
      <w:lang w:val="sk-SK"/>
    </w:rPr>
  </w:style>
  <w:style w:type="character" w:customStyle="1" w:styleId="FooterCoverPageChar">
    <w:name w:val="Footer Cover Page Char"/>
    <w:link w:val="FooterCoverPage"/>
    <w:rPr>
      <w:rFonts w:eastAsia="Calibri"/>
      <w:sz w:val="24"/>
      <w:szCs w:val="22"/>
      <w:lang w:val="sk-SK"/>
    </w:rPr>
  </w:style>
  <w:style w:type="paragraph" w:customStyle="1" w:styleId="HeaderCoverPage">
    <w:name w:val="Header Cover Page"/>
    <w:basedOn w:val="Normal"/>
    <w:link w:val="HeaderCoverPageChar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Pr>
      <w:rFonts w:eastAsia="Calibri"/>
      <w:sz w:val="24"/>
      <w:szCs w:val="22"/>
      <w:lang w:val="sk-SK"/>
    </w:rPr>
  </w:style>
  <w:style w:type="paragraph" w:customStyle="1" w:styleId="ti-art">
    <w:name w:val="ti-art"/>
    <w:basedOn w:val="Normal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sti-art">
    <w:name w:val="sti-art"/>
    <w:basedOn w:val="Normal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rmal1">
    <w:name w:val="Normal1"/>
    <w:basedOn w:val="Normal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rmal3">
    <w:name w:val="Normal3"/>
    <w:basedOn w:val="Normal"/>
    <w:pPr>
      <w:widowControl/>
      <w:spacing w:before="100" w:beforeAutospacing="1" w:after="100" w:afterAutospacing="1"/>
    </w:pPr>
    <w:rPr>
      <w:szCs w:val="24"/>
    </w:rPr>
  </w:style>
  <w:style w:type="paragraph" w:customStyle="1" w:styleId="Num">
    <w:name w:val="Num"/>
    <w:basedOn w:val="Text1"/>
  </w:style>
  <w:style w:type="paragraph" w:customStyle="1" w:styleId="Point">
    <w:name w:val="Point"/>
    <w:basedOn w:val="NumPar1"/>
  </w:style>
  <w:style w:type="paragraph" w:customStyle="1" w:styleId="Pointletter">
    <w:name w:val="Point letter"/>
    <w:basedOn w:val="Point"/>
  </w:style>
  <w:style w:type="paragraph" w:customStyle="1" w:styleId="Numpar">
    <w:name w:val="Num par"/>
    <w:basedOn w:val="Text1"/>
  </w:style>
  <w:style w:type="paragraph" w:styleId="TOC4">
    <w:name w:val="toc 4"/>
    <w:basedOn w:val="Normal"/>
    <w:next w:val="Normal"/>
    <w:uiPriority w:val="39"/>
    <w:unhideWhenUsed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pPr>
      <w:widowControl/>
      <w:tabs>
        <w:tab w:val="right" w:leader="dot" w:pos="9071"/>
      </w:tabs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1">
    <w:name w:val="Text 1"/>
    <w:basedOn w:val="Normal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pPr>
      <w:numPr>
        <w:numId w:val="5"/>
      </w:numPr>
      <w:tabs>
        <w:tab w:val="clear" w:pos="850"/>
        <w:tab w:val="num" w:pos="360"/>
      </w:tabs>
    </w:pPr>
  </w:style>
  <w:style w:type="paragraph" w:customStyle="1" w:styleId="Tiret1">
    <w:name w:val="Tiret 1"/>
    <w:basedOn w:val="Point1"/>
    <w:pPr>
      <w:numPr>
        <w:numId w:val="16"/>
      </w:numPr>
      <w:tabs>
        <w:tab w:val="clear" w:pos="1417"/>
        <w:tab w:val="num" w:pos="360"/>
      </w:tabs>
    </w:pPr>
    <w:rPr>
      <w:rFonts w:eastAsia="Calibri"/>
    </w:rPr>
  </w:style>
  <w:style w:type="paragraph" w:customStyle="1" w:styleId="Tiret2">
    <w:name w:val="Tiret 2"/>
    <w:basedOn w:val="Point2"/>
    <w:pPr>
      <w:numPr>
        <w:numId w:val="15"/>
      </w:numPr>
      <w:tabs>
        <w:tab w:val="clear" w:pos="1984"/>
        <w:tab w:val="num" w:pos="360"/>
      </w:tabs>
    </w:pPr>
  </w:style>
  <w:style w:type="paragraph" w:customStyle="1" w:styleId="Tiret3">
    <w:name w:val="Tiret 3"/>
    <w:basedOn w:val="Point3"/>
    <w:pPr>
      <w:numPr>
        <w:numId w:val="19"/>
      </w:numPr>
      <w:tabs>
        <w:tab w:val="clear" w:pos="2551"/>
        <w:tab w:val="num" w:pos="360"/>
      </w:tabs>
    </w:pPr>
  </w:style>
  <w:style w:type="paragraph" w:customStyle="1" w:styleId="Tiret4">
    <w:name w:val="Tiret 4"/>
    <w:basedOn w:val="Point4"/>
    <w:pPr>
      <w:numPr>
        <w:numId w:val="20"/>
      </w:numPr>
      <w:tabs>
        <w:tab w:val="clear" w:pos="3118"/>
        <w:tab w:val="num" w:pos="360"/>
      </w:tabs>
    </w:pPr>
  </w:style>
  <w:style w:type="paragraph" w:customStyle="1" w:styleId="PointDouble0">
    <w:name w:val="PointDouble 0"/>
    <w:basedOn w:val="Normal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pPr>
      <w:widowControl/>
      <w:numPr>
        <w:numId w:val="7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pPr>
      <w:widowControl/>
      <w:numPr>
        <w:ilvl w:val="1"/>
        <w:numId w:val="7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pPr>
      <w:widowControl/>
      <w:numPr>
        <w:ilvl w:val="2"/>
        <w:numId w:val="7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pPr>
      <w:widowControl/>
      <w:numPr>
        <w:ilvl w:val="3"/>
        <w:numId w:val="7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widowControl/>
      <w:numPr>
        <w:numId w:val="6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pPr>
      <w:widowControl/>
      <w:numPr>
        <w:ilvl w:val="2"/>
        <w:numId w:val="6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pPr>
      <w:widowControl/>
      <w:numPr>
        <w:ilvl w:val="4"/>
        <w:numId w:val="6"/>
      </w:numPr>
      <w:tabs>
        <w:tab w:val="clear" w:pos="1984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pPr>
      <w:widowControl/>
      <w:numPr>
        <w:ilvl w:val="6"/>
        <w:numId w:val="6"/>
      </w:numPr>
      <w:tabs>
        <w:tab w:val="clear" w:pos="2551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pPr>
      <w:widowControl/>
      <w:numPr>
        <w:ilvl w:val="1"/>
        <w:numId w:val="6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pPr>
      <w:widowControl/>
      <w:numPr>
        <w:ilvl w:val="3"/>
        <w:numId w:val="6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pPr>
      <w:widowControl/>
      <w:numPr>
        <w:ilvl w:val="5"/>
        <w:numId w:val="6"/>
      </w:numPr>
      <w:tabs>
        <w:tab w:val="clear" w:pos="1984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pPr>
      <w:widowControl/>
      <w:numPr>
        <w:ilvl w:val="7"/>
        <w:numId w:val="6"/>
      </w:numPr>
      <w:tabs>
        <w:tab w:val="clear" w:pos="2551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pPr>
      <w:widowControl/>
      <w:numPr>
        <w:ilvl w:val="8"/>
        <w:numId w:val="6"/>
      </w:numPr>
      <w:tabs>
        <w:tab w:val="clear" w:pos="3118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pPr>
      <w:widowControl/>
      <w:numPr>
        <w:numId w:val="18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pPr>
      <w:widowControl/>
      <w:numPr>
        <w:numId w:val="17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pPr>
      <w:widowControl/>
      <w:numPr>
        <w:numId w:val="21"/>
      </w:numPr>
      <w:tabs>
        <w:tab w:val="clear" w:pos="1984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pPr>
      <w:widowControl/>
      <w:numPr>
        <w:numId w:val="22"/>
      </w:numPr>
      <w:tabs>
        <w:tab w:val="clear" w:pos="2551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pPr>
      <w:widowControl/>
      <w:numPr>
        <w:numId w:val="23"/>
      </w:numPr>
      <w:tabs>
        <w:tab w:val="clear" w:pos="3118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pPr>
      <w:widowControl/>
      <w:numPr>
        <w:numId w:val="4"/>
      </w:numPr>
      <w:tabs>
        <w:tab w:val="clear" w:pos="709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itreobjetPagedecouverture">
    <w:name w:val="Titre objet (Page de couverture)"/>
    <w:basedOn w:val="Titreobjet"/>
    <w:next w:val="IntrtEEEPagedecouverture"/>
  </w:style>
  <w:style w:type="paragraph" w:customStyle="1" w:styleId="TypedudocumentPagedecouverture">
    <w:name w:val="Type du document (Page de couverture)"/>
    <w:basedOn w:val="Typedudocument"/>
    <w:next w:val="TitreobjetPagedecouverture"/>
  </w:style>
  <w:style w:type="paragraph" w:customStyle="1" w:styleId="Volume">
    <w:name w:val="Volume"/>
    <w:basedOn w:val="Normal"/>
    <w:next w:val="Confidentialit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pPr>
      <w:spacing w:after="240"/>
    </w:pPr>
  </w:style>
  <w:style w:type="paragraph" w:customStyle="1" w:styleId="Accompagnant">
    <w:name w:val="Accompagnant"/>
    <w:basedOn w:val="Normal"/>
    <w:next w:val="Typeacteprincipal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Normal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5">
    <w:name w:val="Tiret 5"/>
    <w:basedOn w:val="Point5"/>
    <w:pPr>
      <w:numPr>
        <w:numId w:val="24"/>
      </w:numPr>
      <w:tabs>
        <w:tab w:val="clear" w:pos="3685"/>
        <w:tab w:val="num" w:pos="360"/>
      </w:tabs>
    </w:pPr>
  </w:style>
  <w:style w:type="paragraph" w:customStyle="1" w:styleId="NumPar5">
    <w:name w:val="NumPar 5"/>
    <w:basedOn w:val="Normal"/>
    <w:next w:val="Text2"/>
    <w:pPr>
      <w:widowControl/>
      <w:numPr>
        <w:ilvl w:val="4"/>
        <w:numId w:val="7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pPr>
      <w:widowControl/>
      <w:numPr>
        <w:ilvl w:val="5"/>
        <w:numId w:val="7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pPr>
      <w:widowControl/>
      <w:numPr>
        <w:ilvl w:val="6"/>
        <w:numId w:val="7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title-bold">
    <w:name w:val="title-bold"/>
    <w:basedOn w:val="Normal"/>
    <w:pPr>
      <w:widowControl/>
      <w:spacing w:before="100" w:beforeAutospacing="1" w:after="100" w:afterAutospacing="1"/>
    </w:pPr>
    <w:rPr>
      <w:szCs w:val="24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customStyle="1" w:styleId="sdzsvb">
    <w:name w:val="sdzsvb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CAB752-7735-486D-8E19-C7D243109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395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SUCHANOVA Monika</cp:lastModifiedBy>
  <cp:revision>3</cp:revision>
  <cp:lastPrinted>2004-11-19T15:42:00Z</cp:lastPrinted>
  <dcterms:created xsi:type="dcterms:W3CDTF">2024-04-24T13:35:00Z</dcterms:created>
  <dcterms:modified xsi:type="dcterms:W3CDTF">2024-09-09T12:25:00Z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A9-0234/2023</vt:lpwstr>
  </property>
  <property fmtid="{D5CDD505-2E9C-101B-9397-08002B2CF9AE}" pid="4" name="&lt;Type&gt;">
    <vt:lpwstr>RR</vt:lpwstr>
  </property>
</Properties>
</file>