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43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43FF" w:rsidRDefault="00AF2A54" w:rsidP="0010095E">
            <w:pPr>
              <w:pStyle w:val="EPName"/>
            </w:pPr>
            <w:r w:rsidRPr="006743FF">
              <w:t>Evropský parlament</w:t>
            </w:r>
          </w:p>
          <w:p w:rsidR="00751A4A" w:rsidRPr="006743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901">
              <w:t>2019</w:t>
            </w:r>
            <w:r w:rsidRPr="006743FF">
              <w:t>-</w:t>
            </w:r>
            <w:r w:rsidRPr="0006390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743FF" w:rsidRDefault="00187494" w:rsidP="0010095E">
            <w:pPr>
              <w:pStyle w:val="EPLogo"/>
            </w:pPr>
            <w:r w:rsidRPr="006743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43FF" w:rsidRDefault="00D058B8" w:rsidP="004C5D52">
      <w:pPr>
        <w:pStyle w:val="LineTop"/>
      </w:pPr>
    </w:p>
    <w:p w:rsidR="00680577" w:rsidRPr="006743FF" w:rsidRDefault="00AF2A54" w:rsidP="00680577">
      <w:pPr>
        <w:pStyle w:val="EPBodyTA1"/>
      </w:pPr>
      <w:r w:rsidRPr="006743FF">
        <w:t>PŘIJATÉ TEXTY</w:t>
      </w:r>
    </w:p>
    <w:p w:rsidR="00D058B8" w:rsidRPr="006743FF" w:rsidRDefault="00D058B8" w:rsidP="00D058B8">
      <w:pPr>
        <w:pStyle w:val="LineBottom"/>
      </w:pPr>
    </w:p>
    <w:p w:rsidR="00AF2A54" w:rsidRPr="006743FF" w:rsidRDefault="00AF2A54" w:rsidP="00AF2A54">
      <w:pPr>
        <w:pStyle w:val="ATHeading1"/>
      </w:pPr>
      <w:bookmarkStart w:id="0" w:name="TANumber"/>
      <w:r w:rsidRPr="006743FF">
        <w:t>P</w:t>
      </w:r>
      <w:r w:rsidRPr="00063901">
        <w:t>9</w:t>
      </w:r>
      <w:r w:rsidRPr="006743FF">
        <w:t>_TA(</w:t>
      </w:r>
      <w:r w:rsidRPr="00063901">
        <w:t>2024</w:t>
      </w:r>
      <w:r w:rsidRPr="006743FF">
        <w:t>)</w:t>
      </w:r>
      <w:r w:rsidRPr="00063901">
        <w:t>0</w:t>
      </w:r>
      <w:bookmarkEnd w:id="0"/>
      <w:r w:rsidR="0054664E" w:rsidRPr="00063901">
        <w:t>339</w:t>
      </w:r>
    </w:p>
    <w:p w:rsidR="00AF2A54" w:rsidRPr="006743FF" w:rsidRDefault="00AF2A54" w:rsidP="00AF2A54">
      <w:pPr>
        <w:pStyle w:val="ATHeading2"/>
      </w:pPr>
      <w:bookmarkStart w:id="1" w:name="title"/>
      <w:r w:rsidRPr="006743FF">
        <w:t>Evropský průkaz osob se zdravotním postižením a evropská parkovací karta pro osoby se zdravotním postižením</w:t>
      </w:r>
      <w:bookmarkEnd w:id="1"/>
    </w:p>
    <w:p w:rsidR="00AF2A54" w:rsidRPr="006743FF" w:rsidRDefault="00AF2A54" w:rsidP="00AF2A54">
      <w:pPr>
        <w:rPr>
          <w:i/>
          <w:vanish/>
        </w:rPr>
      </w:pPr>
      <w:r w:rsidRPr="006743FF">
        <w:rPr>
          <w:i/>
        </w:rPr>
        <w:fldChar w:fldCharType="begin"/>
      </w:r>
      <w:r w:rsidRPr="006743FF">
        <w:rPr>
          <w:i/>
        </w:rPr>
        <w:instrText xml:space="preserve"> TC"(</w:instrText>
      </w:r>
      <w:bookmarkStart w:id="2" w:name="DocNumber"/>
      <w:r w:rsidRPr="006743FF">
        <w:rPr>
          <w:i/>
        </w:rPr>
        <w:instrText>A</w:instrText>
      </w:r>
      <w:r w:rsidRPr="00063901">
        <w:rPr>
          <w:i/>
        </w:rPr>
        <w:instrText>9</w:instrText>
      </w:r>
      <w:r w:rsidRPr="006743FF">
        <w:rPr>
          <w:i/>
        </w:rPr>
        <w:instrText>-</w:instrText>
      </w:r>
      <w:r w:rsidRPr="00063901">
        <w:rPr>
          <w:i/>
        </w:rPr>
        <w:instrText>0003</w:instrText>
      </w:r>
      <w:r w:rsidRPr="006743FF">
        <w:rPr>
          <w:i/>
        </w:rPr>
        <w:instrText>/</w:instrText>
      </w:r>
      <w:r w:rsidRPr="00063901">
        <w:rPr>
          <w:i/>
        </w:rPr>
        <w:instrText>2024</w:instrText>
      </w:r>
      <w:bookmarkEnd w:id="2"/>
      <w:r w:rsidRPr="006743FF">
        <w:rPr>
          <w:i/>
        </w:rPr>
        <w:instrText xml:space="preserve"> - Zpravodajka: Ďuriš Nicholsonová Lucia)"\l</w:instrText>
      </w:r>
      <w:r w:rsidRPr="00063901">
        <w:rPr>
          <w:i/>
        </w:rPr>
        <w:instrText>3</w:instrText>
      </w:r>
      <w:r w:rsidRPr="006743FF">
        <w:rPr>
          <w:i/>
        </w:rPr>
        <w:instrText xml:space="preserve"> \n&gt; \* MERGEFORMAT </w:instrText>
      </w:r>
      <w:r w:rsidRPr="006743FF">
        <w:rPr>
          <w:i/>
        </w:rPr>
        <w:fldChar w:fldCharType="end"/>
      </w:r>
    </w:p>
    <w:p w:rsidR="00AF2A54" w:rsidRPr="006743FF" w:rsidRDefault="00AF2A54" w:rsidP="00AF2A54">
      <w:pPr>
        <w:rPr>
          <w:vanish/>
        </w:rPr>
      </w:pPr>
      <w:bookmarkStart w:id="3" w:name="Commission"/>
      <w:r w:rsidRPr="006743FF">
        <w:rPr>
          <w:vanish/>
        </w:rPr>
        <w:t>Výbor pro zaměstnanost a sociální věci</w:t>
      </w:r>
      <w:bookmarkEnd w:id="3"/>
    </w:p>
    <w:p w:rsidR="00AF2A54" w:rsidRPr="006743FF" w:rsidRDefault="00AF2A54" w:rsidP="00AF2A54">
      <w:pPr>
        <w:rPr>
          <w:vanish/>
        </w:rPr>
      </w:pPr>
      <w:bookmarkStart w:id="4" w:name="PE"/>
      <w:r w:rsidRPr="006743FF">
        <w:rPr>
          <w:vanish/>
        </w:rPr>
        <w:t>PE</w:t>
      </w:r>
      <w:r w:rsidRPr="00063901">
        <w:rPr>
          <w:vanish/>
        </w:rPr>
        <w:t>754</w:t>
      </w:r>
      <w:r w:rsidRPr="006743FF">
        <w:rPr>
          <w:vanish/>
        </w:rPr>
        <w:t>.</w:t>
      </w:r>
      <w:r w:rsidRPr="00063901">
        <w:rPr>
          <w:vanish/>
        </w:rPr>
        <w:t>831</w:t>
      </w:r>
      <w:bookmarkEnd w:id="4"/>
    </w:p>
    <w:p w:rsidR="00AF2A54" w:rsidRPr="006743FF" w:rsidRDefault="00AF2A54" w:rsidP="00AF2A54">
      <w:pPr>
        <w:pStyle w:val="ATHeading3"/>
      </w:pPr>
      <w:bookmarkStart w:id="5" w:name="Sujet"/>
      <w:r w:rsidRPr="006743FF">
        <w:t xml:space="preserve">Legislativní usnesení </w:t>
      </w:r>
      <w:r w:rsidR="00D8374A">
        <w:t xml:space="preserve">Evropského parlamentu ze dne </w:t>
      </w:r>
      <w:r w:rsidR="00D8374A" w:rsidRPr="00063901">
        <w:t>24</w:t>
      </w:r>
      <w:r w:rsidR="00EC70D4">
        <w:t>. dubna</w:t>
      </w:r>
      <w:r w:rsidRPr="006743FF">
        <w:t xml:space="preserve"> </w:t>
      </w:r>
      <w:r w:rsidRPr="00063901">
        <w:t>2024</w:t>
      </w:r>
      <w:r w:rsidRPr="006743FF">
        <w:t xml:space="preserve"> o návrhu směrnice Evropského parlamentu a Rady, kterou se zavádí evropský průkaz osob se zdravotním postižením a evropská parkovací karta pro osoby se zdravotním postižením</w:t>
      </w:r>
      <w:bookmarkEnd w:id="5"/>
      <w:r w:rsidRPr="006743FF">
        <w:t xml:space="preserve"> </w:t>
      </w:r>
      <w:bookmarkStart w:id="6" w:name="References"/>
      <w:r w:rsidRPr="006743FF">
        <w:t>(COM(</w:t>
      </w:r>
      <w:r w:rsidRPr="00063901">
        <w:t>2023</w:t>
      </w:r>
      <w:r w:rsidRPr="006743FF">
        <w:t>)</w:t>
      </w:r>
      <w:r w:rsidRPr="00063901">
        <w:t>0512</w:t>
      </w:r>
      <w:r w:rsidRPr="006743FF">
        <w:t xml:space="preserve"> – C</w:t>
      </w:r>
      <w:r w:rsidRPr="00063901">
        <w:t>9</w:t>
      </w:r>
      <w:r w:rsidRPr="006743FF">
        <w:t>-</w:t>
      </w:r>
      <w:r w:rsidRPr="00063901">
        <w:t>0328</w:t>
      </w:r>
      <w:r w:rsidRPr="006743FF">
        <w:t>/</w:t>
      </w:r>
      <w:r w:rsidRPr="00063901">
        <w:t>2023</w:t>
      </w:r>
      <w:r w:rsidRPr="006743FF">
        <w:t xml:space="preserve"> – </w:t>
      </w:r>
      <w:r w:rsidRPr="00063901">
        <w:t>2023</w:t>
      </w:r>
      <w:r w:rsidRPr="006743FF">
        <w:t>/</w:t>
      </w:r>
      <w:r w:rsidRPr="00063901">
        <w:t>0311</w:t>
      </w:r>
      <w:r w:rsidRPr="006743FF">
        <w:t>(COD))</w:t>
      </w:r>
      <w:bookmarkEnd w:id="6"/>
    </w:p>
    <w:p w:rsidR="00AF2A54" w:rsidRPr="006743FF" w:rsidRDefault="00AF2A54" w:rsidP="00AF2A54"/>
    <w:p w:rsidR="00BC5341" w:rsidRPr="006743FF" w:rsidRDefault="00BC5341" w:rsidP="00BC5341">
      <w:pPr>
        <w:pStyle w:val="NormalBold"/>
      </w:pPr>
      <w:bookmarkStart w:id="7" w:name="TextBodyBegin"/>
      <w:bookmarkEnd w:id="7"/>
      <w:r w:rsidRPr="006743FF">
        <w:t>(Řádný legislativní postup: první čtení)</w:t>
      </w:r>
    </w:p>
    <w:p w:rsidR="00BC5341" w:rsidRPr="006743FF" w:rsidRDefault="00BC5341" w:rsidP="00BC5341">
      <w:pPr>
        <w:pStyle w:val="NormalHanging12a"/>
        <w:rPr>
          <w:i/>
        </w:rPr>
      </w:pPr>
    </w:p>
    <w:p w:rsidR="00BC5341" w:rsidRPr="006743FF" w:rsidRDefault="00BC5341" w:rsidP="00BC5341">
      <w:pPr>
        <w:pStyle w:val="NormalHanging12a"/>
        <w:rPr>
          <w:i/>
        </w:rPr>
      </w:pPr>
      <w:r w:rsidRPr="006743FF">
        <w:rPr>
          <w:i/>
        </w:rPr>
        <w:t>Evropský parlament,</w:t>
      </w:r>
    </w:p>
    <w:p w:rsidR="00BC5341" w:rsidRPr="006743FF" w:rsidRDefault="00BC5341" w:rsidP="00BC5341">
      <w:pPr>
        <w:pStyle w:val="NormalHanging12a"/>
      </w:pPr>
      <w:r w:rsidRPr="006743FF">
        <w:rPr>
          <w:i/>
        </w:rPr>
        <w:t>–</w:t>
      </w:r>
      <w:r w:rsidRPr="006743FF">
        <w:rPr>
          <w:i/>
        </w:rPr>
        <w:tab/>
      </w:r>
      <w:r w:rsidRPr="006743FF">
        <w:t>s ohledem na návrh Komise předložený Evropskému parlamentu a Radě (COM(</w:t>
      </w:r>
      <w:r w:rsidRPr="00063901">
        <w:t>2023</w:t>
      </w:r>
      <w:r w:rsidRPr="006743FF">
        <w:t>)</w:t>
      </w:r>
      <w:r w:rsidRPr="00063901">
        <w:t>0512</w:t>
      </w:r>
      <w:r w:rsidRPr="006743FF">
        <w:t>),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 xml:space="preserve">s ohledem na čl. </w:t>
      </w:r>
      <w:r w:rsidRPr="00063901">
        <w:t>294</w:t>
      </w:r>
      <w:r w:rsidRPr="006743FF">
        <w:t xml:space="preserve"> odst. </w:t>
      </w:r>
      <w:r w:rsidRPr="00063901">
        <w:t>2</w:t>
      </w:r>
      <w:r w:rsidRPr="006743FF">
        <w:t xml:space="preserve">, čl. </w:t>
      </w:r>
      <w:r w:rsidRPr="00063901">
        <w:t>53</w:t>
      </w:r>
      <w:r w:rsidRPr="006743FF">
        <w:t xml:space="preserve"> odst. </w:t>
      </w:r>
      <w:r w:rsidRPr="00063901">
        <w:t>1</w:t>
      </w:r>
      <w:r w:rsidRPr="006743FF">
        <w:t xml:space="preserve">, články </w:t>
      </w:r>
      <w:r w:rsidRPr="00063901">
        <w:t>62</w:t>
      </w:r>
      <w:r w:rsidRPr="006743FF">
        <w:t xml:space="preserve"> a </w:t>
      </w:r>
      <w:r w:rsidRPr="00063901">
        <w:t>91</w:t>
      </w:r>
      <w:r w:rsidRPr="006743FF">
        <w:t xml:space="preserve"> a čl. </w:t>
      </w:r>
      <w:r w:rsidRPr="00063901">
        <w:t>21</w:t>
      </w:r>
      <w:r w:rsidRPr="006743FF">
        <w:t xml:space="preserve"> odst. </w:t>
      </w:r>
      <w:r w:rsidRPr="00063901">
        <w:t>2</w:t>
      </w:r>
      <w:r w:rsidRPr="006743FF">
        <w:t xml:space="preserve"> Smlouvy o fungování Evropské unie, v souladu se kterými Komise předložila svůj návrh Parlamentu (C</w:t>
      </w:r>
      <w:r w:rsidRPr="00063901">
        <w:t>9</w:t>
      </w:r>
      <w:r w:rsidRPr="006743FF">
        <w:t>-</w:t>
      </w:r>
      <w:r w:rsidRPr="00063901">
        <w:t>0328</w:t>
      </w:r>
      <w:r w:rsidRPr="006743FF">
        <w:t>/</w:t>
      </w:r>
      <w:r w:rsidRPr="00063901">
        <w:t>2023</w:t>
      </w:r>
      <w:r w:rsidRPr="006743FF">
        <w:t>),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 xml:space="preserve">s ohledem na čl. </w:t>
      </w:r>
      <w:r w:rsidRPr="00063901">
        <w:t>294</w:t>
      </w:r>
      <w:r w:rsidRPr="006743FF">
        <w:t xml:space="preserve"> odst. </w:t>
      </w:r>
      <w:r w:rsidRPr="00063901">
        <w:t>3</w:t>
      </w:r>
      <w:r w:rsidRPr="006743FF">
        <w:t xml:space="preserve"> Smlouvy o fungování Evropské unie,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 xml:space="preserve">s ohledem na stanovisko Evropského hospodářského a sociálního výboru ze dne </w:t>
      </w:r>
      <w:r w:rsidR="00D8374A" w:rsidRPr="00063901">
        <w:t>14</w:t>
      </w:r>
      <w:r w:rsidRPr="006743FF">
        <w:t xml:space="preserve">. </w:t>
      </w:r>
      <w:r w:rsidR="00D8374A">
        <w:t>prosince</w:t>
      </w:r>
      <w:r w:rsidRPr="006743FF">
        <w:t xml:space="preserve"> </w:t>
      </w:r>
      <w:r w:rsidRPr="00063901">
        <w:t>2023</w:t>
      </w:r>
      <w:r w:rsidRPr="006743FF">
        <w:rPr>
          <w:rStyle w:val="FootnoteReference"/>
        </w:rPr>
        <w:footnoteReference w:id="1"/>
      </w:r>
      <w:r w:rsidRPr="006743FF">
        <w:t>,</w:t>
      </w:r>
    </w:p>
    <w:p w:rsidR="00BC5341" w:rsidRDefault="00BC5341" w:rsidP="00BC5341">
      <w:pPr>
        <w:pStyle w:val="NormalHanging12a"/>
      </w:pPr>
      <w:r w:rsidRPr="006743FF">
        <w:t xml:space="preserve">  –</w:t>
      </w:r>
      <w:r w:rsidRPr="006743FF">
        <w:tab/>
        <w:t xml:space="preserve">s ohledem na stanovisko Výboru regionů ze dne </w:t>
      </w:r>
      <w:r w:rsidR="00D8374A" w:rsidRPr="00063901">
        <w:t>31</w:t>
      </w:r>
      <w:r w:rsidRPr="006743FF">
        <w:t xml:space="preserve">. </w:t>
      </w:r>
      <w:r w:rsidR="00D8374A">
        <w:t>ledna</w:t>
      </w:r>
      <w:r w:rsidRPr="006743FF">
        <w:t xml:space="preserve"> </w:t>
      </w:r>
      <w:r w:rsidRPr="00063901">
        <w:t>202</w:t>
      </w:r>
      <w:r w:rsidR="00D8374A" w:rsidRPr="00063901">
        <w:t>4</w:t>
      </w:r>
      <w:r w:rsidRPr="006743FF">
        <w:rPr>
          <w:rStyle w:val="FootnoteReference"/>
        </w:rPr>
        <w:footnoteReference w:id="2"/>
      </w:r>
      <w:r w:rsidRPr="006743FF">
        <w:t>,</w:t>
      </w:r>
    </w:p>
    <w:p w:rsidR="00D8374A" w:rsidRPr="006743FF" w:rsidRDefault="00D8374A" w:rsidP="00BC5341">
      <w:pPr>
        <w:pStyle w:val="NormalHanging12a"/>
      </w:pPr>
      <w:r w:rsidRPr="00D8374A">
        <w:t>–</w:t>
      </w:r>
      <w:r w:rsidRPr="00D8374A">
        <w:tab/>
        <w:t xml:space="preserve">s ohledem na předběžnou dohodu přijatou příslušným výborem podle čl. </w:t>
      </w:r>
      <w:r w:rsidRPr="00063901">
        <w:t>74</w:t>
      </w:r>
      <w:r w:rsidRPr="00D8374A">
        <w:t xml:space="preserve"> odst. </w:t>
      </w:r>
      <w:r w:rsidRPr="00063901">
        <w:t>4</w:t>
      </w:r>
      <w:r w:rsidRPr="00D8374A">
        <w:t xml:space="preserve"> jednacího řádu a s ohledem na to, že se zástupce Rady dopisem ze dne </w:t>
      </w:r>
      <w:r w:rsidRPr="00063901">
        <w:t>16</w:t>
      </w:r>
      <w:r w:rsidRPr="00D8374A">
        <w:t xml:space="preserve">. února </w:t>
      </w:r>
      <w:r w:rsidRPr="00063901">
        <w:t>2024</w:t>
      </w:r>
      <w:r w:rsidRPr="00D8374A">
        <w:t xml:space="preserve"> zavázal schválit postoj Parlamentu v souladu s čl. </w:t>
      </w:r>
      <w:r w:rsidRPr="00063901">
        <w:t>294</w:t>
      </w:r>
      <w:r w:rsidRPr="00D8374A">
        <w:t xml:space="preserve"> odst. </w:t>
      </w:r>
      <w:r w:rsidRPr="00063901">
        <w:t>4</w:t>
      </w:r>
      <w:r w:rsidRPr="00D8374A">
        <w:t xml:space="preserve"> Smlouvy o fungování Evropské unie,</w:t>
      </w:r>
    </w:p>
    <w:p w:rsidR="00BC5341" w:rsidRPr="006743FF" w:rsidRDefault="00BC5341" w:rsidP="00BC5341">
      <w:pPr>
        <w:pStyle w:val="NormalHanging12a"/>
      </w:pPr>
      <w:r w:rsidRPr="006743FF">
        <w:lastRenderedPageBreak/>
        <w:t>–</w:t>
      </w:r>
      <w:r w:rsidRPr="006743FF">
        <w:tab/>
        <w:t xml:space="preserve">s ohledem na článek </w:t>
      </w:r>
      <w:r w:rsidRPr="00063901">
        <w:t>59</w:t>
      </w:r>
      <w:r w:rsidRPr="006743FF">
        <w:t xml:space="preserve"> jednacího řádu,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>s ohledem na stanoviska Výboru pro dopravu a cestovní ruch a Výboru pro práva žen a rovnost pohlaví,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>s ohledem na dopisy Výboru pro vnitřní trh a ochranu spotřebitelů a Petičního výboru,</w:t>
      </w:r>
    </w:p>
    <w:p w:rsidR="00BC5341" w:rsidRPr="006743FF" w:rsidRDefault="00BC5341" w:rsidP="00BC5341">
      <w:pPr>
        <w:pStyle w:val="NormalHanging12a"/>
      </w:pPr>
      <w:r w:rsidRPr="006743FF">
        <w:t>–</w:t>
      </w:r>
      <w:r w:rsidRPr="006743FF">
        <w:tab/>
        <w:t>s ohledem na zprávu Výboru pro zaměstnanost a sociální věci (A</w:t>
      </w:r>
      <w:r w:rsidRPr="00063901">
        <w:t>9</w:t>
      </w:r>
      <w:r w:rsidRPr="006743FF">
        <w:t>-</w:t>
      </w:r>
      <w:r w:rsidRPr="00063901">
        <w:t>0003</w:t>
      </w:r>
      <w:r w:rsidRPr="006743FF">
        <w:t>/</w:t>
      </w:r>
      <w:r w:rsidRPr="00063901">
        <w:t>2024</w:t>
      </w:r>
      <w:r w:rsidRPr="006743FF">
        <w:t>),</w:t>
      </w:r>
    </w:p>
    <w:p w:rsidR="00BC5341" w:rsidRPr="006743FF" w:rsidRDefault="00BC5341" w:rsidP="00BC5341">
      <w:pPr>
        <w:pStyle w:val="NormalHanging12a"/>
      </w:pPr>
      <w:r w:rsidRPr="00063901">
        <w:t>1</w:t>
      </w:r>
      <w:r w:rsidRPr="006743FF">
        <w:t>.</w:t>
      </w:r>
      <w:r w:rsidRPr="006743FF">
        <w:tab/>
        <w:t>přijímá níže uvedený postoj v prvním čtení;</w:t>
      </w:r>
    </w:p>
    <w:p w:rsidR="00BC5341" w:rsidRPr="006743FF" w:rsidRDefault="00BC5341" w:rsidP="00BC5341">
      <w:pPr>
        <w:pStyle w:val="NormalHanging12a"/>
      </w:pPr>
      <w:r w:rsidRPr="00063901">
        <w:t>2</w:t>
      </w:r>
      <w:r w:rsidRPr="006743FF">
        <w:t>.</w:t>
      </w:r>
      <w:r w:rsidRPr="006743FF">
        <w:tab/>
        <w:t>vyzývá Komisi, aby věc znovu postoupila Parlamentu, jestliže svůj návrh nahradí jiným textem, podstatně jej změní nebo má v úmyslu jej podstatně změnit;</w:t>
      </w:r>
    </w:p>
    <w:p w:rsidR="00BC5341" w:rsidRDefault="00BC5341" w:rsidP="00BC5341">
      <w:pPr>
        <w:pStyle w:val="NormalHanging12a"/>
      </w:pPr>
      <w:r w:rsidRPr="00063901">
        <w:t>3</w:t>
      </w:r>
      <w:r w:rsidRPr="006743FF">
        <w:t>.</w:t>
      </w:r>
      <w:r w:rsidRPr="006743FF">
        <w:tab/>
        <w:t>pověřuje svou předsedkyni, aby</w:t>
      </w:r>
      <w:r w:rsidR="00EC70D4">
        <w:t xml:space="preserve"> předala postoj Parlamentu Radě a</w:t>
      </w:r>
      <w:r w:rsidRPr="006743FF">
        <w:t xml:space="preserve"> Komisi, jakož i vnitrostátním parlamentům.</w:t>
      </w:r>
    </w:p>
    <w:p w:rsidR="00D8374A" w:rsidRDefault="00D8374A">
      <w:pPr>
        <w:widowControl/>
        <w:sectPr w:rsidR="00D8374A" w:rsidSect="006743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8374A" w:rsidRPr="004560C5" w:rsidRDefault="00D8374A" w:rsidP="00D8374A">
      <w:pPr>
        <w:rPr>
          <w:rFonts w:eastAsia="Calibri"/>
          <w:b/>
          <w:bCs/>
        </w:rPr>
      </w:pPr>
      <w:r w:rsidRPr="00D8374A">
        <w:rPr>
          <w:b/>
        </w:rPr>
        <w:lastRenderedPageBreak/>
        <w:t>P</w:t>
      </w:r>
      <w:r w:rsidRPr="00063901">
        <w:rPr>
          <w:b/>
        </w:rPr>
        <w:t>9</w:t>
      </w:r>
      <w:r w:rsidRPr="00D8374A">
        <w:rPr>
          <w:b/>
        </w:rPr>
        <w:t>_TC</w:t>
      </w:r>
      <w:r w:rsidRPr="00063901">
        <w:rPr>
          <w:b/>
        </w:rPr>
        <w:t>1</w:t>
      </w:r>
      <w:r w:rsidRPr="00D8374A">
        <w:rPr>
          <w:b/>
        </w:rPr>
        <w:t>-COD(</w:t>
      </w:r>
      <w:r w:rsidRPr="00063901">
        <w:rPr>
          <w:b/>
        </w:rPr>
        <w:t>2023</w:t>
      </w:r>
      <w:r w:rsidRPr="00D8374A">
        <w:rPr>
          <w:b/>
        </w:rPr>
        <w:t>)</w:t>
      </w:r>
      <w:r w:rsidRPr="00063901">
        <w:rPr>
          <w:b/>
        </w:rPr>
        <w:t>0311</w:t>
      </w:r>
    </w:p>
    <w:p w:rsidR="008A774E" w:rsidRDefault="00D8374A" w:rsidP="008A774E">
      <w:pPr>
        <w:spacing w:before="360"/>
        <w:rPr>
          <w:b/>
        </w:rPr>
      </w:pPr>
      <w:r>
        <w:rPr>
          <w:b/>
        </w:rPr>
        <w:t xml:space="preserve">Postoj Evropského parlamentu přijatý v prvním čtení dne </w:t>
      </w:r>
      <w:r w:rsidRPr="00063901">
        <w:rPr>
          <w:b/>
        </w:rPr>
        <w:t>24</w:t>
      </w:r>
      <w:r>
        <w:rPr>
          <w:b/>
        </w:rPr>
        <w:t xml:space="preserve">. dubna </w:t>
      </w:r>
      <w:r w:rsidRPr="00063901">
        <w:rPr>
          <w:b/>
        </w:rPr>
        <w:t>2024</w:t>
      </w:r>
      <w:r>
        <w:rPr>
          <w:b/>
        </w:rPr>
        <w:t xml:space="preserve"> k přijetí směrnice Evropského parlamentu a Rady </w:t>
      </w:r>
      <w:r w:rsidRPr="004560C5">
        <w:rPr>
          <w:b/>
        </w:rPr>
        <w:t xml:space="preserve">(EU) </w:t>
      </w:r>
      <w:r w:rsidRPr="00063901">
        <w:rPr>
          <w:b/>
        </w:rPr>
        <w:t>2024</w:t>
      </w:r>
      <w:r w:rsidRPr="004560C5">
        <w:rPr>
          <w:b/>
        </w:rPr>
        <w:t>/...</w:t>
      </w:r>
      <w:r>
        <w:rPr>
          <w:b/>
        </w:rPr>
        <w:t xml:space="preserve">, </w:t>
      </w:r>
      <w:r w:rsidR="008A774E" w:rsidRPr="000936C8">
        <w:rPr>
          <w:b/>
        </w:rPr>
        <w:t>kterou se zavádí evropský průkaz osoby se zdravotním postižením a evropský parkovací průkaz osoby se zdravotním postižením</w:t>
      </w:r>
    </w:p>
    <w:p w:rsidR="00253AA9" w:rsidRPr="000936C8" w:rsidRDefault="00253AA9" w:rsidP="008A774E">
      <w:pPr>
        <w:spacing w:before="360"/>
        <w:rPr>
          <w:rFonts w:eastAsia="Calibri"/>
          <w:b/>
          <w:bCs/>
        </w:rPr>
      </w:pPr>
      <w:r w:rsidRPr="008977C0">
        <w:rPr>
          <w:i/>
        </w:rPr>
        <w:t>(Vzhledem k tomu, že byl</w:t>
      </w:r>
      <w:bookmarkStart w:id="8" w:name="_GoBack"/>
      <w:bookmarkEnd w:id="8"/>
      <w:r w:rsidRPr="008977C0">
        <w:rPr>
          <w:i/>
        </w:rPr>
        <w:t xml:space="preserve">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2841</w:t>
      </w:r>
      <w:r>
        <w:rPr>
          <w:i/>
        </w:rPr>
        <w:t>.)</w:t>
      </w:r>
    </w:p>
    <w:sectPr w:rsidR="00253AA9" w:rsidRPr="000936C8" w:rsidSect="006743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A54" w:rsidRPr="006743FF" w:rsidRDefault="00AF2A54">
      <w:r w:rsidRPr="006743FF">
        <w:separator/>
      </w:r>
    </w:p>
  </w:endnote>
  <w:endnote w:type="continuationSeparator" w:id="0">
    <w:p w:rsidR="00AF2A54" w:rsidRPr="006743FF" w:rsidRDefault="00AF2A54">
      <w:r w:rsidRPr="006743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A54" w:rsidRPr="006743FF" w:rsidRDefault="00AF2A54">
      <w:r w:rsidRPr="006743FF">
        <w:separator/>
      </w:r>
    </w:p>
  </w:footnote>
  <w:footnote w:type="continuationSeparator" w:id="0">
    <w:p w:rsidR="00AF2A54" w:rsidRPr="006743FF" w:rsidRDefault="00AF2A54">
      <w:r w:rsidRPr="006743FF">
        <w:continuationSeparator/>
      </w:r>
    </w:p>
  </w:footnote>
  <w:footnote w:id="1">
    <w:p w:rsidR="00BC5341" w:rsidRPr="00D8374A" w:rsidRDefault="00BC5341" w:rsidP="00A42900">
      <w:pPr>
        <w:pStyle w:val="FootnoteText"/>
        <w:ind w:left="851" w:hanging="851"/>
        <w:rPr>
          <w:sz w:val="24"/>
          <w:szCs w:val="24"/>
          <w:lang w:val="cs-CZ"/>
        </w:rPr>
      </w:pPr>
      <w:r w:rsidRPr="00D8374A">
        <w:rPr>
          <w:rStyle w:val="FootnoteReference"/>
          <w:sz w:val="24"/>
          <w:szCs w:val="24"/>
          <w:lang w:val="cs-CZ"/>
        </w:rPr>
        <w:footnoteRef/>
      </w:r>
      <w:r w:rsidR="006743FF" w:rsidRPr="00D8374A">
        <w:rPr>
          <w:sz w:val="24"/>
          <w:szCs w:val="24"/>
          <w:lang w:val="cs-CZ"/>
        </w:rPr>
        <w:t xml:space="preserve"> </w:t>
      </w:r>
      <w:r w:rsidR="006743FF" w:rsidRPr="00D8374A">
        <w:rPr>
          <w:sz w:val="24"/>
          <w:szCs w:val="24"/>
          <w:lang w:val="cs-CZ"/>
        </w:rPr>
        <w:tab/>
      </w:r>
      <w:r w:rsidR="00D8374A" w:rsidRPr="00D8374A">
        <w:rPr>
          <w:sz w:val="24"/>
          <w:szCs w:val="24"/>
          <w:lang w:val="cs-CZ"/>
        </w:rPr>
        <w:t>Úř. věst. C, C/</w:t>
      </w:r>
      <w:r w:rsidR="00D8374A" w:rsidRPr="00063901">
        <w:rPr>
          <w:sz w:val="24"/>
          <w:szCs w:val="24"/>
          <w:lang w:val="cs-CZ"/>
        </w:rPr>
        <w:t>2024</w:t>
      </w:r>
      <w:r w:rsidR="00D8374A" w:rsidRPr="00D8374A">
        <w:rPr>
          <w:sz w:val="24"/>
          <w:szCs w:val="24"/>
          <w:lang w:val="cs-CZ"/>
        </w:rPr>
        <w:t>/</w:t>
      </w:r>
      <w:r w:rsidR="00D8374A" w:rsidRPr="00063901">
        <w:rPr>
          <w:sz w:val="24"/>
          <w:szCs w:val="24"/>
          <w:lang w:val="cs-CZ"/>
        </w:rPr>
        <w:t>1595</w:t>
      </w:r>
      <w:r w:rsidR="00D8374A" w:rsidRPr="00D8374A">
        <w:rPr>
          <w:sz w:val="24"/>
          <w:szCs w:val="24"/>
          <w:lang w:val="cs-CZ"/>
        </w:rPr>
        <w:t xml:space="preserve">, </w:t>
      </w:r>
      <w:r w:rsidR="00D8374A" w:rsidRPr="00063901">
        <w:rPr>
          <w:sz w:val="24"/>
          <w:szCs w:val="24"/>
          <w:lang w:val="cs-CZ"/>
        </w:rPr>
        <w:t>5</w:t>
      </w:r>
      <w:r w:rsidR="00D8374A" w:rsidRPr="00D8374A">
        <w:rPr>
          <w:sz w:val="24"/>
          <w:szCs w:val="24"/>
          <w:lang w:val="cs-CZ"/>
        </w:rPr>
        <w:t>.</w:t>
      </w:r>
      <w:r w:rsidR="00D8374A" w:rsidRPr="00063901">
        <w:rPr>
          <w:sz w:val="24"/>
          <w:szCs w:val="24"/>
          <w:lang w:val="cs-CZ"/>
        </w:rPr>
        <w:t>3</w:t>
      </w:r>
      <w:r w:rsidR="00D8374A" w:rsidRPr="00D8374A">
        <w:rPr>
          <w:sz w:val="24"/>
          <w:szCs w:val="24"/>
          <w:lang w:val="cs-CZ"/>
        </w:rPr>
        <w:t>.</w:t>
      </w:r>
      <w:r w:rsidR="00D8374A" w:rsidRPr="00063901">
        <w:rPr>
          <w:sz w:val="24"/>
          <w:szCs w:val="24"/>
          <w:lang w:val="cs-CZ"/>
        </w:rPr>
        <w:t>2024</w:t>
      </w:r>
      <w:r w:rsidR="00D8374A" w:rsidRPr="00D8374A">
        <w:rPr>
          <w:sz w:val="24"/>
          <w:szCs w:val="24"/>
          <w:lang w:val="cs-CZ"/>
        </w:rPr>
        <w:t xml:space="preserve">, </w:t>
      </w:r>
      <w:hyperlink r:id="rId1" w:history="1">
        <w:r w:rsidR="00D8374A" w:rsidRPr="008A774E">
          <w:rPr>
            <w:rStyle w:val="Hyperlink"/>
            <w:sz w:val="24"/>
            <w:szCs w:val="24"/>
            <w:lang w:val="cs-CZ"/>
          </w:rPr>
          <w:t>ELI: http://data.europa.eu/eli/C/2024/1595/oj</w:t>
        </w:r>
      </w:hyperlink>
      <w:r w:rsidRPr="00D8374A">
        <w:rPr>
          <w:sz w:val="24"/>
          <w:szCs w:val="24"/>
          <w:lang w:val="cs-CZ"/>
        </w:rPr>
        <w:t>.</w:t>
      </w:r>
    </w:p>
  </w:footnote>
  <w:footnote w:id="2">
    <w:p w:rsidR="00BC5341" w:rsidRPr="00D8374A" w:rsidRDefault="00BC5341" w:rsidP="00A42900">
      <w:pPr>
        <w:pStyle w:val="FootnoteText"/>
        <w:ind w:left="851" w:hanging="851"/>
        <w:rPr>
          <w:sz w:val="24"/>
          <w:szCs w:val="24"/>
          <w:lang w:val="cs-CZ"/>
        </w:rPr>
      </w:pPr>
      <w:r w:rsidRPr="00D8374A">
        <w:rPr>
          <w:rStyle w:val="FootnoteReference"/>
          <w:sz w:val="24"/>
          <w:szCs w:val="24"/>
          <w:lang w:val="cs-CZ"/>
        </w:rPr>
        <w:footnoteRef/>
      </w:r>
      <w:r w:rsidR="006743FF" w:rsidRPr="00D8374A">
        <w:rPr>
          <w:sz w:val="24"/>
          <w:szCs w:val="24"/>
          <w:lang w:val="cs-CZ"/>
        </w:rPr>
        <w:t xml:space="preserve"> </w:t>
      </w:r>
      <w:r w:rsidR="006743FF" w:rsidRPr="00D8374A">
        <w:rPr>
          <w:sz w:val="24"/>
          <w:szCs w:val="24"/>
          <w:lang w:val="cs-CZ"/>
        </w:rPr>
        <w:tab/>
      </w:r>
      <w:r w:rsidR="00D8374A" w:rsidRPr="00D8374A">
        <w:rPr>
          <w:sz w:val="24"/>
          <w:szCs w:val="24"/>
          <w:lang w:val="cs-CZ"/>
        </w:rPr>
        <w:t>Úř. věst. C, C/</w:t>
      </w:r>
      <w:r w:rsidR="00D8374A" w:rsidRPr="00063901">
        <w:rPr>
          <w:sz w:val="24"/>
          <w:szCs w:val="24"/>
          <w:lang w:val="cs-CZ"/>
        </w:rPr>
        <w:t>2024</w:t>
      </w:r>
      <w:r w:rsidR="00D8374A" w:rsidRPr="00D8374A">
        <w:rPr>
          <w:sz w:val="24"/>
          <w:szCs w:val="24"/>
          <w:lang w:val="cs-CZ"/>
        </w:rPr>
        <w:t>/</w:t>
      </w:r>
      <w:r w:rsidR="00D8374A" w:rsidRPr="00063901">
        <w:rPr>
          <w:sz w:val="24"/>
          <w:szCs w:val="24"/>
          <w:lang w:val="cs-CZ"/>
        </w:rPr>
        <w:t>1981</w:t>
      </w:r>
      <w:r w:rsidR="00D8374A" w:rsidRPr="00D8374A">
        <w:rPr>
          <w:sz w:val="24"/>
          <w:szCs w:val="24"/>
          <w:lang w:val="cs-CZ"/>
        </w:rPr>
        <w:t xml:space="preserve">, </w:t>
      </w:r>
      <w:r w:rsidR="00D8374A" w:rsidRPr="00063901">
        <w:rPr>
          <w:sz w:val="24"/>
          <w:szCs w:val="24"/>
          <w:lang w:val="cs-CZ"/>
        </w:rPr>
        <w:t>18</w:t>
      </w:r>
      <w:r w:rsidR="00D8374A" w:rsidRPr="00D8374A">
        <w:rPr>
          <w:sz w:val="24"/>
          <w:szCs w:val="24"/>
          <w:lang w:val="cs-CZ"/>
        </w:rPr>
        <w:t>.</w:t>
      </w:r>
      <w:r w:rsidR="00D8374A" w:rsidRPr="00063901">
        <w:rPr>
          <w:sz w:val="24"/>
          <w:szCs w:val="24"/>
          <w:lang w:val="cs-CZ"/>
        </w:rPr>
        <w:t>3</w:t>
      </w:r>
      <w:r w:rsidR="00D8374A" w:rsidRPr="00D8374A">
        <w:rPr>
          <w:sz w:val="24"/>
          <w:szCs w:val="24"/>
          <w:lang w:val="cs-CZ"/>
        </w:rPr>
        <w:t>.</w:t>
      </w:r>
      <w:r w:rsidR="00D8374A" w:rsidRPr="00063901">
        <w:rPr>
          <w:sz w:val="24"/>
          <w:szCs w:val="24"/>
          <w:lang w:val="cs-CZ"/>
        </w:rPr>
        <w:t>2024</w:t>
      </w:r>
      <w:r w:rsidR="00D8374A" w:rsidRPr="00D8374A">
        <w:rPr>
          <w:sz w:val="24"/>
          <w:szCs w:val="24"/>
          <w:lang w:val="cs-CZ"/>
        </w:rPr>
        <w:t xml:space="preserve">, </w:t>
      </w:r>
      <w:hyperlink r:id="rId2" w:history="1">
        <w:r w:rsidR="00D8374A" w:rsidRPr="008A774E">
          <w:rPr>
            <w:rStyle w:val="Hyperlink"/>
            <w:sz w:val="24"/>
            <w:szCs w:val="24"/>
            <w:lang w:val="cs-CZ"/>
          </w:rPr>
          <w:t>ELI: http://data.europa.eu/eli/C/2024/1981/oj</w:t>
        </w:r>
      </w:hyperlink>
      <w:r w:rsidRPr="00D8374A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43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207E3B"/>
    <w:multiLevelType w:val="hybridMultilevel"/>
    <w:tmpl w:val="4922FD66"/>
    <w:lvl w:ilvl="0" w:tplc="08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F9E5611"/>
    <w:multiLevelType w:val="multilevel"/>
    <w:tmpl w:val="E7DC9D06"/>
    <w:lvl w:ilvl="0">
      <w:start w:val="1"/>
      <w:numFmt w:val="upperLetter"/>
      <w:pStyle w:val="Heading1new"/>
      <w:lvlText w:val="%1."/>
      <w:lvlJc w:val="left"/>
      <w:pPr>
        <w:ind w:left="710" w:firstLine="0"/>
      </w:pPr>
      <w:rPr>
        <w:rFonts w:hint="default"/>
      </w:rPr>
    </w:lvl>
    <w:lvl w:ilvl="1">
      <w:start w:val="1"/>
      <w:numFmt w:val="decimal"/>
      <w:pStyle w:val="Heading2new"/>
      <w:lvlText w:val="%1.%2."/>
      <w:lvlJc w:val="left"/>
      <w:pPr>
        <w:ind w:left="1844" w:firstLine="0"/>
      </w:pPr>
      <w:rPr>
        <w:rFonts w:hint="default"/>
        <w:b w:val="0"/>
      </w:rPr>
    </w:lvl>
    <w:lvl w:ilvl="2">
      <w:start w:val="1"/>
      <w:numFmt w:val="decimal"/>
      <w:pStyle w:val="Heading3new"/>
      <w:lvlText w:val="%1.%2.%3."/>
      <w:lvlJc w:val="left"/>
      <w:pPr>
        <w:ind w:left="1418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new"/>
      <w:lvlText w:val="%1.%2.%3.%4."/>
      <w:lvlJc w:val="left"/>
      <w:pPr>
        <w:ind w:left="425" w:firstLine="0"/>
      </w:pPr>
      <w:rPr>
        <w:rFonts w:hint="default"/>
      </w:rPr>
    </w:lvl>
    <w:lvl w:ilvl="4">
      <w:start w:val="1"/>
      <w:numFmt w:val="decimal"/>
      <w:pStyle w:val="Heading5new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54A2038"/>
    <w:multiLevelType w:val="hybridMultilevel"/>
    <w:tmpl w:val="EDE4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7"/>
  </w:num>
  <w:num w:numId="3">
    <w:abstractNumId w:val="32"/>
  </w:num>
  <w:num w:numId="4">
    <w:abstractNumId w:val="2"/>
  </w:num>
  <w:num w:numId="5">
    <w:abstractNumId w:val="33"/>
  </w:num>
  <w:num w:numId="6">
    <w:abstractNumId w:val="29"/>
  </w:num>
  <w:num w:numId="7">
    <w:abstractNumId w:val="4"/>
  </w:num>
  <w:num w:numId="8">
    <w:abstractNumId w:val="36"/>
  </w:num>
  <w:num w:numId="9">
    <w:abstractNumId w:val="41"/>
  </w:num>
  <w:num w:numId="10">
    <w:abstractNumId w:val="26"/>
  </w:num>
  <w:num w:numId="11">
    <w:abstractNumId w:val="34"/>
  </w:num>
  <w:num w:numId="12">
    <w:abstractNumId w:val="30"/>
  </w:num>
  <w:num w:numId="13">
    <w:abstractNumId w:val="21"/>
  </w:num>
  <w:num w:numId="14">
    <w:abstractNumId w:val="12"/>
  </w:num>
  <w:num w:numId="15">
    <w:abstractNumId w:val="10"/>
  </w:num>
  <w:num w:numId="16">
    <w:abstractNumId w:val="31"/>
  </w:num>
  <w:num w:numId="17">
    <w:abstractNumId w:val="37"/>
  </w:num>
  <w:num w:numId="18">
    <w:abstractNumId w:val="1"/>
  </w:num>
  <w:num w:numId="19">
    <w:abstractNumId w:val="13"/>
  </w:num>
  <w:num w:numId="20">
    <w:abstractNumId w:val="9"/>
  </w:num>
  <w:num w:numId="21">
    <w:abstractNumId w:val="14"/>
  </w:num>
  <w:num w:numId="22">
    <w:abstractNumId w:val="27"/>
  </w:num>
  <w:num w:numId="23">
    <w:abstractNumId w:val="0"/>
  </w:num>
  <w:num w:numId="24">
    <w:abstractNumId w:val="7"/>
  </w:num>
  <w:num w:numId="25">
    <w:abstractNumId w:val="22"/>
  </w:num>
  <w:num w:numId="26">
    <w:abstractNumId w:val="25"/>
  </w:num>
  <w:num w:numId="27">
    <w:abstractNumId w:val="24"/>
  </w:num>
  <w:num w:numId="28">
    <w:abstractNumId w:val="42"/>
  </w:num>
  <w:num w:numId="29">
    <w:abstractNumId w:val="18"/>
  </w:num>
  <w:num w:numId="30">
    <w:abstractNumId w:val="19"/>
  </w:num>
  <w:num w:numId="31">
    <w:abstractNumId w:val="20"/>
  </w:num>
  <w:num w:numId="32">
    <w:abstractNumId w:val="23"/>
  </w:num>
  <w:num w:numId="33">
    <w:abstractNumId w:val="11"/>
  </w:num>
  <w:num w:numId="34">
    <w:abstractNumId w:val="43"/>
  </w:num>
  <w:num w:numId="35">
    <w:abstractNumId w:val="15"/>
  </w:num>
  <w:num w:numId="36">
    <w:abstractNumId w:val="28"/>
  </w:num>
  <w:num w:numId="37">
    <w:abstractNumId w:val="39"/>
  </w:num>
  <w:num w:numId="38">
    <w:abstractNumId w:val="38"/>
  </w:num>
  <w:num w:numId="39">
    <w:abstractNumId w:val="40"/>
  </w:num>
  <w:num w:numId="40">
    <w:abstractNumId w:val="6"/>
  </w:num>
  <w:num w:numId="41">
    <w:abstractNumId w:val="8"/>
  </w:num>
  <w:num w:numId="42">
    <w:abstractNumId w:val="5"/>
  </w:num>
  <w:num w:numId="43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CS"/>
    <w:docVar w:name="dvnumam" w:val="204"/>
    <w:docVar w:name="dvpe" w:val="754.831"/>
    <w:docVar w:name="dvrapporteur" w:val="Zpravodajka: "/>
    <w:docVar w:name="dvstar" w:val="***I"/>
    <w:docVar w:name="dvtitre" w:val="Legislativní usnesení Evropského parlamentu ze dne.... 2024 o návrhu směrnice Evropského parlamentu a Rady, kterou se zavádí evropský průkaz osob se zdravotním postižením a evropská parkovací karta pro osoby se zdravotním postižením(COM(2023)0512 – C9-0328/2023 – 2023/0311(COD))"/>
  </w:docVars>
  <w:rsids>
    <w:rsidRoot w:val="00AF2A54"/>
    <w:rsid w:val="00002272"/>
    <w:rsid w:val="0006390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AA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64E"/>
    <w:rsid w:val="00555226"/>
    <w:rsid w:val="00560270"/>
    <w:rsid w:val="005C2568"/>
    <w:rsid w:val="006037C0"/>
    <w:rsid w:val="006631B6"/>
    <w:rsid w:val="006743F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74E"/>
    <w:rsid w:val="008B7CAB"/>
    <w:rsid w:val="008C2AC6"/>
    <w:rsid w:val="00930C23"/>
    <w:rsid w:val="0093193B"/>
    <w:rsid w:val="009509D8"/>
    <w:rsid w:val="00950B64"/>
    <w:rsid w:val="00981893"/>
    <w:rsid w:val="00A1687D"/>
    <w:rsid w:val="00A42900"/>
    <w:rsid w:val="00A43E52"/>
    <w:rsid w:val="00A4678D"/>
    <w:rsid w:val="00A778C7"/>
    <w:rsid w:val="00AB441E"/>
    <w:rsid w:val="00AB6293"/>
    <w:rsid w:val="00AE0928"/>
    <w:rsid w:val="00AF2A54"/>
    <w:rsid w:val="00AF3B82"/>
    <w:rsid w:val="00B12E95"/>
    <w:rsid w:val="00B22876"/>
    <w:rsid w:val="00B558F0"/>
    <w:rsid w:val="00BC53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74A"/>
    <w:rsid w:val="00D872DF"/>
    <w:rsid w:val="00D91E21"/>
    <w:rsid w:val="00DA7FCD"/>
    <w:rsid w:val="00E365E1"/>
    <w:rsid w:val="00E820A4"/>
    <w:rsid w:val="00EB006A"/>
    <w:rsid w:val="00EB4772"/>
    <w:rsid w:val="00EC70D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5285D"/>
  <w15:chartTrackingRefBased/>
  <w15:docId w15:val="{C4F95C3B-9358-4BD0-A0ED-D82736BC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C53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3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3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3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3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341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341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C5341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C5341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C53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C53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C53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C5341"/>
    <w:pPr>
      <w:spacing w:after="120"/>
    </w:pPr>
  </w:style>
  <w:style w:type="paragraph" w:customStyle="1" w:styleId="PageHeading">
    <w:name w:val="PageHeading"/>
    <w:basedOn w:val="Normal"/>
    <w:link w:val="PageHeadingChar"/>
    <w:rsid w:val="00BC534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BC5341"/>
    <w:rPr>
      <w:rFonts w:ascii="Arial" w:hAnsi="Arial" w:cs="Arial"/>
      <w:b/>
      <w:sz w:val="24"/>
      <w:lang w:val="cs-CZ"/>
    </w:rPr>
  </w:style>
  <w:style w:type="paragraph" w:customStyle="1" w:styleId="NormalBold">
    <w:name w:val="NormalBold"/>
    <w:basedOn w:val="Normal"/>
    <w:link w:val="NormalBoldChar"/>
    <w:rsid w:val="00BC534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C5341"/>
    <w:rPr>
      <w:b/>
      <w:sz w:val="24"/>
      <w:lang w:val="cs-CZ"/>
    </w:rPr>
  </w:style>
  <w:style w:type="paragraph" w:customStyle="1" w:styleId="NormalBold12a">
    <w:name w:val="NormalBold12a"/>
    <w:basedOn w:val="Normal"/>
    <w:rsid w:val="00BC5341"/>
    <w:pPr>
      <w:spacing w:after="240"/>
    </w:pPr>
    <w:rPr>
      <w:b/>
    </w:rPr>
  </w:style>
  <w:style w:type="paragraph" w:customStyle="1" w:styleId="AmJustText">
    <w:name w:val="AmJustText"/>
    <w:basedOn w:val="Normal"/>
    <w:rsid w:val="00BC53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C53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C5341"/>
    <w:pPr>
      <w:spacing w:after="480"/>
      <w:ind w:left="1417"/>
    </w:pPr>
  </w:style>
  <w:style w:type="paragraph" w:customStyle="1" w:styleId="CoverNormal">
    <w:name w:val="CoverNormal"/>
    <w:basedOn w:val="Normal"/>
    <w:rsid w:val="00BC5341"/>
    <w:pPr>
      <w:ind w:left="1418"/>
    </w:pPr>
  </w:style>
  <w:style w:type="paragraph" w:customStyle="1" w:styleId="AmCrossRef">
    <w:name w:val="AmCrossRef"/>
    <w:basedOn w:val="Normal"/>
    <w:rsid w:val="00BC53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C53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C53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C53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C53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C534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C53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341"/>
    <w:rPr>
      <w:sz w:val="24"/>
      <w:lang w:val="cs-CZ"/>
    </w:rPr>
  </w:style>
  <w:style w:type="paragraph" w:customStyle="1" w:styleId="AmOrLang">
    <w:name w:val="AmOrLang"/>
    <w:basedOn w:val="Normal"/>
    <w:rsid w:val="00BC53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C53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C53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C5341"/>
    <w:rPr>
      <w:b/>
      <w:sz w:val="24"/>
      <w:lang w:val="cs-CZ"/>
    </w:rPr>
  </w:style>
  <w:style w:type="paragraph" w:customStyle="1" w:styleId="NormalBold12b">
    <w:name w:val="NormalBold12b"/>
    <w:basedOn w:val="Normal"/>
    <w:link w:val="NormalBold12bChar"/>
    <w:rsid w:val="00BC5341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C5341"/>
    <w:rPr>
      <w:b/>
      <w:sz w:val="24"/>
      <w:lang w:val="cs-CZ"/>
    </w:rPr>
  </w:style>
  <w:style w:type="paragraph" w:customStyle="1" w:styleId="EPBody">
    <w:name w:val="EPBody"/>
    <w:basedOn w:val="Normal"/>
    <w:rsid w:val="00BC53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C53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C5341"/>
    <w:pPr>
      <w:spacing w:before="480" w:after="240"/>
    </w:pPr>
  </w:style>
  <w:style w:type="paragraph" w:customStyle="1" w:styleId="Lgendesigne">
    <w:name w:val="Légende signe"/>
    <w:basedOn w:val="Normal"/>
    <w:rsid w:val="00BC53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C53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C5341"/>
    <w:rPr>
      <w:sz w:val="18"/>
    </w:rPr>
  </w:style>
  <w:style w:type="paragraph" w:customStyle="1" w:styleId="Normal12Italic">
    <w:name w:val="Normal12Italic"/>
    <w:basedOn w:val="Normal12"/>
    <w:rsid w:val="00BC5341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BC5341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BC5341"/>
    <w:rPr>
      <w:rFonts w:ascii="Arial" w:hAnsi="Arial" w:cs="Arial"/>
      <w:b w:val="0"/>
      <w:sz w:val="24"/>
      <w:lang w:val="cs-CZ"/>
    </w:rPr>
  </w:style>
  <w:style w:type="paragraph" w:customStyle="1" w:styleId="LetterSalutation">
    <w:name w:val="LetterSalutation"/>
    <w:basedOn w:val="Normal"/>
    <w:rsid w:val="00BC5341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BC534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rsid w:val="00BC53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C534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34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C5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C5341"/>
    <w:rPr>
      <w:b/>
      <w:bCs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BC5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C5341"/>
    <w:rPr>
      <w:rFonts w:ascii="Segoe UI" w:hAnsi="Segoe UI" w:cs="Segoe UI"/>
      <w:sz w:val="18"/>
      <w:szCs w:val="18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BC5341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BC5341"/>
    <w:pPr>
      <w:spacing w:after="120"/>
    </w:pPr>
  </w:style>
  <w:style w:type="paragraph" w:customStyle="1" w:styleId="ColumnHeading">
    <w:name w:val="ColumnHeading"/>
    <w:basedOn w:val="Normal"/>
    <w:rsid w:val="00BC5341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BC5341"/>
    <w:pPr>
      <w:spacing w:after="240"/>
    </w:pPr>
  </w:style>
  <w:style w:type="paragraph" w:customStyle="1" w:styleId="PageHeadingNotTOC">
    <w:name w:val="PageHeadingNotTOC"/>
    <w:basedOn w:val="Normal"/>
    <w:rsid w:val="00BC53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C53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BC53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BC5341"/>
    <w:pPr>
      <w:spacing w:after="480"/>
    </w:pPr>
  </w:style>
  <w:style w:type="paragraph" w:customStyle="1" w:styleId="NormalBoldCenter">
    <w:name w:val="NormalBoldCenter"/>
    <w:basedOn w:val="Normal"/>
    <w:rsid w:val="00BC5341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BC53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C53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C53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C5341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BC534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C5341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BC5341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uiPriority w:val="99"/>
    <w:rsid w:val="00BC53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341"/>
    <w:rPr>
      <w:sz w:val="24"/>
      <w:lang w:val="cs-CZ"/>
    </w:rPr>
  </w:style>
  <w:style w:type="paragraph" w:customStyle="1" w:styleId="NormalCentered">
    <w:name w:val="Normal Centered"/>
    <w:basedOn w:val="Normal"/>
    <w:rsid w:val="00D8374A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8374A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D8374A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8374A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8374A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8374A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8374A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8374A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8374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8374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D8374A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8374A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8374A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8374A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8374A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8374A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D8374A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D8374A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D8374A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D8374A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D8374A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D8374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D8374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D8374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D8374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D8374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D8374A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D8374A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D8374A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D8374A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D8374A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D8374A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D8374A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D8374A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D8374A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D8374A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D8374A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D8374A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D8374A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D8374A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D8374A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8374A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8374A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8374A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8374A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D8374A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D8374A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D8374A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D8374A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D8374A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D8374A"/>
    <w:pPr>
      <w:numPr>
        <w:numId w:val="8"/>
      </w:numPr>
    </w:pPr>
  </w:style>
  <w:style w:type="paragraph" w:customStyle="1" w:styleId="DashEqual1">
    <w:name w:val="Dash Equal 1"/>
    <w:basedOn w:val="Dash1"/>
    <w:rsid w:val="00D8374A"/>
    <w:pPr>
      <w:numPr>
        <w:numId w:val="9"/>
      </w:numPr>
    </w:pPr>
  </w:style>
  <w:style w:type="paragraph" w:customStyle="1" w:styleId="DashEqual2">
    <w:name w:val="Dash Equal 2"/>
    <w:basedOn w:val="Dash2"/>
    <w:rsid w:val="00D8374A"/>
    <w:pPr>
      <w:numPr>
        <w:numId w:val="10"/>
      </w:numPr>
    </w:pPr>
  </w:style>
  <w:style w:type="paragraph" w:customStyle="1" w:styleId="DashEqual3">
    <w:name w:val="Dash Equal 3"/>
    <w:basedOn w:val="Dash3"/>
    <w:rsid w:val="00D8374A"/>
    <w:pPr>
      <w:numPr>
        <w:numId w:val="11"/>
      </w:numPr>
    </w:pPr>
  </w:style>
  <w:style w:type="paragraph" w:customStyle="1" w:styleId="DashEqual4">
    <w:name w:val="Dash Equal 4"/>
    <w:basedOn w:val="Dash4"/>
    <w:rsid w:val="00D8374A"/>
    <w:pPr>
      <w:numPr>
        <w:numId w:val="12"/>
      </w:numPr>
    </w:pPr>
  </w:style>
  <w:style w:type="character" w:customStyle="1" w:styleId="Marker">
    <w:name w:val="Marker"/>
    <w:basedOn w:val="DefaultParagraphFont"/>
    <w:rsid w:val="00D8374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8374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8374A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8374A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D8374A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D8374A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D8374A"/>
    <w:pPr>
      <w:jc w:val="center"/>
    </w:pPr>
  </w:style>
  <w:style w:type="paragraph" w:customStyle="1" w:styleId="Jardin">
    <w:name w:val="Jardin"/>
    <w:basedOn w:val="Normal"/>
    <w:rsid w:val="00D8374A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D8374A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8374A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D8374A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8374A"/>
    <w:rPr>
      <w:b/>
    </w:rPr>
  </w:style>
  <w:style w:type="paragraph" w:customStyle="1" w:styleId="Annex">
    <w:name w:val="Annex"/>
    <w:basedOn w:val="Normal"/>
    <w:next w:val="Normal"/>
    <w:rsid w:val="00D8374A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8374A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8374A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8374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8374A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8374A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8374A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D8374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8374A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8374A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8374A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D8374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8374A"/>
    <w:rPr>
      <w:color w:val="808080"/>
    </w:rPr>
  </w:style>
  <w:style w:type="paragraph" w:styleId="ListParagraph">
    <w:name w:val="List Paragraph"/>
    <w:aliases w:val="Dot pt,F5 List Paragraph,No Spacing1,List Paragraph Char Char Char,Indicator Text,Numbered Para 1,MAIN CONTENT,Colorful List - Accent 11,Bullet Points,Recommendation,List Paragraph2,OBC Bullet,List Paragraph12,2"/>
    <w:basedOn w:val="Normal"/>
    <w:link w:val="ListParagraphChar"/>
    <w:uiPriority w:val="34"/>
    <w:qFormat/>
    <w:rsid w:val="00D8374A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Dot pt Char,F5 List Paragraph Char,No Spacing1 Char,List Paragraph Char Char Char Char,Indicator Text Char,Numbered Para 1 Char,MAIN CONTENT Char,Colorful List - Accent 11 Char,Bullet Points Char,Recommendation Char,OBC Bullet Char"/>
    <w:link w:val="ListParagraph"/>
    <w:uiPriority w:val="34"/>
    <w:qFormat/>
    <w:locked/>
    <w:rsid w:val="00D8374A"/>
    <w:rPr>
      <w:rFonts w:eastAsiaTheme="minorHAnsi"/>
      <w:sz w:val="24"/>
      <w:szCs w:val="22"/>
      <w:lang w:val="cs-CZ"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D8374A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D8374A"/>
    <w:rPr>
      <w:rFonts w:eastAsiaTheme="minorHAnsi"/>
      <w:sz w:val="24"/>
      <w:szCs w:val="22"/>
      <w:lang w:val="cs-CZ" w:eastAsia="en-US"/>
    </w:rPr>
  </w:style>
  <w:style w:type="paragraph" w:customStyle="1" w:styleId="Point1">
    <w:name w:val="Point 1"/>
    <w:basedOn w:val="Normal"/>
    <w:rsid w:val="00D8374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8374A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8374A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8374A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8374A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8374A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8374A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D8374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8374A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8374A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D8374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8374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D8374A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8374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customStyle="1" w:styleId="diff-tte-added">
    <w:name w:val="diff-tte-added"/>
    <w:basedOn w:val="DefaultParagraphFont"/>
    <w:rsid w:val="00D8374A"/>
    <w:rPr>
      <w:b/>
      <w:i/>
    </w:rPr>
  </w:style>
  <w:style w:type="paragraph" w:customStyle="1" w:styleId="Pointmanual0">
    <w:name w:val="Point manual"/>
    <w:basedOn w:val="ManualConsidrant"/>
    <w:rsid w:val="00D8374A"/>
  </w:style>
  <w:style w:type="paragraph" w:customStyle="1" w:styleId="Heading11">
    <w:name w:val="Heading 11"/>
    <w:basedOn w:val="Normal"/>
    <w:next w:val="Text1"/>
    <w:uiPriority w:val="9"/>
    <w:qFormat/>
    <w:rsid w:val="00D8374A"/>
    <w:pPr>
      <w:keepNext/>
      <w:widowControl/>
      <w:numPr>
        <w:numId w:val="23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unhideWhenUsed/>
    <w:qFormat/>
    <w:rsid w:val="00D8374A"/>
    <w:pPr>
      <w:keepNext/>
      <w:widowControl/>
      <w:numPr>
        <w:ilvl w:val="1"/>
        <w:numId w:val="2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D8374A"/>
    <w:pPr>
      <w:keepNext/>
      <w:widowControl/>
      <w:numPr>
        <w:ilvl w:val="2"/>
        <w:numId w:val="2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D8374A"/>
    <w:pPr>
      <w:keepNext/>
      <w:widowControl/>
      <w:numPr>
        <w:ilvl w:val="3"/>
        <w:numId w:val="23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D8374A"/>
    <w:pPr>
      <w:keepNext/>
      <w:widowControl/>
      <w:numPr>
        <w:ilvl w:val="4"/>
        <w:numId w:val="23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D8374A"/>
    <w:pPr>
      <w:keepNext/>
      <w:widowControl/>
      <w:numPr>
        <w:ilvl w:val="5"/>
        <w:numId w:val="23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D8374A"/>
    <w:pPr>
      <w:keepNext/>
      <w:widowControl/>
      <w:numPr>
        <w:ilvl w:val="6"/>
        <w:numId w:val="23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D8374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s-CZ"/>
    </w:rPr>
  </w:style>
  <w:style w:type="paragraph" w:styleId="TOC4">
    <w:name w:val="toc 4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8374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D8374A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D8374A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D8374A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D8374A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8374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8374A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8374A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8374A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8374A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8374A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D8374A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D8374A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D8374A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D8374A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D8374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8374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8374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8374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8374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D8374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8374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8374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8374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8374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8374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D8374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D8374A"/>
    <w:pPr>
      <w:widowControl/>
      <w:numPr>
        <w:numId w:val="24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D8374A"/>
    <w:pPr>
      <w:widowControl/>
      <w:numPr>
        <w:numId w:val="25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D8374A"/>
    <w:pPr>
      <w:widowControl/>
      <w:numPr>
        <w:numId w:val="26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D8374A"/>
    <w:pPr>
      <w:widowControl/>
      <w:numPr>
        <w:numId w:val="27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D8374A"/>
    <w:pPr>
      <w:widowControl/>
      <w:numPr>
        <w:numId w:val="28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D8374A"/>
    <w:pPr>
      <w:widowControl/>
      <w:numPr>
        <w:numId w:val="29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D8374A"/>
    <w:pPr>
      <w:widowControl/>
      <w:numPr>
        <w:numId w:val="30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D8374A"/>
    <w:pPr>
      <w:widowControl/>
      <w:numPr>
        <w:numId w:val="31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D8374A"/>
    <w:pPr>
      <w:widowControl/>
      <w:numPr>
        <w:numId w:val="32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8374A"/>
    <w:pPr>
      <w:widowControl/>
      <w:numPr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8374A"/>
    <w:pPr>
      <w:widowControl/>
      <w:numPr>
        <w:ilvl w:val="1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8374A"/>
    <w:pPr>
      <w:widowControl/>
      <w:numPr>
        <w:ilvl w:val="2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8374A"/>
    <w:pPr>
      <w:widowControl/>
      <w:numPr>
        <w:ilvl w:val="3"/>
        <w:numId w:val="33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8374A"/>
    <w:pPr>
      <w:widowControl/>
      <w:numPr>
        <w:ilvl w:val="4"/>
        <w:numId w:val="33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8374A"/>
    <w:pPr>
      <w:widowControl/>
      <w:numPr>
        <w:ilvl w:val="5"/>
        <w:numId w:val="33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8374A"/>
    <w:pPr>
      <w:widowControl/>
      <w:numPr>
        <w:ilvl w:val="6"/>
        <w:numId w:val="33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8374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8374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8374A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8374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8374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8374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8374A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8374A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8374A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D8374A"/>
    <w:pPr>
      <w:widowControl/>
      <w:numPr>
        <w:numId w:val="34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8374A"/>
    <w:pPr>
      <w:widowControl/>
      <w:numPr>
        <w:ilvl w:val="2"/>
        <w:numId w:val="34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8374A"/>
    <w:pPr>
      <w:widowControl/>
      <w:numPr>
        <w:ilvl w:val="4"/>
        <w:numId w:val="34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8374A"/>
    <w:pPr>
      <w:widowControl/>
      <w:numPr>
        <w:ilvl w:val="6"/>
        <w:numId w:val="34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8374A"/>
    <w:pPr>
      <w:widowControl/>
      <w:numPr>
        <w:ilvl w:val="1"/>
        <w:numId w:val="34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8374A"/>
    <w:pPr>
      <w:widowControl/>
      <w:numPr>
        <w:ilvl w:val="3"/>
        <w:numId w:val="34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8374A"/>
    <w:pPr>
      <w:widowControl/>
      <w:numPr>
        <w:ilvl w:val="5"/>
        <w:numId w:val="34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8374A"/>
    <w:pPr>
      <w:widowControl/>
      <w:numPr>
        <w:ilvl w:val="7"/>
        <w:numId w:val="34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8374A"/>
    <w:pPr>
      <w:widowControl/>
      <w:numPr>
        <w:ilvl w:val="8"/>
        <w:numId w:val="34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8374A"/>
    <w:pPr>
      <w:widowControl/>
      <w:numPr>
        <w:numId w:val="35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D8374A"/>
    <w:pPr>
      <w:widowControl/>
      <w:numPr>
        <w:numId w:val="36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D8374A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D8374A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D8374A"/>
    <w:pPr>
      <w:widowControl/>
      <w:numPr>
        <w:numId w:val="39"/>
      </w:numPr>
      <w:tabs>
        <w:tab w:val="clear" w:pos="5386"/>
        <w:tab w:val="num" w:pos="606"/>
      </w:tabs>
      <w:spacing w:before="120" w:after="120" w:line="360" w:lineRule="auto"/>
      <w:ind w:left="606" w:hanging="18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8374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8374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8374A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8374A"/>
    <w:pPr>
      <w:widowControl/>
      <w:numPr>
        <w:numId w:val="40"/>
      </w:numPr>
      <w:tabs>
        <w:tab w:val="clear" w:pos="850"/>
      </w:tabs>
      <w:spacing w:before="120" w:after="120" w:line="360" w:lineRule="auto"/>
      <w:ind w:left="1920" w:hanging="36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8374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ous-titreobjet">
    <w:name w:val="Sous-titre objet"/>
    <w:basedOn w:val="Normal"/>
    <w:rsid w:val="00D8374A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8374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8374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EntLogo">
    <w:name w:val="EntLogo"/>
    <w:basedOn w:val="Normal"/>
    <w:rsid w:val="00D8374A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D8374A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D8374A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D8374A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D8374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D8374A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8374A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D8374A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8374A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8374A"/>
    <w:pPr>
      <w:spacing w:before="240"/>
    </w:pPr>
  </w:style>
  <w:style w:type="paragraph" w:customStyle="1" w:styleId="Accordtitre">
    <w:name w:val="Accord titre"/>
    <w:basedOn w:val="Normal"/>
    <w:rsid w:val="00D8374A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D8374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D8374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8374A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8374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8374A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8374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8374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8374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8374A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8374A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8374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8374A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8374A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8374A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8374A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8374A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8374A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8374A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8374A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8374A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8374A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8374A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8374A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8374A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8374A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8374A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8374A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8374A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8374A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8374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8374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D8374A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D8374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8374A"/>
    <w:pPr>
      <w:pBdr>
        <w:top w:val="none" w:sz="0" w:space="0" w:color="auto"/>
        <w:left w:val="single" w:sz="4" w:space="20" w:color="auto"/>
      </w:pBdr>
    </w:pPr>
  </w:style>
  <w:style w:type="character" w:customStyle="1" w:styleId="diff-tte-removed">
    <w:name w:val="diff-tte-removed"/>
    <w:basedOn w:val="DefaultParagraphFont"/>
    <w:rsid w:val="00D8374A"/>
    <w:rPr>
      <w:strike/>
    </w:rPr>
  </w:style>
  <w:style w:type="character" w:styleId="Hyperlink">
    <w:name w:val="Hyperlink"/>
    <w:basedOn w:val="DefaultParagraphFont"/>
    <w:uiPriority w:val="99"/>
    <w:unhideWhenUsed/>
    <w:rsid w:val="00D8374A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8374A"/>
    <w:rPr>
      <w:color w:val="954F72"/>
      <w:u w:val="single"/>
    </w:rPr>
  </w:style>
  <w:style w:type="paragraph" w:customStyle="1" w:styleId="ti-grseq-1">
    <w:name w:val="ti-grseq-1"/>
    <w:basedOn w:val="Normal"/>
    <w:rsid w:val="00D8374A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DefaultParagraphFont"/>
    <w:rsid w:val="00D8374A"/>
  </w:style>
  <w:style w:type="paragraph" w:customStyle="1" w:styleId="Normal1">
    <w:name w:val="Normal1"/>
    <w:basedOn w:val="Normal"/>
    <w:rsid w:val="00D8374A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8374A"/>
    <w:pPr>
      <w:widowControl/>
      <w:spacing w:before="100" w:beforeAutospacing="1" w:after="100" w:afterAutospacing="1"/>
    </w:pPr>
    <w:rPr>
      <w:szCs w:val="24"/>
    </w:rPr>
  </w:style>
  <w:style w:type="paragraph" w:customStyle="1" w:styleId="Heading1new">
    <w:name w:val="Heading 1 new"/>
    <w:basedOn w:val="Normal"/>
    <w:qFormat/>
    <w:rsid w:val="00D8374A"/>
    <w:pPr>
      <w:numPr>
        <w:numId w:val="41"/>
      </w:numPr>
      <w:jc w:val="center"/>
    </w:pPr>
    <w:rPr>
      <w:rFonts w:ascii="Verdana" w:hAnsi="Verdana" w:cs="Calibri"/>
      <w:bCs/>
      <w:sz w:val="28"/>
      <w:szCs w:val="28"/>
      <w:lang w:eastAsia="fr-BE"/>
    </w:rPr>
  </w:style>
  <w:style w:type="paragraph" w:customStyle="1" w:styleId="Heading2new">
    <w:name w:val="Heading 2 new"/>
    <w:basedOn w:val="Normal"/>
    <w:qFormat/>
    <w:rsid w:val="00D8374A"/>
    <w:pPr>
      <w:numPr>
        <w:ilvl w:val="1"/>
        <w:numId w:val="41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eastAsia="fr-BE"/>
    </w:rPr>
  </w:style>
  <w:style w:type="paragraph" w:customStyle="1" w:styleId="Heading3new">
    <w:name w:val="Heading 3 new"/>
    <w:basedOn w:val="Normal"/>
    <w:link w:val="Heading3newChar"/>
    <w:qFormat/>
    <w:rsid w:val="00D8374A"/>
    <w:pPr>
      <w:numPr>
        <w:ilvl w:val="2"/>
        <w:numId w:val="41"/>
      </w:numPr>
      <w:suppressAutoHyphens/>
      <w:spacing w:after="120"/>
      <w:outlineLvl w:val="0"/>
    </w:pPr>
    <w:rPr>
      <w:rFonts w:ascii="Verdana" w:hAnsi="Verdana" w:cs="Calibri"/>
      <w:szCs w:val="24"/>
      <w:lang w:eastAsia="fr-BE"/>
    </w:rPr>
  </w:style>
  <w:style w:type="paragraph" w:customStyle="1" w:styleId="Heading4new">
    <w:name w:val="Heading 4 new"/>
    <w:basedOn w:val="Normal"/>
    <w:qFormat/>
    <w:rsid w:val="00D8374A"/>
    <w:pPr>
      <w:numPr>
        <w:ilvl w:val="3"/>
        <w:numId w:val="41"/>
      </w:numPr>
      <w:suppressAutoHyphens/>
      <w:spacing w:after="120"/>
      <w:outlineLvl w:val="0"/>
    </w:pPr>
    <w:rPr>
      <w:rFonts w:ascii="Verdana" w:hAnsi="Verdana"/>
      <w:szCs w:val="24"/>
      <w:lang w:eastAsia="fr-BE"/>
    </w:rPr>
  </w:style>
  <w:style w:type="character" w:customStyle="1" w:styleId="Heading3newChar">
    <w:name w:val="Heading 3 new Char"/>
    <w:link w:val="Heading3new"/>
    <w:rsid w:val="00D8374A"/>
    <w:rPr>
      <w:rFonts w:ascii="Verdana" w:hAnsi="Verdana" w:cs="Calibri"/>
      <w:sz w:val="24"/>
      <w:szCs w:val="24"/>
      <w:lang w:val="cs-CZ" w:eastAsia="fr-BE"/>
    </w:rPr>
  </w:style>
  <w:style w:type="paragraph" w:customStyle="1" w:styleId="Heading5new">
    <w:name w:val="Heading 5 new"/>
    <w:basedOn w:val="Normal"/>
    <w:qFormat/>
    <w:rsid w:val="00D8374A"/>
    <w:pPr>
      <w:numPr>
        <w:ilvl w:val="4"/>
        <w:numId w:val="41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eastAsia="fr-BE"/>
    </w:rPr>
  </w:style>
  <w:style w:type="character" w:customStyle="1" w:styleId="Heading2Char1">
    <w:name w:val="Heading 2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/>
    </w:rPr>
  </w:style>
  <w:style w:type="character" w:customStyle="1" w:styleId="Heading3Char1">
    <w:name w:val="Heading 3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s-CZ"/>
    </w:rPr>
  </w:style>
  <w:style w:type="character" w:customStyle="1" w:styleId="Heading4Char1">
    <w:name w:val="Heading 4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cs-CZ"/>
    </w:rPr>
  </w:style>
  <w:style w:type="character" w:customStyle="1" w:styleId="Heading5Char1">
    <w:name w:val="Heading 5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color w:val="2E74B5" w:themeColor="accent1" w:themeShade="BF"/>
      <w:sz w:val="24"/>
      <w:lang w:val="cs-CZ"/>
    </w:rPr>
  </w:style>
  <w:style w:type="character" w:customStyle="1" w:styleId="Heading6Char1">
    <w:name w:val="Heading 6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color w:val="1F4D78" w:themeColor="accent1" w:themeShade="7F"/>
      <w:sz w:val="24"/>
      <w:lang w:val="cs-CZ"/>
    </w:rPr>
  </w:style>
  <w:style w:type="character" w:customStyle="1" w:styleId="Heading7Char1">
    <w:name w:val="Heading 7 Char1"/>
    <w:basedOn w:val="DefaultParagraphFont"/>
    <w:uiPriority w:val="9"/>
    <w:semiHidden/>
    <w:rsid w:val="00D8374A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cs-CZ"/>
    </w:rPr>
  </w:style>
  <w:style w:type="character" w:styleId="FollowedHyperlink">
    <w:name w:val="FollowedHyperlink"/>
    <w:basedOn w:val="DefaultParagraphFont"/>
    <w:uiPriority w:val="99"/>
    <w:unhideWhenUsed/>
    <w:rsid w:val="00D8374A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A774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774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774E"/>
    <w:pPr>
      <w:jc w:val="center"/>
    </w:pPr>
  </w:style>
  <w:style w:type="paragraph" w:customStyle="1" w:styleId="LineSingle">
    <w:name w:val="LineSingle"/>
    <w:basedOn w:val="Normal"/>
    <w:next w:val="Normal"/>
    <w:rsid w:val="008A774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774E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ELI:%20http://data.europa.eu/eli/C/2024/1981/oj" TargetMode="External"/><Relationship Id="rId1" Type="http://schemas.openxmlformats.org/officeDocument/2006/relationships/hyperlink" Target="ELI:%20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76489-D70B-498F-86C6-E0384109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2025-03-10T17:08:00Z</dcterms:created>
  <dcterms:modified xsi:type="dcterms:W3CDTF">2025-03-10T17:08:00Z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