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73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7386" w:rsidRDefault="00160FEE" w:rsidP="0010095E">
            <w:pPr>
              <w:pStyle w:val="EPName"/>
            </w:pPr>
            <w:r w:rsidRPr="00C77386">
              <w:t>Parlamento Europeo</w:t>
            </w:r>
          </w:p>
          <w:p w:rsidR="00751A4A" w:rsidRPr="00C7738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4CC7">
              <w:t>2019</w:t>
            </w:r>
            <w:r w:rsidRPr="00C77386">
              <w:t>-</w:t>
            </w:r>
            <w:r w:rsidRPr="003D4CC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77386" w:rsidRDefault="00187494" w:rsidP="0010095E">
            <w:pPr>
              <w:pStyle w:val="EPLogo"/>
            </w:pPr>
            <w:r w:rsidRPr="00C7738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7386" w:rsidRDefault="00D058B8" w:rsidP="004C5D52">
      <w:pPr>
        <w:pStyle w:val="LineTop"/>
      </w:pPr>
    </w:p>
    <w:p w:rsidR="00680577" w:rsidRPr="00C77386" w:rsidRDefault="00160FEE" w:rsidP="00680577">
      <w:pPr>
        <w:pStyle w:val="EPBodyTA1"/>
      </w:pPr>
      <w:r w:rsidRPr="00C77386">
        <w:t>TEXTOS APROBADOS</w:t>
      </w:r>
    </w:p>
    <w:p w:rsidR="00D058B8" w:rsidRPr="00C77386" w:rsidRDefault="00D058B8" w:rsidP="00D058B8">
      <w:pPr>
        <w:pStyle w:val="LineBottom"/>
      </w:pPr>
    </w:p>
    <w:p w:rsidR="00160FEE" w:rsidRPr="00C77386" w:rsidRDefault="00160FEE" w:rsidP="00160FEE">
      <w:pPr>
        <w:pStyle w:val="ATHeading1"/>
      </w:pPr>
      <w:bookmarkStart w:id="0" w:name="TANumber"/>
      <w:r w:rsidRPr="00C77386">
        <w:t>P</w:t>
      </w:r>
      <w:r w:rsidRPr="003D4CC7">
        <w:t>9</w:t>
      </w:r>
      <w:r w:rsidRPr="00C77386">
        <w:t>_</w:t>
      </w:r>
      <w:proofErr w:type="gramStart"/>
      <w:r w:rsidRPr="00C77386">
        <w:t>TA(</w:t>
      </w:r>
      <w:proofErr w:type="gramEnd"/>
      <w:r w:rsidRPr="003D4CC7">
        <w:t>2024</w:t>
      </w:r>
      <w:r w:rsidRPr="00C77386">
        <w:t>)</w:t>
      </w:r>
      <w:bookmarkEnd w:id="0"/>
      <w:r w:rsidR="00C60126" w:rsidRPr="003D4CC7">
        <w:t>0339</w:t>
      </w:r>
    </w:p>
    <w:p w:rsidR="00160FEE" w:rsidRPr="00C77386" w:rsidRDefault="00160FEE" w:rsidP="00160FEE">
      <w:pPr>
        <w:pStyle w:val="ATHeading2"/>
      </w:pPr>
      <w:bookmarkStart w:id="1" w:name="title"/>
      <w:r w:rsidRPr="00C77386">
        <w:t>Tarjeta Europea de Discapacidad y Tarjeta Europea de Estacionamiento para personas con discapacidad</w:t>
      </w:r>
      <w:bookmarkEnd w:id="1"/>
    </w:p>
    <w:p w:rsidR="00160FEE" w:rsidRPr="00C77386" w:rsidRDefault="00160FEE" w:rsidP="00160FEE">
      <w:pPr>
        <w:rPr>
          <w:i/>
          <w:vanish/>
        </w:rPr>
      </w:pPr>
      <w:r w:rsidRPr="00C77386">
        <w:rPr>
          <w:i/>
        </w:rPr>
        <w:fldChar w:fldCharType="begin"/>
      </w:r>
      <w:r w:rsidRPr="00C77386">
        <w:rPr>
          <w:i/>
        </w:rPr>
        <w:instrText xml:space="preserve"> TC"(</w:instrText>
      </w:r>
      <w:bookmarkStart w:id="2" w:name="DocNumber"/>
      <w:r w:rsidRPr="00C77386">
        <w:rPr>
          <w:i/>
        </w:rPr>
        <w:instrText>A</w:instrText>
      </w:r>
      <w:r w:rsidRPr="003D4CC7">
        <w:rPr>
          <w:i/>
        </w:rPr>
        <w:instrText>9</w:instrText>
      </w:r>
      <w:r w:rsidRPr="00C77386">
        <w:rPr>
          <w:i/>
        </w:rPr>
        <w:instrText>-</w:instrText>
      </w:r>
      <w:r w:rsidRPr="003D4CC7">
        <w:rPr>
          <w:i/>
        </w:rPr>
        <w:instrText>0003</w:instrText>
      </w:r>
      <w:r w:rsidRPr="00C77386">
        <w:rPr>
          <w:i/>
        </w:rPr>
        <w:instrText>/</w:instrText>
      </w:r>
      <w:r w:rsidRPr="003D4CC7">
        <w:rPr>
          <w:i/>
        </w:rPr>
        <w:instrText>2024</w:instrText>
      </w:r>
      <w:bookmarkEnd w:id="2"/>
      <w:r w:rsidRPr="00C77386">
        <w:rPr>
          <w:i/>
        </w:rPr>
        <w:instrText xml:space="preserve"> - Ponente: </w:instrText>
      </w:r>
      <w:proofErr w:type="spellStart"/>
      <w:r w:rsidRPr="00C77386">
        <w:rPr>
          <w:i/>
        </w:rPr>
        <w:instrText>Ďuriš</w:instrText>
      </w:r>
      <w:proofErr w:type="spellEnd"/>
      <w:r w:rsidRPr="00C77386">
        <w:rPr>
          <w:i/>
        </w:rPr>
        <w:instrText xml:space="preserve"> </w:instrText>
      </w:r>
      <w:proofErr w:type="spellStart"/>
      <w:r w:rsidRPr="00C77386">
        <w:rPr>
          <w:i/>
        </w:rPr>
        <w:instrText>Nicholsonová</w:instrText>
      </w:r>
      <w:proofErr w:type="spellEnd"/>
      <w:r w:rsidRPr="00C77386">
        <w:rPr>
          <w:i/>
        </w:rPr>
        <w:instrText xml:space="preserve"> Lucia)"\l</w:instrText>
      </w:r>
      <w:r w:rsidRPr="003D4CC7">
        <w:rPr>
          <w:i/>
        </w:rPr>
        <w:instrText>3</w:instrText>
      </w:r>
      <w:r w:rsidRPr="00C77386">
        <w:rPr>
          <w:i/>
        </w:rPr>
        <w:instrText xml:space="preserve"> \n&gt; \* MERGEFORMAT </w:instrText>
      </w:r>
      <w:r w:rsidRPr="00C77386">
        <w:rPr>
          <w:i/>
        </w:rPr>
        <w:fldChar w:fldCharType="end"/>
      </w:r>
    </w:p>
    <w:p w:rsidR="00160FEE" w:rsidRPr="00C77386" w:rsidRDefault="00160FEE" w:rsidP="00160FEE">
      <w:pPr>
        <w:rPr>
          <w:vanish/>
        </w:rPr>
      </w:pPr>
      <w:bookmarkStart w:id="3" w:name="Commission"/>
      <w:r w:rsidRPr="00C77386">
        <w:rPr>
          <w:vanish/>
        </w:rPr>
        <w:t>Comisión de Empleo y Asuntos Sociales</w:t>
      </w:r>
      <w:bookmarkEnd w:id="3"/>
    </w:p>
    <w:p w:rsidR="00160FEE" w:rsidRPr="00C77386" w:rsidRDefault="00160FEE" w:rsidP="00160FEE">
      <w:pPr>
        <w:rPr>
          <w:vanish/>
        </w:rPr>
      </w:pPr>
      <w:bookmarkStart w:id="4" w:name="PE"/>
      <w:r w:rsidRPr="00C77386">
        <w:rPr>
          <w:vanish/>
        </w:rPr>
        <w:t>PE</w:t>
      </w:r>
      <w:r w:rsidRPr="003D4CC7">
        <w:rPr>
          <w:vanish/>
        </w:rPr>
        <w:t>754</w:t>
      </w:r>
      <w:r w:rsidRPr="00C77386">
        <w:rPr>
          <w:vanish/>
        </w:rPr>
        <w:t>.</w:t>
      </w:r>
      <w:r w:rsidRPr="003D4CC7">
        <w:rPr>
          <w:vanish/>
        </w:rPr>
        <w:t>831</w:t>
      </w:r>
      <w:bookmarkEnd w:id="4"/>
    </w:p>
    <w:p w:rsidR="00160FEE" w:rsidRPr="00C77386" w:rsidRDefault="00160FEE" w:rsidP="00160FEE">
      <w:pPr>
        <w:pStyle w:val="ATHeading3"/>
      </w:pPr>
      <w:bookmarkStart w:id="5" w:name="Sujet"/>
      <w:r w:rsidRPr="00C77386">
        <w:t xml:space="preserve">Resolución legislativa del Parlamento Europeo, de </w:t>
      </w:r>
      <w:r w:rsidRPr="003D4CC7">
        <w:t>24</w:t>
      </w:r>
      <w:r w:rsidRPr="00C77386">
        <w:t xml:space="preserve"> de abril de </w:t>
      </w:r>
      <w:r w:rsidRPr="003D4CC7">
        <w:t>2024</w:t>
      </w:r>
      <w:r w:rsidRPr="00C77386">
        <w:t>, sobre la propuesta de Directiva del Parlamento Europeo y del Consejo por la que se establecen la Tarjeta Europea de Discapacidad y la Tarjeta Europea de Estacionamiento para personas con discapacidad</w:t>
      </w:r>
      <w:bookmarkEnd w:id="5"/>
      <w:r w:rsidRPr="00C77386">
        <w:t xml:space="preserve"> </w:t>
      </w:r>
      <w:bookmarkStart w:id="6" w:name="References"/>
      <w:r w:rsidRPr="00C77386">
        <w:t>(</w:t>
      </w:r>
      <w:proofErr w:type="gramStart"/>
      <w:r w:rsidRPr="00C77386">
        <w:t>COM(</w:t>
      </w:r>
      <w:proofErr w:type="gramEnd"/>
      <w:r w:rsidRPr="003D4CC7">
        <w:t>2023</w:t>
      </w:r>
      <w:r w:rsidRPr="00C77386">
        <w:t>)</w:t>
      </w:r>
      <w:r w:rsidRPr="003D4CC7">
        <w:t>0512</w:t>
      </w:r>
      <w:r w:rsidRPr="00C77386">
        <w:t xml:space="preserve"> – C</w:t>
      </w:r>
      <w:r w:rsidRPr="003D4CC7">
        <w:t>9</w:t>
      </w:r>
      <w:r w:rsidRPr="00C77386">
        <w:t>-</w:t>
      </w:r>
      <w:r w:rsidRPr="003D4CC7">
        <w:t>0328</w:t>
      </w:r>
      <w:r w:rsidRPr="00C77386">
        <w:t>/</w:t>
      </w:r>
      <w:r w:rsidRPr="003D4CC7">
        <w:t>2023</w:t>
      </w:r>
      <w:r w:rsidRPr="00C77386">
        <w:t xml:space="preserve"> – </w:t>
      </w:r>
      <w:r w:rsidRPr="003D4CC7">
        <w:t>2023</w:t>
      </w:r>
      <w:r w:rsidRPr="00C77386">
        <w:t>/</w:t>
      </w:r>
      <w:r w:rsidRPr="003D4CC7">
        <w:t>0311</w:t>
      </w:r>
      <w:r w:rsidRPr="00C77386">
        <w:t>(COD))</w:t>
      </w:r>
      <w:bookmarkEnd w:id="6"/>
    </w:p>
    <w:p w:rsidR="00160FEE" w:rsidRPr="00C77386" w:rsidRDefault="00160FEE" w:rsidP="00160FEE"/>
    <w:p w:rsidR="009610F4" w:rsidRPr="00C77386" w:rsidRDefault="009610F4" w:rsidP="009610F4">
      <w:pPr>
        <w:pStyle w:val="NormalBold"/>
      </w:pPr>
      <w:bookmarkStart w:id="7" w:name="TextBodyBegin"/>
      <w:bookmarkEnd w:id="7"/>
      <w:r w:rsidRPr="00C77386">
        <w:t>(Procedimiento legislativo ordinario: primera lectura)</w:t>
      </w:r>
    </w:p>
    <w:p w:rsidR="009610F4" w:rsidRPr="00C77386" w:rsidRDefault="009610F4" w:rsidP="009610F4">
      <w:pPr>
        <w:pStyle w:val="NormalHanging12a"/>
        <w:spacing w:before="240"/>
        <w:ind w:left="0" w:firstLine="0"/>
        <w:rPr>
          <w:i/>
        </w:rPr>
      </w:pPr>
      <w:r w:rsidRPr="00C77386">
        <w:rPr>
          <w:i/>
        </w:rPr>
        <w:t>El Parlamento Europeo,</w:t>
      </w:r>
    </w:p>
    <w:p w:rsidR="009610F4" w:rsidRPr="00C77386" w:rsidRDefault="009610F4" w:rsidP="009610F4">
      <w:pPr>
        <w:pStyle w:val="NormalHanging12a"/>
      </w:pPr>
      <w:r w:rsidRPr="00C77386">
        <w:rPr>
          <w:i/>
        </w:rPr>
        <w:t>–</w:t>
      </w:r>
      <w:r w:rsidRPr="00C77386">
        <w:rPr>
          <w:i/>
        </w:rPr>
        <w:tab/>
      </w:r>
      <w:r w:rsidRPr="00C77386">
        <w:t>Vista la propuesta de la Comisión al Parlamento Europeo y al Consejo (</w:t>
      </w:r>
      <w:proofErr w:type="gramStart"/>
      <w:r w:rsidRPr="00C77386">
        <w:t>COM(</w:t>
      </w:r>
      <w:proofErr w:type="gramEnd"/>
      <w:r w:rsidRPr="003D4CC7">
        <w:t>2023</w:t>
      </w:r>
      <w:r w:rsidRPr="00C77386">
        <w:t>)</w:t>
      </w:r>
      <w:r w:rsidRPr="003D4CC7">
        <w:t>0512</w:t>
      </w:r>
      <w:r w:rsidRPr="00C77386">
        <w:t>),</w:t>
      </w:r>
    </w:p>
    <w:p w:rsidR="009610F4" w:rsidRPr="00C77386" w:rsidRDefault="009610F4" w:rsidP="009610F4">
      <w:pPr>
        <w:pStyle w:val="NormalHanging12a"/>
      </w:pPr>
      <w:r w:rsidRPr="00C77386">
        <w:t>–</w:t>
      </w:r>
      <w:r w:rsidRPr="00C77386">
        <w:tab/>
        <w:t>Vistos el artículo </w:t>
      </w:r>
      <w:r w:rsidRPr="003D4CC7">
        <w:t>294</w:t>
      </w:r>
      <w:r w:rsidRPr="00C77386">
        <w:t>, apartado </w:t>
      </w:r>
      <w:r w:rsidRPr="003D4CC7">
        <w:t>2</w:t>
      </w:r>
      <w:r w:rsidRPr="00C77386">
        <w:t xml:space="preserve">, </w:t>
      </w:r>
      <w:r w:rsidR="00D47E4A" w:rsidRPr="00C77386">
        <w:t xml:space="preserve">el </w:t>
      </w:r>
      <w:r w:rsidRPr="00C77386">
        <w:t>artículo </w:t>
      </w:r>
      <w:r w:rsidRPr="003D4CC7">
        <w:t>53</w:t>
      </w:r>
      <w:r w:rsidRPr="00C77386">
        <w:t>, apartado </w:t>
      </w:r>
      <w:r w:rsidRPr="003D4CC7">
        <w:t>1</w:t>
      </w:r>
      <w:r w:rsidRPr="00C77386">
        <w:t xml:space="preserve">, </w:t>
      </w:r>
      <w:r w:rsidR="00D47E4A" w:rsidRPr="00C77386">
        <w:t xml:space="preserve">el </w:t>
      </w:r>
      <w:r w:rsidRPr="00C77386">
        <w:t>artículo </w:t>
      </w:r>
      <w:r w:rsidRPr="003D4CC7">
        <w:t>62</w:t>
      </w:r>
      <w:r w:rsidRPr="00C77386">
        <w:t xml:space="preserve">, </w:t>
      </w:r>
      <w:r w:rsidR="00D47E4A" w:rsidRPr="00C77386">
        <w:t xml:space="preserve">el </w:t>
      </w:r>
      <w:r w:rsidRPr="00C77386">
        <w:t>artículo </w:t>
      </w:r>
      <w:r w:rsidRPr="003D4CC7">
        <w:t>91</w:t>
      </w:r>
      <w:r w:rsidRPr="00C77386">
        <w:t xml:space="preserve"> y </w:t>
      </w:r>
      <w:r w:rsidR="00D47E4A" w:rsidRPr="00C77386">
        <w:t xml:space="preserve">el </w:t>
      </w:r>
      <w:r w:rsidRPr="00C77386">
        <w:t>artículo </w:t>
      </w:r>
      <w:r w:rsidRPr="003D4CC7">
        <w:t>21</w:t>
      </w:r>
      <w:r w:rsidRPr="00C77386">
        <w:t>, apartado </w:t>
      </w:r>
      <w:r w:rsidRPr="003D4CC7">
        <w:t>2</w:t>
      </w:r>
      <w:r w:rsidRPr="00C77386">
        <w:t xml:space="preserve"> del Tratado de Funcionamiento de la Unión Europea, conforme a los cuales la Comisión le ha presentado su propuesta (C</w:t>
      </w:r>
      <w:r w:rsidRPr="003D4CC7">
        <w:t>9</w:t>
      </w:r>
      <w:r w:rsidRPr="00C77386">
        <w:t>-</w:t>
      </w:r>
      <w:r w:rsidRPr="003D4CC7">
        <w:t>0328</w:t>
      </w:r>
      <w:r w:rsidRPr="00C77386">
        <w:t>/</w:t>
      </w:r>
      <w:r w:rsidRPr="003D4CC7">
        <w:t>2023</w:t>
      </w:r>
      <w:r w:rsidRPr="00C77386">
        <w:t>),</w:t>
      </w:r>
    </w:p>
    <w:p w:rsidR="009610F4" w:rsidRPr="00C77386" w:rsidRDefault="009610F4" w:rsidP="009610F4">
      <w:pPr>
        <w:pStyle w:val="NormalHanging12a"/>
      </w:pPr>
      <w:r w:rsidRPr="00C77386">
        <w:t>–</w:t>
      </w:r>
      <w:r w:rsidRPr="00C77386">
        <w:tab/>
        <w:t>Visto el artículo </w:t>
      </w:r>
      <w:r w:rsidRPr="003D4CC7">
        <w:t>294</w:t>
      </w:r>
      <w:r w:rsidRPr="00C77386">
        <w:t>, apartado </w:t>
      </w:r>
      <w:r w:rsidRPr="003D4CC7">
        <w:t>3</w:t>
      </w:r>
      <w:r w:rsidRPr="00C77386">
        <w:t>, del Tratado de Funcionamiento de la Unión Europea,</w:t>
      </w:r>
    </w:p>
    <w:p w:rsidR="009610F4" w:rsidRPr="00C77386" w:rsidRDefault="009610F4" w:rsidP="009610F4">
      <w:pPr>
        <w:pStyle w:val="NormalHanging12a"/>
      </w:pPr>
      <w:r w:rsidRPr="00C77386">
        <w:t>–</w:t>
      </w:r>
      <w:r w:rsidRPr="00C77386">
        <w:tab/>
        <w:t xml:space="preserve">Visto el dictamen del Comité Económico y Social Europeo de </w:t>
      </w:r>
      <w:r w:rsidR="00821D91" w:rsidRPr="003D4CC7">
        <w:t>14</w:t>
      </w:r>
      <w:r w:rsidR="00821D91" w:rsidRPr="00C77386">
        <w:t> </w:t>
      </w:r>
      <w:r w:rsidRPr="00C77386">
        <w:t>de </w:t>
      </w:r>
      <w:r w:rsidR="00821D91" w:rsidRPr="00C77386">
        <w:t xml:space="preserve">diciembre </w:t>
      </w:r>
      <w:r w:rsidRPr="00C77386">
        <w:t>de </w:t>
      </w:r>
      <w:r w:rsidRPr="003D4CC7">
        <w:t>2023</w:t>
      </w:r>
      <w:r w:rsidRPr="00C77386">
        <w:rPr>
          <w:rStyle w:val="FootnoteReference"/>
        </w:rPr>
        <w:footnoteReference w:id="1"/>
      </w:r>
      <w:r w:rsidRPr="00C77386">
        <w:t>,</w:t>
      </w:r>
    </w:p>
    <w:p w:rsidR="009610F4" w:rsidRPr="00C77386" w:rsidRDefault="009610F4" w:rsidP="009610F4">
      <w:pPr>
        <w:pStyle w:val="NormalHanging12a"/>
      </w:pPr>
      <w:r w:rsidRPr="00C77386">
        <w:t>–</w:t>
      </w:r>
      <w:r w:rsidRPr="00C77386">
        <w:tab/>
        <w:t xml:space="preserve">Visto el dictamen del Comité de las Regiones de </w:t>
      </w:r>
      <w:r w:rsidR="00821D91" w:rsidRPr="003D4CC7">
        <w:t>31</w:t>
      </w:r>
      <w:r w:rsidR="00821D91" w:rsidRPr="00C77386">
        <w:t> </w:t>
      </w:r>
      <w:r w:rsidRPr="00C77386">
        <w:t>de </w:t>
      </w:r>
      <w:r w:rsidR="00821D91" w:rsidRPr="00C77386">
        <w:t xml:space="preserve">enero </w:t>
      </w:r>
      <w:r w:rsidRPr="00C77386">
        <w:t>de </w:t>
      </w:r>
      <w:r w:rsidRPr="003D4CC7">
        <w:t>202</w:t>
      </w:r>
      <w:r w:rsidR="00821D91" w:rsidRPr="003D4CC7">
        <w:t>4</w:t>
      </w:r>
      <w:r w:rsidRPr="00C77386">
        <w:rPr>
          <w:rStyle w:val="FootnoteReference"/>
        </w:rPr>
        <w:footnoteReference w:id="2"/>
      </w:r>
      <w:r w:rsidRPr="00C77386">
        <w:t>,</w:t>
      </w:r>
    </w:p>
    <w:p w:rsidR="00821D91" w:rsidRPr="00C77386" w:rsidRDefault="00821D91" w:rsidP="009610F4">
      <w:pPr>
        <w:pStyle w:val="NormalHanging12a"/>
      </w:pPr>
      <w:r w:rsidRPr="00C77386">
        <w:t>–</w:t>
      </w:r>
      <w:r w:rsidRPr="00C77386">
        <w:tab/>
        <w:t xml:space="preserve">Vistos el acuerdo provisional aprobado por la comisión competente con arreglo al artículo </w:t>
      </w:r>
      <w:r w:rsidRPr="003D4CC7">
        <w:t>74</w:t>
      </w:r>
      <w:r w:rsidRPr="00C77386">
        <w:t xml:space="preserve">, apartado </w:t>
      </w:r>
      <w:r w:rsidRPr="003D4CC7">
        <w:t>4</w:t>
      </w:r>
      <w:r w:rsidRPr="00C77386">
        <w:t xml:space="preserve">, de su Reglamento interno y el compromiso asumido por el representante del Consejo, mediante carta de </w:t>
      </w:r>
      <w:r w:rsidRPr="003D4CC7">
        <w:t>16</w:t>
      </w:r>
      <w:r w:rsidRPr="00C77386">
        <w:t xml:space="preserve"> de febrero de </w:t>
      </w:r>
      <w:r w:rsidRPr="003D4CC7">
        <w:t>2024</w:t>
      </w:r>
      <w:r w:rsidRPr="00C77386">
        <w:t xml:space="preserve">, de aprobar la Posición del Parlamento Europeo, de conformidad con el artículo </w:t>
      </w:r>
      <w:r w:rsidRPr="003D4CC7">
        <w:t>294</w:t>
      </w:r>
      <w:r w:rsidRPr="00C77386">
        <w:t xml:space="preserve">, apartado </w:t>
      </w:r>
      <w:r w:rsidRPr="003D4CC7">
        <w:t>4</w:t>
      </w:r>
      <w:r w:rsidRPr="00C77386">
        <w:t>, del Tratado de Funcionamiento de la Un</w:t>
      </w:r>
      <w:bookmarkStart w:id="8" w:name="_GoBack"/>
      <w:bookmarkEnd w:id="8"/>
      <w:r w:rsidRPr="00C77386">
        <w:t>ión Europea,</w:t>
      </w:r>
    </w:p>
    <w:p w:rsidR="009610F4" w:rsidRPr="00C77386" w:rsidRDefault="009610F4" w:rsidP="009610F4">
      <w:pPr>
        <w:pStyle w:val="NormalHanging12a"/>
      </w:pPr>
      <w:r w:rsidRPr="00C77386">
        <w:t>–</w:t>
      </w:r>
      <w:r w:rsidRPr="00C77386">
        <w:tab/>
        <w:t>Visto el artículo </w:t>
      </w:r>
      <w:r w:rsidRPr="003D4CC7">
        <w:t>59</w:t>
      </w:r>
      <w:r w:rsidRPr="00C77386">
        <w:t xml:space="preserve"> de su Reglamento interno,</w:t>
      </w:r>
    </w:p>
    <w:p w:rsidR="009610F4" w:rsidRPr="00C77386" w:rsidRDefault="009610F4" w:rsidP="009610F4">
      <w:pPr>
        <w:pStyle w:val="NormalHanging12a"/>
      </w:pPr>
      <w:r w:rsidRPr="00C77386">
        <w:t>–</w:t>
      </w:r>
      <w:r w:rsidRPr="00C77386">
        <w:tab/>
        <w:t xml:space="preserve">Vistas las opiniones de la Comisión de Transportes y Turismo y de la Comisión de </w:t>
      </w:r>
      <w:r w:rsidRPr="00C77386">
        <w:lastRenderedPageBreak/>
        <w:t>Derechos de las Mujeres e Igualdad de Género,</w:t>
      </w:r>
    </w:p>
    <w:p w:rsidR="009610F4" w:rsidRPr="00C77386" w:rsidRDefault="009610F4" w:rsidP="009610F4">
      <w:pPr>
        <w:pStyle w:val="NormalHanging12a"/>
      </w:pPr>
      <w:r w:rsidRPr="00C77386">
        <w:t>–</w:t>
      </w:r>
      <w:r w:rsidRPr="00C77386">
        <w:tab/>
        <w:t>Vistas las cartas de la Comisión de Mercado Interior y Protección del Consumidor y de la Comisión de Peticiones,</w:t>
      </w:r>
    </w:p>
    <w:p w:rsidR="009610F4" w:rsidRPr="00C77386" w:rsidRDefault="009610F4" w:rsidP="009610F4">
      <w:pPr>
        <w:pStyle w:val="NormalHanging12a"/>
      </w:pPr>
      <w:r w:rsidRPr="00C77386">
        <w:t>–</w:t>
      </w:r>
      <w:r w:rsidRPr="00C77386">
        <w:tab/>
        <w:t>Visto el informe de la Comisión de Empleo y Asuntos Sociales (A</w:t>
      </w:r>
      <w:r w:rsidRPr="003D4CC7">
        <w:t>9</w:t>
      </w:r>
      <w:r w:rsidRPr="00C77386">
        <w:noBreakHyphen/>
      </w:r>
      <w:r w:rsidRPr="003D4CC7">
        <w:t>0003</w:t>
      </w:r>
      <w:r w:rsidRPr="00C77386">
        <w:t>/</w:t>
      </w:r>
      <w:r w:rsidRPr="003D4CC7">
        <w:t>2024</w:t>
      </w:r>
      <w:r w:rsidRPr="00C77386">
        <w:t>),</w:t>
      </w:r>
    </w:p>
    <w:p w:rsidR="009610F4" w:rsidRPr="00C77386" w:rsidRDefault="009610F4" w:rsidP="009610F4">
      <w:pPr>
        <w:pStyle w:val="NormalHanging12a"/>
      </w:pPr>
      <w:r w:rsidRPr="003D4CC7">
        <w:t>1</w:t>
      </w:r>
      <w:r w:rsidRPr="00C77386">
        <w:t>.</w:t>
      </w:r>
      <w:r w:rsidRPr="00C77386">
        <w:tab/>
        <w:t>Aprueba la Posición en primera lectura que figura a continuación;</w:t>
      </w:r>
    </w:p>
    <w:p w:rsidR="009610F4" w:rsidRPr="00C77386" w:rsidRDefault="009610F4" w:rsidP="009610F4">
      <w:pPr>
        <w:pStyle w:val="NormalHanging12a"/>
      </w:pPr>
      <w:r w:rsidRPr="003D4CC7">
        <w:t>2</w:t>
      </w:r>
      <w:r w:rsidRPr="00C77386">
        <w:t>.</w:t>
      </w:r>
      <w:r w:rsidRPr="00C77386">
        <w:tab/>
        <w:t>Pide a la Comisión que le consulte de nuevo si sustituye su propuesta, la modifica sustancialmente o se propone modificarla sustancialmente;</w:t>
      </w:r>
    </w:p>
    <w:p w:rsidR="00E23EE0" w:rsidRPr="00C77386" w:rsidRDefault="009610F4" w:rsidP="009610F4">
      <w:pPr>
        <w:pStyle w:val="NormalHanging12a"/>
        <w:sectPr w:rsidR="00E23EE0" w:rsidRPr="00C77386" w:rsidSect="00E272D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D4CC7">
        <w:t>3</w:t>
      </w:r>
      <w:r w:rsidRPr="00C77386">
        <w:t>.</w:t>
      </w:r>
      <w:r w:rsidRPr="00C77386">
        <w:tab/>
        <w:t>Encarga a su presidenta que transmita la Posición del Parlamento al Consejo y a la Comisión, así como a los Parlamentos nacionales.</w:t>
      </w:r>
    </w:p>
    <w:p w:rsidR="00821D91" w:rsidRPr="00C77386" w:rsidRDefault="00821D91" w:rsidP="00821D91">
      <w:pPr>
        <w:pStyle w:val="Normal12Hanging"/>
        <w:ind w:left="0" w:firstLine="0"/>
        <w:jc w:val="both"/>
        <w:rPr>
          <w:b/>
        </w:rPr>
      </w:pPr>
      <w:bookmarkStart w:id="9" w:name="TextBodyEnd"/>
      <w:bookmarkEnd w:id="9"/>
      <w:r w:rsidRPr="00C77386">
        <w:rPr>
          <w:rFonts w:eastAsia="Calibri"/>
          <w:b/>
          <w:bCs/>
          <w:color w:val="000000"/>
          <w:szCs w:val="24"/>
        </w:rPr>
        <w:t>P</w:t>
      </w:r>
      <w:r w:rsidRPr="003D4CC7">
        <w:rPr>
          <w:rFonts w:eastAsia="Calibri"/>
          <w:b/>
          <w:bCs/>
          <w:color w:val="000000"/>
          <w:szCs w:val="24"/>
        </w:rPr>
        <w:t>9</w:t>
      </w:r>
      <w:r w:rsidRPr="00C77386">
        <w:rPr>
          <w:rFonts w:eastAsia="Calibri"/>
          <w:b/>
          <w:bCs/>
          <w:color w:val="000000"/>
          <w:szCs w:val="24"/>
        </w:rPr>
        <w:t>_TC</w:t>
      </w:r>
      <w:r w:rsidRPr="003D4CC7">
        <w:rPr>
          <w:rFonts w:eastAsia="Calibri"/>
          <w:b/>
          <w:bCs/>
          <w:color w:val="000000"/>
          <w:szCs w:val="24"/>
        </w:rPr>
        <w:t>1</w:t>
      </w:r>
      <w:r w:rsidRPr="00C77386">
        <w:rPr>
          <w:rFonts w:eastAsia="Calibri"/>
          <w:b/>
          <w:bCs/>
          <w:color w:val="000000"/>
          <w:szCs w:val="24"/>
        </w:rPr>
        <w:t>-</w:t>
      </w:r>
      <w:proofErr w:type="gramStart"/>
      <w:r w:rsidRPr="00C77386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3D4CC7">
        <w:rPr>
          <w:rFonts w:eastAsia="Calibri"/>
          <w:b/>
          <w:bCs/>
          <w:color w:val="000000"/>
          <w:szCs w:val="24"/>
        </w:rPr>
        <w:t>2023</w:t>
      </w:r>
      <w:r w:rsidRPr="00C77386">
        <w:rPr>
          <w:rFonts w:eastAsia="Calibri"/>
          <w:b/>
          <w:bCs/>
          <w:color w:val="000000"/>
          <w:szCs w:val="24"/>
        </w:rPr>
        <w:t>)</w:t>
      </w:r>
      <w:r w:rsidRPr="003D4CC7">
        <w:rPr>
          <w:rFonts w:eastAsia="Calibri"/>
          <w:b/>
          <w:bCs/>
          <w:color w:val="000000"/>
          <w:szCs w:val="24"/>
        </w:rPr>
        <w:t>0311</w:t>
      </w:r>
    </w:p>
    <w:p w:rsidR="00580B65" w:rsidRPr="00580B65" w:rsidRDefault="00821D91" w:rsidP="00580B65">
      <w:pPr>
        <w:widowControl/>
        <w:spacing w:before="360" w:after="360"/>
        <w:rPr>
          <w:b/>
          <w:lang w:val="es-ES" w:eastAsia="fr-BE"/>
        </w:rPr>
      </w:pPr>
      <w:r w:rsidRPr="00C77386">
        <w:rPr>
          <w:b/>
        </w:rPr>
        <w:t xml:space="preserve">Posición del Parlamento Europeo aprobada en primera lectura el </w:t>
      </w:r>
      <w:r w:rsidRPr="003D4CC7">
        <w:rPr>
          <w:b/>
        </w:rPr>
        <w:t>24</w:t>
      </w:r>
      <w:r w:rsidRPr="00C77386">
        <w:rPr>
          <w:b/>
        </w:rPr>
        <w:t xml:space="preserve"> de abril de </w:t>
      </w:r>
      <w:r w:rsidRPr="003D4CC7">
        <w:rPr>
          <w:b/>
        </w:rPr>
        <w:t>2024</w:t>
      </w:r>
      <w:r w:rsidRPr="00C77386">
        <w:rPr>
          <w:b/>
        </w:rPr>
        <w:t xml:space="preserve"> con vistas a la adopción de la Directiva (UE) </w:t>
      </w:r>
      <w:r w:rsidRPr="003D4CC7">
        <w:rPr>
          <w:b/>
        </w:rPr>
        <w:t>2024</w:t>
      </w:r>
      <w:r w:rsidRPr="00C77386">
        <w:rPr>
          <w:b/>
        </w:rPr>
        <w:t xml:space="preserve">/... del Parlamento Europeo y del Consejo </w:t>
      </w:r>
      <w:r w:rsidR="00580B65" w:rsidRPr="00580B65">
        <w:rPr>
          <w:rFonts w:eastAsia="Calibri"/>
          <w:b/>
          <w:szCs w:val="22"/>
          <w:lang w:val="es-ES" w:eastAsia="en-US"/>
        </w:rPr>
        <w:t>por la que se establecen la Tarjeta Europea de Discapacidad y la Tarjeta Europea de Estacionamiento para personas con discapacidad</w:t>
      </w:r>
    </w:p>
    <w:p w:rsidR="00CD544C" w:rsidRPr="00CD544C" w:rsidRDefault="00CD544C" w:rsidP="00CD544C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definiti</w:t>
      </w:r>
      <w:r w:rsidRPr="00CD544C">
        <w:rPr>
          <w:i/>
          <w:lang w:val="es-ES_tradnl"/>
        </w:rPr>
        <w:t>vo, la Directiva (UE) 2024/</w:t>
      </w:r>
      <w:r w:rsidRPr="00CD544C">
        <w:rPr>
          <w:i/>
          <w:lang w:val="es-ES_tradnl"/>
        </w:rPr>
        <w:t>2841</w:t>
      </w:r>
      <w:r w:rsidRPr="00CD544C">
        <w:rPr>
          <w:i/>
          <w:lang w:val="es-ES_tradnl"/>
        </w:rPr>
        <w:t>.)</w:t>
      </w:r>
    </w:p>
    <w:sectPr w:rsidR="00CD544C" w:rsidRPr="00CD544C" w:rsidSect="00E272D7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FEE" w:rsidRPr="00E272D7" w:rsidRDefault="00160FEE">
      <w:r w:rsidRPr="00E272D7">
        <w:separator/>
      </w:r>
    </w:p>
  </w:endnote>
  <w:endnote w:type="continuationSeparator" w:id="0">
    <w:p w:rsidR="00160FEE" w:rsidRPr="00E272D7" w:rsidRDefault="00160FEE">
      <w:r w:rsidRPr="00E272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91" w:rsidRPr="00C60126" w:rsidRDefault="00821D91" w:rsidP="00935B86">
    <w:pPr>
      <w:pStyle w:val="EPFooter2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FEE" w:rsidRPr="00E272D7" w:rsidRDefault="00160FEE">
      <w:r w:rsidRPr="00E272D7">
        <w:separator/>
      </w:r>
    </w:p>
  </w:footnote>
  <w:footnote w:type="continuationSeparator" w:id="0">
    <w:p w:rsidR="00160FEE" w:rsidRPr="00E272D7" w:rsidRDefault="00160FEE">
      <w:r w:rsidRPr="00E272D7">
        <w:continuationSeparator/>
      </w:r>
    </w:p>
  </w:footnote>
  <w:footnote w:id="1">
    <w:p w:rsidR="009610F4" w:rsidRPr="00580B65" w:rsidRDefault="009610F4" w:rsidP="00E272D7">
      <w:pPr>
        <w:pStyle w:val="FootnoteText"/>
        <w:ind w:left="567" w:hanging="567"/>
        <w:rPr>
          <w:sz w:val="24"/>
          <w:szCs w:val="24"/>
          <w:lang w:val="pt-PT"/>
        </w:rPr>
      </w:pPr>
      <w:r w:rsidRPr="00580B65">
        <w:rPr>
          <w:rStyle w:val="FootnoteReference"/>
          <w:sz w:val="24"/>
          <w:szCs w:val="24"/>
          <w:lang w:val="es-ES_tradnl"/>
        </w:rPr>
        <w:footnoteRef/>
      </w:r>
      <w:r w:rsidR="00E272D7" w:rsidRPr="00580B65">
        <w:rPr>
          <w:sz w:val="24"/>
          <w:szCs w:val="24"/>
          <w:lang w:val="pt-PT"/>
        </w:rPr>
        <w:t xml:space="preserve"> </w:t>
      </w:r>
      <w:r w:rsidR="00E272D7" w:rsidRPr="00580B65">
        <w:rPr>
          <w:sz w:val="24"/>
          <w:szCs w:val="24"/>
          <w:lang w:val="pt-PT"/>
        </w:rPr>
        <w:tab/>
      </w:r>
      <w:r w:rsidR="00821D91" w:rsidRPr="00580B65">
        <w:rPr>
          <w:sz w:val="24"/>
          <w:szCs w:val="24"/>
          <w:lang w:val="pt-PT"/>
        </w:rPr>
        <w:t xml:space="preserve">DO C, C/2024/1595, 5.3.2024, ELI: </w:t>
      </w:r>
      <w:hyperlink r:id="rId1" w:history="1">
        <w:r w:rsidR="00821D91" w:rsidRPr="00C13661">
          <w:rPr>
            <w:rStyle w:val="Hyperlink"/>
            <w:sz w:val="24"/>
            <w:szCs w:val="24"/>
            <w:lang w:val="pt-PT"/>
          </w:rPr>
          <w:t>http://data.europa.eu/eli/C/2024/1595/oj</w:t>
        </w:r>
      </w:hyperlink>
      <w:r w:rsidRPr="00580B65">
        <w:rPr>
          <w:sz w:val="24"/>
          <w:szCs w:val="24"/>
          <w:lang w:val="pt-PT"/>
        </w:rPr>
        <w:t>.</w:t>
      </w:r>
    </w:p>
  </w:footnote>
  <w:footnote w:id="2">
    <w:p w:rsidR="009610F4" w:rsidRPr="00580B65" w:rsidRDefault="009610F4" w:rsidP="00E272D7">
      <w:pPr>
        <w:pStyle w:val="FootnoteText"/>
        <w:ind w:left="567" w:hanging="567"/>
        <w:rPr>
          <w:sz w:val="24"/>
          <w:szCs w:val="24"/>
          <w:lang w:val="pt-PT"/>
        </w:rPr>
      </w:pPr>
      <w:r w:rsidRPr="00580B65">
        <w:rPr>
          <w:rStyle w:val="FootnoteReference"/>
          <w:sz w:val="24"/>
          <w:szCs w:val="24"/>
          <w:lang w:val="es-ES_tradnl"/>
        </w:rPr>
        <w:footnoteRef/>
      </w:r>
      <w:r w:rsidR="00E272D7" w:rsidRPr="00580B65">
        <w:rPr>
          <w:sz w:val="24"/>
          <w:szCs w:val="24"/>
          <w:lang w:val="pt-PT"/>
        </w:rPr>
        <w:t xml:space="preserve"> </w:t>
      </w:r>
      <w:r w:rsidR="00E272D7" w:rsidRPr="00580B65">
        <w:rPr>
          <w:sz w:val="24"/>
          <w:szCs w:val="24"/>
          <w:lang w:val="pt-PT"/>
        </w:rPr>
        <w:tab/>
      </w:r>
      <w:r w:rsidR="00821D91" w:rsidRPr="00580B65">
        <w:rPr>
          <w:iCs/>
          <w:sz w:val="24"/>
          <w:szCs w:val="24"/>
          <w:lang w:val="pt-PT"/>
        </w:rPr>
        <w:t xml:space="preserve">DO C, C/2024/1981, 18.3.2024, ELI: </w:t>
      </w:r>
      <w:hyperlink r:id="rId2" w:history="1">
        <w:r w:rsidR="00821D91" w:rsidRPr="00C13661">
          <w:rPr>
            <w:rStyle w:val="Hyperlink"/>
            <w:iCs/>
            <w:sz w:val="24"/>
            <w:szCs w:val="24"/>
            <w:lang w:val="pt-PT"/>
          </w:rPr>
          <w:t>http://data.europa.eu/eli/C/2024/1981/oj</w:t>
        </w:r>
      </w:hyperlink>
      <w:r w:rsidRPr="00580B65">
        <w:rPr>
          <w:sz w:val="24"/>
          <w:szCs w:val="24"/>
          <w:lang w:val="pt-P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511D8C"/>
    <w:multiLevelType w:val="hybridMultilevel"/>
    <w:tmpl w:val="80E8B21A"/>
    <w:lvl w:ilvl="0" w:tplc="026C39B8">
      <w:start w:val="1"/>
      <w:numFmt w:val="lowerLetter"/>
      <w:lvlText w:val="(%1)"/>
      <w:lvlJc w:val="left"/>
      <w:pPr>
        <w:ind w:left="21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C0C12DC"/>
    <w:multiLevelType w:val="hybridMultilevel"/>
    <w:tmpl w:val="83CEEDDC"/>
    <w:lvl w:ilvl="0" w:tplc="026C39B8">
      <w:start w:val="1"/>
      <w:numFmt w:val="lowerLetter"/>
      <w:lvlText w:val="(%1)"/>
      <w:lvlJc w:val="left"/>
      <w:pPr>
        <w:ind w:left="157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764E60D8"/>
    <w:multiLevelType w:val="hybridMultilevel"/>
    <w:tmpl w:val="19DC7D98"/>
    <w:lvl w:ilvl="0" w:tplc="E06C30AC">
      <w:start w:val="1"/>
      <w:numFmt w:val="lowerLetter"/>
      <w:lvlText w:val="%1)"/>
      <w:lvlJc w:val="left"/>
      <w:pPr>
        <w:ind w:left="720" w:hanging="360"/>
      </w:pPr>
    </w:lvl>
    <w:lvl w:ilvl="1" w:tplc="8702EE36">
      <w:start w:val="1"/>
      <w:numFmt w:val="lowerLetter"/>
      <w:lvlText w:val="%2."/>
      <w:lvlJc w:val="left"/>
      <w:pPr>
        <w:ind w:left="1440" w:hanging="360"/>
      </w:pPr>
    </w:lvl>
    <w:lvl w:ilvl="2" w:tplc="1A4AF39E">
      <w:start w:val="1"/>
      <w:numFmt w:val="lowerRoman"/>
      <w:lvlText w:val="%3."/>
      <w:lvlJc w:val="right"/>
      <w:pPr>
        <w:ind w:left="2160" w:hanging="180"/>
      </w:pPr>
    </w:lvl>
    <w:lvl w:ilvl="3" w:tplc="97D0A604">
      <w:start w:val="1"/>
      <w:numFmt w:val="decimal"/>
      <w:lvlText w:val="%4."/>
      <w:lvlJc w:val="left"/>
      <w:pPr>
        <w:ind w:left="2880" w:hanging="360"/>
      </w:pPr>
    </w:lvl>
    <w:lvl w:ilvl="4" w:tplc="699CFD5E">
      <w:start w:val="1"/>
      <w:numFmt w:val="lowerLetter"/>
      <w:lvlText w:val="%5."/>
      <w:lvlJc w:val="left"/>
      <w:pPr>
        <w:ind w:left="3600" w:hanging="360"/>
      </w:pPr>
    </w:lvl>
    <w:lvl w:ilvl="5" w:tplc="9124888A">
      <w:start w:val="1"/>
      <w:numFmt w:val="lowerRoman"/>
      <w:lvlText w:val="%6."/>
      <w:lvlJc w:val="right"/>
      <w:pPr>
        <w:ind w:left="4320" w:hanging="180"/>
      </w:pPr>
    </w:lvl>
    <w:lvl w:ilvl="6" w:tplc="B6568242">
      <w:start w:val="1"/>
      <w:numFmt w:val="decimal"/>
      <w:lvlText w:val="%7."/>
      <w:lvlJc w:val="left"/>
      <w:pPr>
        <w:ind w:left="5040" w:hanging="360"/>
      </w:pPr>
    </w:lvl>
    <w:lvl w:ilvl="7" w:tplc="B896D7D0">
      <w:start w:val="1"/>
      <w:numFmt w:val="lowerLetter"/>
      <w:lvlText w:val="%8."/>
      <w:lvlJc w:val="left"/>
      <w:pPr>
        <w:ind w:left="5760" w:hanging="360"/>
      </w:pPr>
    </w:lvl>
    <w:lvl w:ilvl="8" w:tplc="04E8B7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ES"/>
    <w:docVar w:name="dvnumam" w:val="204"/>
    <w:docVar w:name="dvpe" w:val="754.831"/>
    <w:docVar w:name="dvrapporteur" w:val="Ponente: "/>
    <w:docVar w:name="dvstar" w:val="***I"/>
    <w:docVar w:name="dvtitre" w:val="Resolución legislativa del Parlamento Europeo, de 24 de abril de 2024, sobre la propuesta de Directiva del Parlamento Europeo y del Consejo por la que se establecen la Tarjeta Europea de Discapacidad y la Tarjeta Europea de Estacionamiento para personas con discapacidad(COM(2023)0512 – C9-0328/2023 – 2023/0311(COD))"/>
  </w:docVars>
  <w:rsids>
    <w:rsidRoot w:val="00160FEE"/>
    <w:rsid w:val="00002272"/>
    <w:rsid w:val="00064002"/>
    <w:rsid w:val="000677B9"/>
    <w:rsid w:val="000831BA"/>
    <w:rsid w:val="000A42CC"/>
    <w:rsid w:val="000E7DD9"/>
    <w:rsid w:val="0010095E"/>
    <w:rsid w:val="00125B37"/>
    <w:rsid w:val="00160FEE"/>
    <w:rsid w:val="00187494"/>
    <w:rsid w:val="001F32AE"/>
    <w:rsid w:val="002767FF"/>
    <w:rsid w:val="002B18FE"/>
    <w:rsid w:val="002B5493"/>
    <w:rsid w:val="00343214"/>
    <w:rsid w:val="00361C00"/>
    <w:rsid w:val="00395FA1"/>
    <w:rsid w:val="003D4CC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B6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D91"/>
    <w:rsid w:val="00842779"/>
    <w:rsid w:val="00865F67"/>
    <w:rsid w:val="00881A7B"/>
    <w:rsid w:val="008840E5"/>
    <w:rsid w:val="00887B3E"/>
    <w:rsid w:val="008C2AC6"/>
    <w:rsid w:val="008E262C"/>
    <w:rsid w:val="00930C23"/>
    <w:rsid w:val="0093193B"/>
    <w:rsid w:val="009509D8"/>
    <w:rsid w:val="00950B64"/>
    <w:rsid w:val="009610F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661"/>
    <w:rsid w:val="00C23CD4"/>
    <w:rsid w:val="00C60126"/>
    <w:rsid w:val="00C61C0C"/>
    <w:rsid w:val="00C77386"/>
    <w:rsid w:val="00C941CB"/>
    <w:rsid w:val="00CC2357"/>
    <w:rsid w:val="00CD544C"/>
    <w:rsid w:val="00CF071A"/>
    <w:rsid w:val="00D058B8"/>
    <w:rsid w:val="00D47E4A"/>
    <w:rsid w:val="00D56C11"/>
    <w:rsid w:val="00D834A0"/>
    <w:rsid w:val="00D872DF"/>
    <w:rsid w:val="00D91E21"/>
    <w:rsid w:val="00DA7FCD"/>
    <w:rsid w:val="00E23EE0"/>
    <w:rsid w:val="00E272D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038775"/>
  <w15:chartTrackingRefBased/>
  <w15:docId w15:val="{F65427C5-BEC2-4DF1-B181-F88BAE51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610F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610F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610F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610F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610F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610F4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9610F4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9610F4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9610F4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9610F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610F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610F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610F4"/>
    <w:pPr>
      <w:spacing w:after="120"/>
    </w:pPr>
  </w:style>
  <w:style w:type="paragraph" w:customStyle="1" w:styleId="PageHeading">
    <w:name w:val="PageHeading"/>
    <w:basedOn w:val="Normal"/>
    <w:link w:val="PageHeadingChar"/>
    <w:rsid w:val="009610F4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9610F4"/>
    <w:rPr>
      <w:rFonts w:ascii="Arial" w:hAnsi="Arial" w:cs="Arial"/>
      <w:b/>
      <w:sz w:val="24"/>
      <w:lang w:val="es-ES_tradnl"/>
    </w:rPr>
  </w:style>
  <w:style w:type="paragraph" w:customStyle="1" w:styleId="NormalBold">
    <w:name w:val="NormalBold"/>
    <w:basedOn w:val="Normal"/>
    <w:link w:val="NormalBoldChar"/>
    <w:rsid w:val="009610F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610F4"/>
    <w:rPr>
      <w:b/>
      <w:sz w:val="24"/>
      <w:lang w:val="es-ES_tradnl"/>
    </w:rPr>
  </w:style>
  <w:style w:type="paragraph" w:customStyle="1" w:styleId="NormalBold12a">
    <w:name w:val="NormalBold12a"/>
    <w:basedOn w:val="Normal"/>
    <w:rsid w:val="009610F4"/>
    <w:pPr>
      <w:spacing w:after="240"/>
    </w:pPr>
    <w:rPr>
      <w:b/>
    </w:rPr>
  </w:style>
  <w:style w:type="paragraph" w:customStyle="1" w:styleId="AmJustText">
    <w:name w:val="AmJustText"/>
    <w:basedOn w:val="Normal"/>
    <w:rsid w:val="009610F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610F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610F4"/>
    <w:pPr>
      <w:spacing w:after="480"/>
      <w:ind w:left="1417"/>
    </w:pPr>
  </w:style>
  <w:style w:type="paragraph" w:customStyle="1" w:styleId="CoverNormal">
    <w:name w:val="CoverNormal"/>
    <w:basedOn w:val="Normal"/>
    <w:rsid w:val="009610F4"/>
    <w:pPr>
      <w:ind w:left="1418"/>
    </w:pPr>
  </w:style>
  <w:style w:type="paragraph" w:customStyle="1" w:styleId="AmCrossRef">
    <w:name w:val="AmCrossRef"/>
    <w:basedOn w:val="Normal"/>
    <w:rsid w:val="009610F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610F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610F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610F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610F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610F4"/>
    <w:pPr>
      <w:spacing w:before="240" w:after="1200"/>
    </w:pPr>
  </w:style>
  <w:style w:type="paragraph" w:styleId="Header">
    <w:name w:val="header"/>
    <w:basedOn w:val="Normal"/>
    <w:link w:val="HeaderChar"/>
    <w:rsid w:val="0096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610F4"/>
    <w:rPr>
      <w:sz w:val="24"/>
      <w:lang w:val="es-ES_tradnl"/>
    </w:rPr>
  </w:style>
  <w:style w:type="paragraph" w:customStyle="1" w:styleId="AmOrLang">
    <w:name w:val="AmOrLang"/>
    <w:basedOn w:val="Normal"/>
    <w:rsid w:val="009610F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610F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610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9610F4"/>
    <w:rPr>
      <w:b/>
      <w:sz w:val="24"/>
      <w:lang w:val="es-ES_tradnl"/>
    </w:rPr>
  </w:style>
  <w:style w:type="paragraph" w:customStyle="1" w:styleId="NormalBold12b">
    <w:name w:val="NormalBold12b"/>
    <w:basedOn w:val="Normal"/>
    <w:link w:val="NormalBold12bChar"/>
    <w:rsid w:val="009610F4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9610F4"/>
    <w:rPr>
      <w:b/>
      <w:sz w:val="24"/>
      <w:lang w:val="es-ES_tradnl"/>
    </w:rPr>
  </w:style>
  <w:style w:type="paragraph" w:customStyle="1" w:styleId="EPBody">
    <w:name w:val="EPBody"/>
    <w:basedOn w:val="Normal"/>
    <w:rsid w:val="009610F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610F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610F4"/>
    <w:pPr>
      <w:spacing w:before="480" w:after="240"/>
    </w:pPr>
  </w:style>
  <w:style w:type="paragraph" w:customStyle="1" w:styleId="Lgendesigne">
    <w:name w:val="Légende signe"/>
    <w:basedOn w:val="Normal"/>
    <w:rsid w:val="009610F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610F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610F4"/>
    <w:rPr>
      <w:sz w:val="18"/>
    </w:rPr>
  </w:style>
  <w:style w:type="paragraph" w:customStyle="1" w:styleId="Normal12Italic">
    <w:name w:val="Normal12Italic"/>
    <w:basedOn w:val="Normal12"/>
    <w:rsid w:val="009610F4"/>
    <w:rPr>
      <w:rFonts w:ascii="Times New Roman" w:hAnsi="Times New Roman" w:cs="Times New Roman"/>
      <w:i/>
      <w:noProof/>
      <w:lang w:val="es-ES"/>
    </w:rPr>
  </w:style>
  <w:style w:type="paragraph" w:customStyle="1" w:styleId="Normal12">
    <w:name w:val="Normal12"/>
    <w:basedOn w:val="Normal"/>
    <w:link w:val="Normal12Char"/>
    <w:rsid w:val="009610F4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9610F4"/>
    <w:rPr>
      <w:rFonts w:ascii="Arial" w:hAnsi="Arial" w:cs="Arial"/>
      <w:b w:val="0"/>
      <w:sz w:val="24"/>
      <w:lang w:val="es-ES_tradnl"/>
    </w:rPr>
  </w:style>
  <w:style w:type="paragraph" w:customStyle="1" w:styleId="LetterSalutation">
    <w:name w:val="LetterSalutation"/>
    <w:basedOn w:val="Normal"/>
    <w:rsid w:val="009610F4"/>
    <w:pPr>
      <w:spacing w:before="600" w:after="360"/>
    </w:pPr>
  </w:style>
  <w:style w:type="paragraph" w:customStyle="1" w:styleId="ManualNumPar1">
    <w:name w:val="Manual NumPar 1"/>
    <w:basedOn w:val="Normal"/>
    <w:next w:val="Normal"/>
    <w:rsid w:val="009610F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9610F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10F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610F4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610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10F4"/>
    <w:rPr>
      <w:b/>
      <w:bCs/>
      <w:lang w:val="es-ES_tradnl"/>
    </w:rPr>
  </w:style>
  <w:style w:type="paragraph" w:styleId="BalloonText">
    <w:name w:val="Balloon Text"/>
    <w:basedOn w:val="Normal"/>
    <w:link w:val="BalloonTextChar"/>
    <w:unhideWhenUsed/>
    <w:rsid w:val="009610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610F4"/>
    <w:rPr>
      <w:rFonts w:ascii="Segoe UI" w:hAnsi="Segoe UI" w:cs="Segoe UI"/>
      <w:sz w:val="18"/>
      <w:szCs w:val="18"/>
      <w:lang w:val="es-ES_tradnl"/>
    </w:rPr>
  </w:style>
  <w:style w:type="character" w:customStyle="1" w:styleId="Normal6Char">
    <w:name w:val="Normal6 Char"/>
    <w:basedOn w:val="DefaultParagraphFont"/>
    <w:link w:val="Normal6"/>
    <w:locked/>
    <w:rsid w:val="009610F4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9610F4"/>
    <w:pPr>
      <w:spacing w:after="120"/>
    </w:pPr>
    <w:rPr>
      <w:lang w:val="es-ES"/>
    </w:rPr>
  </w:style>
  <w:style w:type="paragraph" w:customStyle="1" w:styleId="ColumnHeading">
    <w:name w:val="ColumnHeading"/>
    <w:basedOn w:val="Normal"/>
    <w:rsid w:val="009610F4"/>
    <w:pPr>
      <w:spacing w:after="240"/>
      <w:jc w:val="center"/>
    </w:pPr>
    <w:rPr>
      <w:i/>
      <w:lang w:val="es-ES"/>
    </w:rPr>
  </w:style>
  <w:style w:type="paragraph" w:customStyle="1" w:styleId="Normal12a">
    <w:name w:val="Normal12a"/>
    <w:basedOn w:val="Normal"/>
    <w:rsid w:val="009610F4"/>
    <w:pPr>
      <w:spacing w:after="240"/>
    </w:pPr>
  </w:style>
  <w:style w:type="paragraph" w:customStyle="1" w:styleId="PageHeadingNotTOC">
    <w:name w:val="PageHeadingNotTOC"/>
    <w:basedOn w:val="Normal"/>
    <w:rsid w:val="009610F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610F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9610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Normal24a">
    <w:name w:val="Normal24a"/>
    <w:basedOn w:val="Normal"/>
    <w:rsid w:val="009610F4"/>
    <w:pPr>
      <w:spacing w:after="480"/>
    </w:pPr>
  </w:style>
  <w:style w:type="paragraph" w:customStyle="1" w:styleId="NormalBoldCenter">
    <w:name w:val="NormalBoldCenter"/>
    <w:basedOn w:val="Normal"/>
    <w:rsid w:val="009610F4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9610F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610F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610F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610F4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9610F4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9610F4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9610F4"/>
    <w:pPr>
      <w:keepNext/>
      <w:spacing w:before="240" w:after="240"/>
      <w:jc w:val="center"/>
    </w:pPr>
    <w:rPr>
      <w:i/>
      <w:noProof/>
      <w:lang w:val="es-ES"/>
    </w:rPr>
  </w:style>
  <w:style w:type="paragraph" w:styleId="Footer">
    <w:name w:val="footer"/>
    <w:basedOn w:val="Normal"/>
    <w:link w:val="FooterChar"/>
    <w:rsid w:val="0096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610F4"/>
    <w:rPr>
      <w:sz w:val="24"/>
      <w:lang w:val="es-ES_tradnl"/>
    </w:rPr>
  </w:style>
  <w:style w:type="paragraph" w:customStyle="1" w:styleId="Normal12Hanging">
    <w:name w:val="Normal12Hanging"/>
    <w:basedOn w:val="Normal12"/>
    <w:rsid w:val="00821D91"/>
    <w:pPr>
      <w:ind w:left="357" w:hanging="357"/>
    </w:pPr>
    <w:rPr>
      <w:rFonts w:ascii="Times New Roman" w:hAnsi="Times New Roman" w:cs="Times New Roman"/>
      <w:snapToGrid w:val="0"/>
    </w:rPr>
  </w:style>
  <w:style w:type="character" w:styleId="Hyperlink">
    <w:name w:val="Hyperlink"/>
    <w:basedOn w:val="DefaultParagraphFont"/>
    <w:rsid w:val="003D4CC7"/>
    <w:rPr>
      <w:color w:val="0563C1" w:themeColor="hyperlink"/>
      <w:u w:val="single"/>
    </w:rPr>
  </w:style>
  <w:style w:type="paragraph" w:customStyle="1" w:styleId="normal12hanging0">
    <w:name w:val="normal12hanging"/>
    <w:basedOn w:val="Normal"/>
    <w:rsid w:val="00CD544C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40687-6E56-4F27-9F46-487941119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Rodríguez Fernán</cp:lastModifiedBy>
  <cp:revision>2</cp:revision>
  <cp:lastPrinted>2004-11-19T15:42:00Z</cp:lastPrinted>
  <dcterms:created xsi:type="dcterms:W3CDTF">2025-03-14T09:30:00Z</dcterms:created>
  <dcterms:modified xsi:type="dcterms:W3CDTF">2025-03-14T09:30:00Z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