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3B0C" w14:paraId="40F657BC" w14:textId="77777777" w:rsidTr="0010095E">
        <w:trPr>
          <w:trHeight w:hRule="exact" w:val="1418"/>
        </w:trPr>
        <w:tc>
          <w:tcPr>
            <w:tcW w:w="6804" w:type="dxa"/>
            <w:shd w:val="clear" w:color="auto" w:fill="auto"/>
            <w:vAlign w:val="center"/>
          </w:tcPr>
          <w:p w14:paraId="192732BF" w14:textId="77777777" w:rsidR="00751A4A" w:rsidRPr="00F83B0C" w:rsidRDefault="009D5EA2" w:rsidP="0010095E">
            <w:pPr>
              <w:pStyle w:val="EPName"/>
            </w:pPr>
            <w:r w:rsidRPr="00F83B0C">
              <w:t>Europa-Parlamentet</w:t>
            </w:r>
          </w:p>
          <w:p w14:paraId="0FD2996A" w14:textId="77777777" w:rsidR="00751A4A" w:rsidRPr="00F83B0C" w:rsidRDefault="00817416" w:rsidP="00756632">
            <w:pPr>
              <w:pStyle w:val="EPTerm"/>
              <w:rPr>
                <w:rStyle w:val="HideTWBExt"/>
                <w:noProof w:val="0"/>
                <w:vanish w:val="0"/>
                <w:color w:val="auto"/>
              </w:rPr>
            </w:pPr>
            <w:r w:rsidRPr="002003D9">
              <w:t>2019</w:t>
            </w:r>
            <w:r w:rsidRPr="00F83B0C">
              <w:t>-</w:t>
            </w:r>
            <w:r w:rsidRPr="002003D9">
              <w:t>2024</w:t>
            </w:r>
          </w:p>
        </w:tc>
        <w:tc>
          <w:tcPr>
            <w:tcW w:w="2268" w:type="dxa"/>
            <w:shd w:val="clear" w:color="auto" w:fill="auto"/>
          </w:tcPr>
          <w:p w14:paraId="1D542AB0" w14:textId="77777777" w:rsidR="00751A4A" w:rsidRPr="00F83B0C" w:rsidRDefault="00187494" w:rsidP="0010095E">
            <w:pPr>
              <w:pStyle w:val="EPLogo"/>
            </w:pPr>
            <w:r w:rsidRPr="00F83B0C">
              <w:rPr>
                <w:noProof/>
                <w:lang w:eastAsia="da-DK"/>
              </w:rPr>
              <w:drawing>
                <wp:inline distT="0" distB="0" distL="0" distR="0" wp14:anchorId="688791B4" wp14:editId="33ED86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90B12C" w14:textId="77777777" w:rsidR="00D058B8" w:rsidRPr="00F83B0C" w:rsidRDefault="00D058B8" w:rsidP="004C5D52">
      <w:pPr>
        <w:pStyle w:val="LineTop"/>
      </w:pPr>
    </w:p>
    <w:p w14:paraId="5AE9B1B6" w14:textId="77777777" w:rsidR="00680577" w:rsidRPr="00F83B0C" w:rsidRDefault="009D5EA2" w:rsidP="00680577">
      <w:pPr>
        <w:pStyle w:val="EPBodyTA1"/>
      </w:pPr>
      <w:r w:rsidRPr="00F83B0C">
        <w:t>VEDTAGNE TEKSTER</w:t>
      </w:r>
    </w:p>
    <w:p w14:paraId="52536CF5" w14:textId="77777777" w:rsidR="00D058B8" w:rsidRPr="00F83B0C" w:rsidRDefault="00D058B8" w:rsidP="00D058B8">
      <w:pPr>
        <w:pStyle w:val="LineBottom"/>
      </w:pPr>
    </w:p>
    <w:p w14:paraId="6587C4AC" w14:textId="5102F524" w:rsidR="009D5EA2" w:rsidRPr="00F83B0C" w:rsidRDefault="009D5EA2" w:rsidP="009D5EA2">
      <w:pPr>
        <w:pStyle w:val="ATHeading1"/>
      </w:pPr>
      <w:bookmarkStart w:id="0" w:name="TANumber"/>
      <w:r w:rsidRPr="00F83B0C">
        <w:t>P</w:t>
      </w:r>
      <w:r w:rsidRPr="002003D9">
        <w:t>9</w:t>
      </w:r>
      <w:r w:rsidRPr="00F83B0C">
        <w:t>_TA(</w:t>
      </w:r>
      <w:r w:rsidRPr="002003D9">
        <w:t>2024</w:t>
      </w:r>
      <w:r w:rsidRPr="00F83B0C">
        <w:t>)</w:t>
      </w:r>
      <w:r w:rsidRPr="002003D9">
        <w:t>0</w:t>
      </w:r>
      <w:bookmarkEnd w:id="0"/>
      <w:r w:rsidR="003E647D" w:rsidRPr="002003D9">
        <w:t>340</w:t>
      </w:r>
    </w:p>
    <w:p w14:paraId="2490FA3D" w14:textId="79835259" w:rsidR="009D5EA2" w:rsidRPr="00F83B0C" w:rsidRDefault="00237BE2" w:rsidP="005E4D85">
      <w:pPr>
        <w:pStyle w:val="ATHeading2"/>
      </w:pPr>
      <w:r w:rsidRPr="00F83B0C">
        <w:t xml:space="preserve">EU-handicapkort </w:t>
      </w:r>
      <w:r>
        <w:t xml:space="preserve">og </w:t>
      </w:r>
      <w:r w:rsidRPr="00F83B0C">
        <w:t xml:space="preserve">EU-parkeringskort </w:t>
      </w:r>
      <w:r>
        <w:t xml:space="preserve">til personer med handicap til </w:t>
      </w:r>
      <w:r w:rsidR="005E4D85">
        <w:t>tredjelandsstatsborgere, der har lovligt ophold i en medlemsstat</w:t>
      </w:r>
    </w:p>
    <w:p w14:paraId="68DCC462" w14:textId="77777777" w:rsidR="009D5EA2" w:rsidRPr="00F83B0C" w:rsidRDefault="009D5EA2" w:rsidP="009D5EA2">
      <w:pPr>
        <w:rPr>
          <w:i/>
          <w:vanish/>
        </w:rPr>
      </w:pPr>
      <w:r w:rsidRPr="00F83B0C">
        <w:rPr>
          <w:i/>
        </w:rPr>
        <w:fldChar w:fldCharType="begin"/>
      </w:r>
      <w:r w:rsidRPr="00F83B0C">
        <w:rPr>
          <w:i/>
        </w:rPr>
        <w:instrText xml:space="preserve"> TC"(</w:instrText>
      </w:r>
      <w:bookmarkStart w:id="1" w:name="DocNumber"/>
      <w:r w:rsidRPr="00F83B0C">
        <w:rPr>
          <w:i/>
        </w:rPr>
        <w:instrText>A</w:instrText>
      </w:r>
      <w:r w:rsidRPr="002003D9">
        <w:rPr>
          <w:i/>
        </w:rPr>
        <w:instrText>9</w:instrText>
      </w:r>
      <w:r w:rsidRPr="00F83B0C">
        <w:rPr>
          <w:i/>
        </w:rPr>
        <w:instrText>-</w:instrText>
      </w:r>
      <w:r w:rsidRPr="002003D9">
        <w:rPr>
          <w:i/>
        </w:rPr>
        <w:instrText>0059</w:instrText>
      </w:r>
      <w:r w:rsidRPr="00F83B0C">
        <w:rPr>
          <w:i/>
        </w:rPr>
        <w:instrText>/</w:instrText>
      </w:r>
      <w:r w:rsidRPr="002003D9">
        <w:rPr>
          <w:i/>
        </w:rPr>
        <w:instrText>2024</w:instrText>
      </w:r>
      <w:bookmarkEnd w:id="1"/>
      <w:r w:rsidRPr="00F83B0C">
        <w:rPr>
          <w:i/>
        </w:rPr>
        <w:instrText xml:space="preserve"> - Ordførere: Antonius Manders og Alice Kuhnke)"\l</w:instrText>
      </w:r>
      <w:r w:rsidRPr="002003D9">
        <w:rPr>
          <w:i/>
        </w:rPr>
        <w:instrText>3</w:instrText>
      </w:r>
      <w:r w:rsidRPr="00F83B0C">
        <w:rPr>
          <w:i/>
        </w:rPr>
        <w:instrText xml:space="preserve"> \n&gt; \* MERGEFORMAT </w:instrText>
      </w:r>
      <w:r w:rsidRPr="00F83B0C">
        <w:rPr>
          <w:i/>
        </w:rPr>
        <w:fldChar w:fldCharType="end"/>
      </w:r>
    </w:p>
    <w:p w14:paraId="7866D5B7" w14:textId="77777777" w:rsidR="009D5EA2" w:rsidRPr="00F83B0C" w:rsidRDefault="009D5EA2" w:rsidP="009D5EA2">
      <w:pPr>
        <w:rPr>
          <w:vanish/>
        </w:rPr>
      </w:pPr>
      <w:bookmarkStart w:id="2" w:name="Commission"/>
      <w:r w:rsidRPr="00F83B0C">
        <w:rPr>
          <w:vanish/>
        </w:rPr>
        <w:t>Udvalget om Beskæftigelse og Sociale Anliggender</w:t>
      </w:r>
    </w:p>
    <w:p w14:paraId="1C21BFD3" w14:textId="77777777" w:rsidR="009D5EA2" w:rsidRPr="00F83B0C" w:rsidRDefault="009D5EA2" w:rsidP="009D5EA2">
      <w:pPr>
        <w:rPr>
          <w:vanish/>
        </w:rPr>
      </w:pPr>
      <w:r w:rsidRPr="00F83B0C">
        <w:rPr>
          <w:vanish/>
        </w:rPr>
        <w:t>Udvalget om Borgernes Rettigheder og Retlige og Indre Anliggender</w:t>
      </w:r>
      <w:bookmarkEnd w:id="2"/>
    </w:p>
    <w:p w14:paraId="55C8BC52" w14:textId="77777777" w:rsidR="009D5EA2" w:rsidRPr="00F83B0C" w:rsidRDefault="009D5EA2" w:rsidP="009D5EA2">
      <w:pPr>
        <w:rPr>
          <w:vanish/>
        </w:rPr>
      </w:pPr>
      <w:bookmarkStart w:id="3" w:name="PE"/>
      <w:r w:rsidRPr="00F83B0C">
        <w:rPr>
          <w:vanish/>
        </w:rPr>
        <w:t>PE</w:t>
      </w:r>
      <w:r w:rsidRPr="002003D9">
        <w:rPr>
          <w:vanish/>
        </w:rPr>
        <w:t>758</w:t>
      </w:r>
      <w:r w:rsidRPr="00F83B0C">
        <w:rPr>
          <w:vanish/>
        </w:rPr>
        <w:t>.</w:t>
      </w:r>
      <w:r w:rsidRPr="002003D9">
        <w:rPr>
          <w:vanish/>
        </w:rPr>
        <w:t>218</w:t>
      </w:r>
      <w:bookmarkEnd w:id="3"/>
    </w:p>
    <w:p w14:paraId="10ED783F" w14:textId="7CA1FF53" w:rsidR="009D5EA2" w:rsidRPr="00F83B0C" w:rsidRDefault="009D5EA2" w:rsidP="009D5EA2">
      <w:pPr>
        <w:pStyle w:val="ATHeading3"/>
      </w:pPr>
      <w:bookmarkStart w:id="4" w:name="Sujet"/>
      <w:r w:rsidRPr="00F83B0C">
        <w:t xml:space="preserve">Europa-Parlamentets lovgivningsmæssige beslutning af </w:t>
      </w:r>
      <w:r w:rsidR="002D71C0" w:rsidRPr="002003D9">
        <w:t>24</w:t>
      </w:r>
      <w:r w:rsidRPr="00F83B0C">
        <w:t>.</w:t>
      </w:r>
      <w:r w:rsidR="00914983">
        <w:t xml:space="preserve"> april</w:t>
      </w:r>
      <w:r w:rsidRPr="00F83B0C">
        <w:t xml:space="preserve"> </w:t>
      </w:r>
      <w:r w:rsidRPr="002003D9">
        <w:t>2024</w:t>
      </w:r>
      <w:r w:rsidRPr="00F83B0C">
        <w:t xml:space="preserve"> om forslag til Europa-Parlamentets og Rådets </w:t>
      </w:r>
      <w:r w:rsidR="006F5F3F" w:rsidRPr="00F83B0C">
        <w:t xml:space="preserve">direktiv </w:t>
      </w:r>
      <w:r w:rsidRPr="00F83B0C">
        <w:t>om udvidelse af direktiv [XXXX] til at omfatte tredjelandsstatsborgere, der har lovligt ophold i en medlemsstat</w:t>
      </w:r>
      <w:bookmarkEnd w:id="4"/>
      <w:r w:rsidRPr="00F83B0C">
        <w:t xml:space="preserve"> </w:t>
      </w:r>
      <w:bookmarkStart w:id="5" w:name="References"/>
      <w:r w:rsidRPr="00F83B0C">
        <w:t>(COM(</w:t>
      </w:r>
      <w:r w:rsidRPr="002003D9">
        <w:t>2023</w:t>
      </w:r>
      <w:r w:rsidRPr="00F83B0C">
        <w:t>)</w:t>
      </w:r>
      <w:r w:rsidRPr="002003D9">
        <w:t>0698</w:t>
      </w:r>
      <w:r w:rsidRPr="00F83B0C">
        <w:t xml:space="preserve"> – C</w:t>
      </w:r>
      <w:r w:rsidRPr="002003D9">
        <w:t>9</w:t>
      </w:r>
      <w:r w:rsidRPr="00F83B0C">
        <w:t>-</w:t>
      </w:r>
      <w:r w:rsidRPr="002003D9">
        <w:t>0398</w:t>
      </w:r>
      <w:r w:rsidRPr="00F83B0C">
        <w:t>/</w:t>
      </w:r>
      <w:r w:rsidRPr="002003D9">
        <w:t>2023</w:t>
      </w:r>
      <w:r w:rsidRPr="00F83B0C">
        <w:t xml:space="preserve"> – </w:t>
      </w:r>
      <w:r w:rsidRPr="002003D9">
        <w:t>2023</w:t>
      </w:r>
      <w:r w:rsidRPr="00F83B0C">
        <w:t>/</w:t>
      </w:r>
      <w:r w:rsidRPr="002003D9">
        <w:t>0393</w:t>
      </w:r>
      <w:r w:rsidRPr="00F83B0C">
        <w:t>(COD))</w:t>
      </w:r>
      <w:bookmarkEnd w:id="5"/>
    </w:p>
    <w:p w14:paraId="012AD64B" w14:textId="77777777" w:rsidR="009D5EA2" w:rsidRPr="00F83B0C" w:rsidRDefault="009D5EA2" w:rsidP="009D5EA2"/>
    <w:p w14:paraId="636BA0B5" w14:textId="77777777" w:rsidR="00DC3B3E" w:rsidRPr="00F83B0C" w:rsidRDefault="00DC3B3E" w:rsidP="00DC3B3E">
      <w:pPr>
        <w:pStyle w:val="NormalBold"/>
      </w:pPr>
      <w:bookmarkStart w:id="6" w:name="TextBodyBegin"/>
      <w:bookmarkEnd w:id="6"/>
      <w:r w:rsidRPr="00F83B0C">
        <w:t>(Almindelig lovgivningsprocedure: førstebehandling)</w:t>
      </w:r>
    </w:p>
    <w:p w14:paraId="33013911" w14:textId="77777777" w:rsidR="00DC3B3E" w:rsidRPr="00F83B0C" w:rsidRDefault="00DC3B3E" w:rsidP="00DC3B3E">
      <w:pPr>
        <w:pStyle w:val="EPComma"/>
      </w:pPr>
      <w:r w:rsidRPr="00F83B0C">
        <w:rPr>
          <w:i/>
        </w:rPr>
        <w:t>Europa-Parlamentet</w:t>
      </w:r>
      <w:r w:rsidRPr="00F83B0C">
        <w:t>,</w:t>
      </w:r>
    </w:p>
    <w:p w14:paraId="50F70309" w14:textId="77777777" w:rsidR="00DC3B3E" w:rsidRPr="00F83B0C" w:rsidRDefault="00DC3B3E" w:rsidP="00DC3B3E">
      <w:pPr>
        <w:pStyle w:val="NormalHanging12a"/>
      </w:pPr>
      <w:r w:rsidRPr="00F83B0C">
        <w:t>–</w:t>
      </w:r>
      <w:r w:rsidRPr="00F83B0C">
        <w:tab/>
        <w:t>der henviser til Kommissionens forslag til Europa-Parlamentet og Rådet (COM(</w:t>
      </w:r>
      <w:r w:rsidRPr="002003D9">
        <w:t>2023</w:t>
      </w:r>
      <w:r w:rsidRPr="00F83B0C">
        <w:t>)</w:t>
      </w:r>
      <w:r w:rsidRPr="002003D9">
        <w:t>0698</w:t>
      </w:r>
      <w:r w:rsidRPr="00F83B0C">
        <w:t>),</w:t>
      </w:r>
    </w:p>
    <w:p w14:paraId="2F3C6383" w14:textId="77777777" w:rsidR="00DC3B3E" w:rsidRPr="00F83B0C" w:rsidRDefault="00DC3B3E" w:rsidP="00DC3B3E">
      <w:pPr>
        <w:pStyle w:val="NormalHanging12a"/>
      </w:pPr>
      <w:r w:rsidRPr="00F83B0C">
        <w:t>–</w:t>
      </w:r>
      <w:r w:rsidRPr="00F83B0C">
        <w:tab/>
        <w:t xml:space="preserve">der henviser til artikel </w:t>
      </w:r>
      <w:r w:rsidRPr="002003D9">
        <w:t>294</w:t>
      </w:r>
      <w:r w:rsidRPr="00F83B0C">
        <w:t xml:space="preserve">, stk. </w:t>
      </w:r>
      <w:r w:rsidRPr="002003D9">
        <w:t>2</w:t>
      </w:r>
      <w:r w:rsidRPr="00F83B0C">
        <w:t xml:space="preserve">, og artikel </w:t>
      </w:r>
      <w:r w:rsidRPr="002003D9">
        <w:t>79</w:t>
      </w:r>
      <w:r w:rsidRPr="00F83B0C">
        <w:t xml:space="preserve">, stk. </w:t>
      </w:r>
      <w:r w:rsidRPr="002003D9">
        <w:t>2</w:t>
      </w:r>
      <w:r w:rsidRPr="00F83B0C">
        <w:t>, litra b), i traktaten om Den Europæiske Unions funktionsmåde, på grundlag af hvilke Kommissionen har forelagt forslaget for Parlamentet (C</w:t>
      </w:r>
      <w:r w:rsidRPr="002003D9">
        <w:t>9</w:t>
      </w:r>
      <w:r w:rsidRPr="00F83B0C">
        <w:noBreakHyphen/>
      </w:r>
      <w:r w:rsidRPr="002003D9">
        <w:t>0398</w:t>
      </w:r>
      <w:r w:rsidRPr="00F83B0C">
        <w:t>/</w:t>
      </w:r>
      <w:r w:rsidRPr="002003D9">
        <w:t>2023</w:t>
      </w:r>
      <w:r w:rsidRPr="00F83B0C">
        <w:t>),</w:t>
      </w:r>
    </w:p>
    <w:p w14:paraId="3AC25A01" w14:textId="77777777" w:rsidR="00DC3B3E" w:rsidRPr="00F83B0C" w:rsidRDefault="00DC3B3E" w:rsidP="00DC3B3E">
      <w:pPr>
        <w:pStyle w:val="NormalHanging12a"/>
      </w:pPr>
      <w:r w:rsidRPr="00F83B0C">
        <w:t>–</w:t>
      </w:r>
      <w:r w:rsidRPr="00F83B0C">
        <w:tab/>
        <w:t xml:space="preserve">der henviser til artikel </w:t>
      </w:r>
      <w:r w:rsidRPr="002003D9">
        <w:t>294</w:t>
      </w:r>
      <w:r w:rsidRPr="00F83B0C">
        <w:t xml:space="preserve">, stk. </w:t>
      </w:r>
      <w:r w:rsidRPr="002003D9">
        <w:t>3</w:t>
      </w:r>
      <w:r w:rsidRPr="00F83B0C">
        <w:t>, i traktaten om Den Europæiske Unions funktionsmåde,</w:t>
      </w:r>
    </w:p>
    <w:p w14:paraId="1F62C2E3" w14:textId="2168A20F" w:rsidR="00DC3B3E" w:rsidRPr="00F83B0C" w:rsidRDefault="00DC3B3E" w:rsidP="00DC3B3E">
      <w:pPr>
        <w:pStyle w:val="NormalHanging12a"/>
      </w:pPr>
      <w:r w:rsidRPr="00F83B0C">
        <w:t>–</w:t>
      </w:r>
      <w:r w:rsidRPr="00F83B0C">
        <w:tab/>
        <w:t>der henviser til udtalelse</w:t>
      </w:r>
      <w:r w:rsidR="005E4D85" w:rsidRPr="00F83B0C">
        <w:t xml:space="preserve"> af </w:t>
      </w:r>
      <w:r w:rsidR="002D71C0" w:rsidRPr="002003D9">
        <w:t>31</w:t>
      </w:r>
      <w:r w:rsidR="002D71C0">
        <w:t>. januar</w:t>
      </w:r>
      <w:r w:rsidR="005E4D85" w:rsidRPr="00F83B0C">
        <w:t xml:space="preserve"> </w:t>
      </w:r>
      <w:r w:rsidR="005E4D85" w:rsidRPr="002003D9">
        <w:t>202</w:t>
      </w:r>
      <w:r w:rsidR="002D71C0" w:rsidRPr="002003D9">
        <w:t>4</w:t>
      </w:r>
      <w:r w:rsidRPr="00F83B0C">
        <w:t xml:space="preserve"> fra Regionsudvalget</w:t>
      </w:r>
      <w:r w:rsidRPr="00F83B0C">
        <w:rPr>
          <w:vertAlign w:val="superscript"/>
        </w:rPr>
        <w:footnoteReference w:id="1"/>
      </w:r>
      <w:r w:rsidRPr="00F83B0C">
        <w:t>,</w:t>
      </w:r>
    </w:p>
    <w:p w14:paraId="2D391BAD" w14:textId="461DEF3E" w:rsidR="002D71C0" w:rsidRDefault="002D71C0" w:rsidP="00DC3B3E">
      <w:pPr>
        <w:pStyle w:val="NormalHanging12a"/>
      </w:pPr>
      <w:r>
        <w:t>–</w:t>
      </w:r>
      <w:r>
        <w:tab/>
      </w:r>
      <w:r>
        <w:rPr>
          <w:noProof/>
          <w:szCs w:val="24"/>
        </w:rPr>
        <w:t xml:space="preserve">der henviser til, at de kompetente udvalg har godkendt den foreløbige aftale i henhold til forretningsordenens artikel </w:t>
      </w:r>
      <w:r w:rsidRPr="002003D9">
        <w:rPr>
          <w:noProof/>
          <w:szCs w:val="24"/>
        </w:rPr>
        <w:t>74</w:t>
      </w:r>
      <w:r>
        <w:rPr>
          <w:noProof/>
          <w:szCs w:val="24"/>
        </w:rPr>
        <w:t xml:space="preserve">, stk. </w:t>
      </w:r>
      <w:r w:rsidRPr="002003D9">
        <w:rPr>
          <w:noProof/>
          <w:szCs w:val="24"/>
        </w:rPr>
        <w:t>4</w:t>
      </w:r>
      <w:r>
        <w:rPr>
          <w:noProof/>
          <w:szCs w:val="24"/>
        </w:rPr>
        <w:t xml:space="preserve">, og at Rådets repræsentant ved skrivelse af </w:t>
      </w:r>
      <w:r w:rsidRPr="002003D9">
        <w:rPr>
          <w:noProof/>
          <w:szCs w:val="24"/>
        </w:rPr>
        <w:t>15</w:t>
      </w:r>
      <w:r>
        <w:rPr>
          <w:noProof/>
          <w:szCs w:val="24"/>
        </w:rPr>
        <w:t xml:space="preserve">. marts </w:t>
      </w:r>
      <w:r w:rsidRPr="002003D9">
        <w:rPr>
          <w:noProof/>
          <w:szCs w:val="24"/>
        </w:rPr>
        <w:t>2024</w:t>
      </w:r>
      <w:r>
        <w:rPr>
          <w:noProof/>
          <w:szCs w:val="24"/>
        </w:rPr>
        <w:t xml:space="preserve"> forpligtede sig til at godkende Europa-Parlamentets holdning, jf. artikel </w:t>
      </w:r>
      <w:r w:rsidRPr="002003D9">
        <w:rPr>
          <w:noProof/>
          <w:szCs w:val="24"/>
        </w:rPr>
        <w:t>294</w:t>
      </w:r>
      <w:r>
        <w:rPr>
          <w:noProof/>
          <w:szCs w:val="24"/>
        </w:rPr>
        <w:t xml:space="preserve">, stk. </w:t>
      </w:r>
      <w:r w:rsidRPr="002003D9">
        <w:rPr>
          <w:noProof/>
          <w:szCs w:val="24"/>
        </w:rPr>
        <w:t>4</w:t>
      </w:r>
      <w:r>
        <w:rPr>
          <w:noProof/>
          <w:szCs w:val="24"/>
        </w:rPr>
        <w:t>, i traktaten om Den Europæiske Unions funktionsmåde</w:t>
      </w:r>
      <w:r>
        <w:t xml:space="preserve">, </w:t>
      </w:r>
    </w:p>
    <w:p w14:paraId="2ADB45A6" w14:textId="288C6631" w:rsidR="00DC3B3E" w:rsidRPr="00F83B0C" w:rsidRDefault="00DC3B3E" w:rsidP="00DC3B3E">
      <w:pPr>
        <w:pStyle w:val="NormalHanging12a"/>
      </w:pPr>
      <w:r w:rsidRPr="00F83B0C">
        <w:t>–</w:t>
      </w:r>
      <w:r w:rsidRPr="00F83B0C">
        <w:tab/>
        <w:t xml:space="preserve">der henviser til forretningsordenens artikel </w:t>
      </w:r>
      <w:r w:rsidRPr="002003D9">
        <w:t>59</w:t>
      </w:r>
      <w:r w:rsidRPr="00F83B0C">
        <w:t>,</w:t>
      </w:r>
    </w:p>
    <w:p w14:paraId="495A1B7C" w14:textId="0D37B93E" w:rsidR="002D71C0" w:rsidRDefault="002D71C0" w:rsidP="00DC3B3E">
      <w:pPr>
        <w:pStyle w:val="NormalHanging12a"/>
      </w:pPr>
      <w:r w:rsidRPr="00F83B0C">
        <w:t>–</w:t>
      </w:r>
      <w:r w:rsidRPr="00F83B0C">
        <w:tab/>
        <w:t xml:space="preserve">der henviser til </w:t>
      </w:r>
      <w:r w:rsidR="005046F3">
        <w:t xml:space="preserve">de </w:t>
      </w:r>
      <w:r w:rsidR="005046F3" w:rsidRPr="005046F3">
        <w:t xml:space="preserve">fælles drøftelser mellem Udvalget om Beskæftigelse og Sociale Anliggender og Udvalget om Borgernes Rettigheder og Retlige og Indre Anliggender, </w:t>
      </w:r>
      <w:r w:rsidR="005046F3" w:rsidRPr="005046F3">
        <w:lastRenderedPageBreak/>
        <w:t xml:space="preserve">jf. forretningsordenens artikel </w:t>
      </w:r>
      <w:r w:rsidR="005046F3" w:rsidRPr="002003D9">
        <w:t>58</w:t>
      </w:r>
      <w:r w:rsidR="005046F3">
        <w:t>,</w:t>
      </w:r>
    </w:p>
    <w:p w14:paraId="390BBA36" w14:textId="14F9AC77" w:rsidR="00DC3B3E" w:rsidRPr="00F83B0C" w:rsidRDefault="00DC3B3E" w:rsidP="00DC3B3E">
      <w:pPr>
        <w:pStyle w:val="NormalHanging12a"/>
      </w:pPr>
      <w:r w:rsidRPr="00F83B0C">
        <w:t>–</w:t>
      </w:r>
      <w:r w:rsidRPr="00F83B0C">
        <w:tab/>
        <w:t>der henviser til betænkning fra Udvalget om Beskæftigelse og Sociale Anliggender og Udvalget om Borgernes Rettigheder og Retlige og Indre Anliggender (A</w:t>
      </w:r>
      <w:r w:rsidRPr="002003D9">
        <w:t>9</w:t>
      </w:r>
      <w:r w:rsidRPr="00F83B0C">
        <w:t>-</w:t>
      </w:r>
      <w:r w:rsidRPr="002003D9">
        <w:t>0059</w:t>
      </w:r>
      <w:r w:rsidRPr="00F83B0C">
        <w:t>/</w:t>
      </w:r>
      <w:r w:rsidRPr="002003D9">
        <w:t>2024</w:t>
      </w:r>
      <w:r w:rsidRPr="00F83B0C">
        <w:t>),</w:t>
      </w:r>
    </w:p>
    <w:p w14:paraId="11F37958" w14:textId="77777777" w:rsidR="00DC3B3E" w:rsidRPr="00F83B0C" w:rsidRDefault="00DC3B3E" w:rsidP="00DC3B3E">
      <w:pPr>
        <w:pStyle w:val="NormalHanging12a"/>
      </w:pPr>
      <w:r w:rsidRPr="002003D9">
        <w:t>1</w:t>
      </w:r>
      <w:r w:rsidRPr="00F83B0C">
        <w:t>.</w:t>
      </w:r>
      <w:r w:rsidRPr="00F83B0C">
        <w:tab/>
        <w:t>vedtager nedenstående holdning ved førstebehandling;</w:t>
      </w:r>
    </w:p>
    <w:p w14:paraId="4482E2A3" w14:textId="77777777" w:rsidR="00DC3B3E" w:rsidRPr="00F83B0C" w:rsidRDefault="00DC3B3E" w:rsidP="00DC3B3E">
      <w:pPr>
        <w:pStyle w:val="NormalHanging12a"/>
      </w:pPr>
      <w:r w:rsidRPr="002003D9">
        <w:t>2</w:t>
      </w:r>
      <w:r w:rsidRPr="00F83B0C">
        <w:t>.</w:t>
      </w:r>
      <w:r w:rsidRPr="00F83B0C">
        <w:tab/>
        <w:t>anmoder om fornyet forelæggelse, hvis Kommissionen erstatter, i væsentlig grad ændrer eller agter i væsentlig grad at ændre sit forslag;</w:t>
      </w:r>
    </w:p>
    <w:p w14:paraId="6C3D4D7F" w14:textId="77777777" w:rsidR="00DC3B3E" w:rsidRPr="00F83B0C" w:rsidRDefault="00DC3B3E" w:rsidP="00DC3B3E">
      <w:pPr>
        <w:pStyle w:val="NormalHanging12a"/>
      </w:pPr>
      <w:r w:rsidRPr="002003D9">
        <w:t>3</w:t>
      </w:r>
      <w:r w:rsidRPr="00F83B0C">
        <w:t>.</w:t>
      </w:r>
      <w:r w:rsidRPr="00F83B0C">
        <w:tab/>
        <w:t>pålægger sin formand at sende Parlamentets holdning til Rådet og Kommissionen samt til de nationale parlamenter.</w:t>
      </w:r>
    </w:p>
    <w:p w14:paraId="668C631C" w14:textId="77777777" w:rsidR="000D3567" w:rsidRDefault="000D3567" w:rsidP="00DC3B3E">
      <w:pPr>
        <w:pStyle w:val="NormalHanging12a"/>
        <w:sectPr w:rsidR="000D3567" w:rsidSect="00F83B0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62FFEA" w14:textId="2A9146D4" w:rsidR="000D3567" w:rsidRPr="00EF7590" w:rsidRDefault="000D3567" w:rsidP="00690D38">
      <w:pPr>
        <w:pStyle w:val="ATHeading3"/>
      </w:pPr>
      <w:r w:rsidRPr="00EF7590">
        <w:lastRenderedPageBreak/>
        <w:t>P</w:t>
      </w:r>
      <w:r w:rsidRPr="002003D9">
        <w:t>9</w:t>
      </w:r>
      <w:r w:rsidRPr="00EF7590">
        <w:t>_TC</w:t>
      </w:r>
      <w:r w:rsidRPr="002003D9">
        <w:t>1</w:t>
      </w:r>
      <w:r w:rsidRPr="00EF7590">
        <w:t>-COD(</w:t>
      </w:r>
      <w:r w:rsidRPr="002003D9">
        <w:t>2023</w:t>
      </w:r>
      <w:r>
        <w:t>)</w:t>
      </w:r>
      <w:r w:rsidRPr="002003D9">
        <w:t>0393</w:t>
      </w:r>
    </w:p>
    <w:p w14:paraId="0F0097BE" w14:textId="251F746D" w:rsidR="000D3567" w:rsidRDefault="000D3567" w:rsidP="00690D38">
      <w:pPr>
        <w:pStyle w:val="Typedudocument"/>
        <w:spacing w:before="240" w:after="240"/>
        <w:jc w:val="left"/>
        <w:rPr>
          <w:color w:val="000000"/>
        </w:rPr>
      </w:pPr>
      <w:r w:rsidRPr="00EF7590">
        <w:t xml:space="preserve">Europa-Parlamentets holdning fastlagt ved førstebehandlingen den </w:t>
      </w:r>
      <w:r w:rsidR="002D71C0" w:rsidRPr="002003D9">
        <w:t>24</w:t>
      </w:r>
      <w:r w:rsidR="002D71C0">
        <w:t xml:space="preserve">. april </w:t>
      </w:r>
      <w:r w:rsidR="002D71C0" w:rsidRPr="002003D9">
        <w:t>2024</w:t>
      </w:r>
      <w:r w:rsidRPr="00EF7590">
        <w:t xml:space="preserve"> med henblik på vedtagelse af Europa-Parlamentets og Rådets </w:t>
      </w:r>
      <w:r w:rsidRPr="00EF7590">
        <w:rPr>
          <w:rFonts w:eastAsia="Calibri"/>
        </w:rPr>
        <w:t>direktiv</w:t>
      </w:r>
      <w:r w:rsidRPr="00EF7590">
        <w:t xml:space="preserve"> (EU) </w:t>
      </w:r>
      <w:r w:rsidRPr="002003D9">
        <w:rPr>
          <w:rFonts w:eastAsia="Calibri"/>
        </w:rPr>
        <w:t>2024</w:t>
      </w:r>
      <w:r w:rsidRPr="00EF7590">
        <w:rPr>
          <w:rFonts w:eastAsia="Calibri"/>
        </w:rPr>
        <w:t xml:space="preserve">/... om </w:t>
      </w:r>
      <w:r w:rsidR="007412CF" w:rsidRPr="007412CF">
        <w:rPr>
          <w:color w:val="000000"/>
        </w:rPr>
        <w:t>udvidelse af direktiv (EU) 2024/</w:t>
      </w:r>
      <w:r w:rsidR="002B6531">
        <w:rPr>
          <w:color w:val="000000"/>
        </w:rPr>
        <w:t>2841</w:t>
      </w:r>
      <w:r w:rsidR="007412CF" w:rsidRPr="007412CF">
        <w:rPr>
          <w:color w:val="000000"/>
        </w:rPr>
        <w:t xml:space="preserve"> til at omfatte tredjelandsstatsborgere, der har lovligt ophold i en medlemsstat</w:t>
      </w:r>
    </w:p>
    <w:p w14:paraId="213EA2E7" w14:textId="42C24068" w:rsidR="002B6531" w:rsidRDefault="002B6531" w:rsidP="002B6531">
      <w:pPr>
        <w:rPr>
          <w:i/>
        </w:rPr>
      </w:pPr>
      <w:r>
        <w:rPr>
          <w:i/>
        </w:rPr>
        <w:t>(Eftersom der var indgået en aftale mellem Parlamentet og Rådet, svarer Parlamentets holdning til den endelige retsakt, direktiv (EU) 202</w:t>
      </w:r>
      <w:r>
        <w:rPr>
          <w:i/>
        </w:rPr>
        <w:t>4</w:t>
      </w:r>
      <w:bookmarkStart w:id="7" w:name="_GoBack"/>
      <w:bookmarkEnd w:id="7"/>
      <w:r>
        <w:rPr>
          <w:i/>
        </w:rPr>
        <w:t>/</w:t>
      </w:r>
      <w:r>
        <w:rPr>
          <w:i/>
        </w:rPr>
        <w:t>2842</w:t>
      </w:r>
      <w:r>
        <w:rPr>
          <w:i/>
        </w:rPr>
        <w:t>.)</w:t>
      </w:r>
    </w:p>
    <w:p w14:paraId="20B086D5" w14:textId="77777777" w:rsidR="002B6531" w:rsidRPr="002B6531" w:rsidRDefault="002B6531" w:rsidP="002B6531">
      <w:pPr>
        <w:rPr>
          <w:lang w:eastAsia="en-US"/>
        </w:rPr>
      </w:pPr>
    </w:p>
    <w:sectPr w:rsidR="002B6531" w:rsidRPr="002B6531" w:rsidSect="00F83B0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55B86" w14:textId="77777777" w:rsidR="009D5EA2" w:rsidRPr="00F83B0C" w:rsidRDefault="009D5EA2">
      <w:r w:rsidRPr="00F83B0C">
        <w:separator/>
      </w:r>
    </w:p>
  </w:endnote>
  <w:endnote w:type="continuationSeparator" w:id="0">
    <w:p w14:paraId="62BFD368" w14:textId="77777777" w:rsidR="009D5EA2" w:rsidRPr="00F83B0C" w:rsidRDefault="009D5EA2">
      <w:r w:rsidRPr="00F83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2CA35" w14:textId="77777777" w:rsidR="009D5EA2" w:rsidRPr="00F83B0C" w:rsidRDefault="009D5EA2">
      <w:r w:rsidRPr="00F83B0C">
        <w:separator/>
      </w:r>
    </w:p>
  </w:footnote>
  <w:footnote w:type="continuationSeparator" w:id="0">
    <w:p w14:paraId="38C81B8F" w14:textId="77777777" w:rsidR="009D5EA2" w:rsidRPr="00F83B0C" w:rsidRDefault="009D5EA2">
      <w:r w:rsidRPr="00F83B0C">
        <w:continuationSeparator/>
      </w:r>
    </w:p>
  </w:footnote>
  <w:footnote w:id="1">
    <w:p w14:paraId="0E044E5D" w14:textId="350B19FE" w:rsidR="00DC3B3E" w:rsidRPr="007412CF" w:rsidRDefault="00DC3B3E" w:rsidP="00F83B0C">
      <w:pPr>
        <w:pStyle w:val="FootnoteText"/>
        <w:ind w:left="567" w:hanging="567"/>
        <w:rPr>
          <w:sz w:val="24"/>
          <w:szCs w:val="24"/>
          <w:lang w:val="fi-FI"/>
        </w:rPr>
      </w:pPr>
      <w:r w:rsidRPr="007412CF">
        <w:rPr>
          <w:rStyle w:val="FootnoteReference"/>
          <w:sz w:val="24"/>
          <w:szCs w:val="24"/>
          <w:lang w:val="da-DK"/>
        </w:rPr>
        <w:footnoteRef/>
      </w:r>
      <w:r w:rsidR="00F83B0C" w:rsidRPr="007412CF">
        <w:rPr>
          <w:sz w:val="24"/>
          <w:szCs w:val="24"/>
          <w:lang w:val="fi-FI"/>
        </w:rPr>
        <w:t xml:space="preserve"> </w:t>
      </w:r>
      <w:r w:rsidR="00F83B0C" w:rsidRPr="007412CF">
        <w:rPr>
          <w:sz w:val="24"/>
          <w:szCs w:val="24"/>
          <w:lang w:val="fi-FI"/>
        </w:rPr>
        <w:tab/>
      </w:r>
      <w:r w:rsidR="005046F3" w:rsidRPr="007412CF">
        <w:rPr>
          <w:rStyle w:val="Emphasis"/>
          <w:i w:val="0"/>
          <w:color w:val="333333"/>
          <w:sz w:val="24"/>
          <w:szCs w:val="24"/>
          <w:shd w:val="clear" w:color="auto" w:fill="FFFFFF"/>
          <w:lang w:val="fi-FI"/>
        </w:rPr>
        <w:t>EUT C, C/2024/1981, 18.3.2024, ELI: http://data.europa.eu/eli/C/2024/1981/oj.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9/2024"/>
    <w:docVar w:name="dvlangue" w:val="DA"/>
    <w:docVar w:name="dvnumam" w:val="24"/>
    <w:docVar w:name="dvpe" w:val="758.218"/>
    <w:docVar w:name="dvrapporteur" w:val="Ordførere: "/>
    <w:docVar w:name="dvstar" w:val="***I"/>
    <w:docVar w:name="dvtitre" w:val="Europa-Parlamentets lovgivningsmæssige beslutning af xx.xx 2024 om forslag til Europa-Parlamentets og Rådets forordning om udvidelse af direktiv [XXXX] til at omfatte tredjelandsstatsborgere, der har lovligt ophold i en medlemsstat(COM(2023)0698 – C9-0398/2023 – 2023/0393(COD))"/>
  </w:docVars>
  <w:rsids>
    <w:rsidRoot w:val="009D5EA2"/>
    <w:rsid w:val="00002272"/>
    <w:rsid w:val="00044E79"/>
    <w:rsid w:val="00064002"/>
    <w:rsid w:val="000677B9"/>
    <w:rsid w:val="000831BA"/>
    <w:rsid w:val="000A42CC"/>
    <w:rsid w:val="000D3567"/>
    <w:rsid w:val="000E7DD9"/>
    <w:rsid w:val="0010095E"/>
    <w:rsid w:val="00125B37"/>
    <w:rsid w:val="00187494"/>
    <w:rsid w:val="001E537F"/>
    <w:rsid w:val="001F32AE"/>
    <w:rsid w:val="002003D9"/>
    <w:rsid w:val="00237BE2"/>
    <w:rsid w:val="002767FF"/>
    <w:rsid w:val="002B18FE"/>
    <w:rsid w:val="002B5493"/>
    <w:rsid w:val="002B6531"/>
    <w:rsid w:val="002D71C0"/>
    <w:rsid w:val="00343214"/>
    <w:rsid w:val="00361C00"/>
    <w:rsid w:val="00395FA1"/>
    <w:rsid w:val="003E15D4"/>
    <w:rsid w:val="003E647D"/>
    <w:rsid w:val="00411CCE"/>
    <w:rsid w:val="0041666E"/>
    <w:rsid w:val="00421060"/>
    <w:rsid w:val="00471C19"/>
    <w:rsid w:val="004867E3"/>
    <w:rsid w:val="00494A28"/>
    <w:rsid w:val="004C0004"/>
    <w:rsid w:val="004C5D52"/>
    <w:rsid w:val="005046F3"/>
    <w:rsid w:val="0050519A"/>
    <w:rsid w:val="005072A1"/>
    <w:rsid w:val="00514517"/>
    <w:rsid w:val="00545827"/>
    <w:rsid w:val="00560270"/>
    <w:rsid w:val="005A2595"/>
    <w:rsid w:val="005C2568"/>
    <w:rsid w:val="005E4D85"/>
    <w:rsid w:val="006037C0"/>
    <w:rsid w:val="006631B6"/>
    <w:rsid w:val="00680577"/>
    <w:rsid w:val="006F5F3F"/>
    <w:rsid w:val="006F74FA"/>
    <w:rsid w:val="00731ADD"/>
    <w:rsid w:val="00734777"/>
    <w:rsid w:val="007412C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983"/>
    <w:rsid w:val="00930C23"/>
    <w:rsid w:val="0093193B"/>
    <w:rsid w:val="009509D8"/>
    <w:rsid w:val="00950B64"/>
    <w:rsid w:val="00981893"/>
    <w:rsid w:val="009D5EA2"/>
    <w:rsid w:val="00A1687D"/>
    <w:rsid w:val="00A16894"/>
    <w:rsid w:val="00A43E52"/>
    <w:rsid w:val="00A4678D"/>
    <w:rsid w:val="00A778C7"/>
    <w:rsid w:val="00AB441E"/>
    <w:rsid w:val="00AB6293"/>
    <w:rsid w:val="00AC79A8"/>
    <w:rsid w:val="00AD67C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B23"/>
    <w:rsid w:val="00DA7FCD"/>
    <w:rsid w:val="00DC3B3E"/>
    <w:rsid w:val="00E365E1"/>
    <w:rsid w:val="00E820A4"/>
    <w:rsid w:val="00EB006A"/>
    <w:rsid w:val="00EB4772"/>
    <w:rsid w:val="00ED169E"/>
    <w:rsid w:val="00ED4235"/>
    <w:rsid w:val="00F04346"/>
    <w:rsid w:val="00F075DC"/>
    <w:rsid w:val="00F149E9"/>
    <w:rsid w:val="00F5134D"/>
    <w:rsid w:val="00F74202"/>
    <w:rsid w:val="00F83B0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3848"/>
  <w15:chartTrackingRefBased/>
  <w15:docId w15:val="{91EA3346-DCC4-42E9-A30E-E05E06CF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C3B3E"/>
    <w:rPr>
      <w:b/>
    </w:rPr>
  </w:style>
  <w:style w:type="paragraph" w:customStyle="1" w:styleId="NormalHanging12a">
    <w:name w:val="NormalHanging12a"/>
    <w:basedOn w:val="Normal"/>
    <w:rsid w:val="00DC3B3E"/>
    <w:pPr>
      <w:spacing w:after="240"/>
      <w:ind w:left="567" w:hanging="567"/>
    </w:pPr>
  </w:style>
  <w:style w:type="paragraph" w:customStyle="1" w:styleId="AmColumnHeading">
    <w:name w:val="AmColumnHeading"/>
    <w:basedOn w:val="Normal"/>
    <w:rsid w:val="00DC3B3E"/>
    <w:pPr>
      <w:spacing w:after="240"/>
      <w:jc w:val="center"/>
    </w:pPr>
    <w:rPr>
      <w:i/>
    </w:rPr>
  </w:style>
  <w:style w:type="paragraph" w:customStyle="1" w:styleId="AmNumberTabs">
    <w:name w:val="AmNumberTabs"/>
    <w:basedOn w:val="Normal"/>
    <w:link w:val="AmNumberTabsChar"/>
    <w:rsid w:val="00DC3B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C3B3E"/>
    <w:pPr>
      <w:spacing w:before="240"/>
    </w:pPr>
    <w:rPr>
      <w:b/>
    </w:rPr>
  </w:style>
  <w:style w:type="paragraph" w:customStyle="1" w:styleId="EPComma">
    <w:name w:val="EPComma"/>
    <w:basedOn w:val="Normal"/>
    <w:rsid w:val="00DC3B3E"/>
    <w:pPr>
      <w:spacing w:before="480" w:after="240"/>
    </w:pPr>
  </w:style>
  <w:style w:type="character" w:customStyle="1" w:styleId="Normal6Char">
    <w:name w:val="Normal6 Char"/>
    <w:basedOn w:val="DefaultParagraphFont"/>
    <w:link w:val="Normal6"/>
    <w:locked/>
    <w:rsid w:val="00DC3B3E"/>
    <w:rPr>
      <w:sz w:val="24"/>
      <w:lang w:val="da-DK"/>
    </w:rPr>
  </w:style>
  <w:style w:type="paragraph" w:customStyle="1" w:styleId="Normal6">
    <w:name w:val="Normal6"/>
    <w:basedOn w:val="Normal"/>
    <w:link w:val="Normal6Char"/>
    <w:rsid w:val="00DC3B3E"/>
    <w:pPr>
      <w:spacing w:after="120"/>
    </w:pPr>
  </w:style>
  <w:style w:type="character" w:customStyle="1" w:styleId="NormalBoldChar">
    <w:name w:val="NormalBold Char"/>
    <w:basedOn w:val="DefaultParagraphFont"/>
    <w:link w:val="NormalBold"/>
    <w:locked/>
    <w:rsid w:val="00DC3B3E"/>
    <w:rPr>
      <w:b/>
      <w:sz w:val="24"/>
      <w:lang w:val="da-DK"/>
    </w:rPr>
  </w:style>
  <w:style w:type="paragraph" w:customStyle="1" w:styleId="ColumnHeading">
    <w:name w:val="ColumnHeading"/>
    <w:basedOn w:val="Normal"/>
    <w:rsid w:val="00DC3B3E"/>
    <w:pPr>
      <w:spacing w:after="240"/>
      <w:jc w:val="center"/>
    </w:pPr>
    <w:rPr>
      <w:i/>
    </w:rPr>
  </w:style>
  <w:style w:type="character" w:customStyle="1" w:styleId="AmNumberTabsChar">
    <w:name w:val="AmNumberTabs Char"/>
    <w:basedOn w:val="DefaultParagraphFont"/>
    <w:link w:val="AmNumberTabs"/>
    <w:rsid w:val="00DC3B3E"/>
    <w:rPr>
      <w:b/>
      <w:sz w:val="24"/>
      <w:lang w:val="da-DK"/>
    </w:rPr>
  </w:style>
  <w:style w:type="character" w:customStyle="1" w:styleId="NormalBold12bChar">
    <w:name w:val="NormalBold12b Char"/>
    <w:basedOn w:val="AmNumberTabsChar"/>
    <w:link w:val="NormalBold12b"/>
    <w:rsid w:val="00DC3B3E"/>
    <w:rPr>
      <w:b/>
      <w:sz w:val="24"/>
      <w:lang w:val="da-DK"/>
    </w:rPr>
  </w:style>
  <w:style w:type="character" w:styleId="CommentReference">
    <w:name w:val="annotation reference"/>
    <w:basedOn w:val="DefaultParagraphFont"/>
    <w:rsid w:val="005E4D85"/>
    <w:rPr>
      <w:sz w:val="16"/>
      <w:szCs w:val="16"/>
    </w:rPr>
  </w:style>
  <w:style w:type="paragraph" w:styleId="CommentText">
    <w:name w:val="annotation text"/>
    <w:basedOn w:val="Normal"/>
    <w:link w:val="CommentTextChar"/>
    <w:rsid w:val="005E4D85"/>
    <w:rPr>
      <w:sz w:val="20"/>
    </w:rPr>
  </w:style>
  <w:style w:type="character" w:customStyle="1" w:styleId="CommentTextChar">
    <w:name w:val="Comment Text Char"/>
    <w:basedOn w:val="DefaultParagraphFont"/>
    <w:link w:val="CommentText"/>
    <w:rsid w:val="005E4D85"/>
    <w:rPr>
      <w:lang w:val="da-DK"/>
    </w:rPr>
  </w:style>
  <w:style w:type="paragraph" w:styleId="CommentSubject">
    <w:name w:val="annotation subject"/>
    <w:basedOn w:val="CommentText"/>
    <w:next w:val="CommentText"/>
    <w:link w:val="CommentSubjectChar"/>
    <w:rsid w:val="005E4D85"/>
    <w:rPr>
      <w:b/>
      <w:bCs/>
    </w:rPr>
  </w:style>
  <w:style w:type="character" w:customStyle="1" w:styleId="CommentSubjectChar">
    <w:name w:val="Comment Subject Char"/>
    <w:basedOn w:val="CommentTextChar"/>
    <w:link w:val="CommentSubject"/>
    <w:rsid w:val="005E4D85"/>
    <w:rPr>
      <w:b/>
      <w:bCs/>
      <w:lang w:val="da-DK"/>
    </w:rPr>
  </w:style>
  <w:style w:type="paragraph" w:styleId="BalloonText">
    <w:name w:val="Balloon Text"/>
    <w:basedOn w:val="Normal"/>
    <w:link w:val="BalloonTextChar"/>
    <w:rsid w:val="005E4D85"/>
    <w:rPr>
      <w:rFonts w:ascii="Segoe UI" w:hAnsi="Segoe UI" w:cs="Segoe UI"/>
      <w:sz w:val="18"/>
      <w:szCs w:val="18"/>
    </w:rPr>
  </w:style>
  <w:style w:type="character" w:customStyle="1" w:styleId="BalloonTextChar">
    <w:name w:val="Balloon Text Char"/>
    <w:basedOn w:val="DefaultParagraphFont"/>
    <w:link w:val="BalloonText"/>
    <w:rsid w:val="005E4D85"/>
    <w:rPr>
      <w:rFonts w:ascii="Segoe UI" w:hAnsi="Segoe UI" w:cs="Segoe UI"/>
      <w:sz w:val="18"/>
      <w:szCs w:val="18"/>
      <w:lang w:val="da-DK"/>
    </w:rPr>
  </w:style>
  <w:style w:type="paragraph" w:customStyle="1" w:styleId="Typedudocument">
    <w:name w:val="Type du document"/>
    <w:basedOn w:val="Normal"/>
    <w:next w:val="Normal"/>
    <w:rsid w:val="000D3567"/>
    <w:pPr>
      <w:widowControl/>
      <w:spacing w:before="360"/>
      <w:jc w:val="center"/>
    </w:pPr>
    <w:rPr>
      <w:rFonts w:eastAsiaTheme="minorHAnsi"/>
      <w:b/>
      <w:szCs w:val="22"/>
      <w:lang w:eastAsia="en-US"/>
    </w:rPr>
  </w:style>
  <w:style w:type="paragraph" w:customStyle="1" w:styleId="Point1">
    <w:name w:val="Point 1"/>
    <w:basedOn w:val="Normal"/>
    <w:rsid w:val="002D71C0"/>
    <w:pPr>
      <w:widowControl/>
      <w:spacing w:before="120" w:after="120" w:line="360" w:lineRule="auto"/>
      <w:ind w:left="1417" w:hanging="567"/>
    </w:pPr>
    <w:rPr>
      <w:rFonts w:eastAsia="Calibri"/>
      <w:szCs w:val="22"/>
      <w:lang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5046F3"/>
    <w:pPr>
      <w:widowControl/>
      <w:spacing w:after="160" w:line="240" w:lineRule="exact"/>
    </w:pPr>
    <w:rPr>
      <w:sz w:val="20"/>
      <w:vertAlign w:val="superscript"/>
      <w:lang w:val="en-GB"/>
    </w:rPr>
  </w:style>
  <w:style w:type="character" w:styleId="Emphasis">
    <w:name w:val="Emphasis"/>
    <w:basedOn w:val="DefaultParagraphFont"/>
    <w:uiPriority w:val="20"/>
    <w:qFormat/>
    <w:rsid w:val="005046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91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B70FC-962B-40A2-AE97-E86853212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387</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2025-03-12T10:12:00Z</dcterms:created>
  <dcterms:modified xsi:type="dcterms:W3CDTF">2025-03-12T10:12:00Z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P9_TA(2024)0340_</vt:lpwstr>
  </property>
  <property fmtid="{D5CDD505-2E9C-101B-9397-08002B2CF9AE}" pid="4" name="&lt;Type&gt;">
    <vt:lpwstr>RR</vt:lpwstr>
  </property>
</Properties>
</file>