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374B" w:rsidTr="0010095E">
        <w:trPr>
          <w:trHeight w:hRule="exact" w:val="1418"/>
        </w:trPr>
        <w:tc>
          <w:tcPr>
            <w:tcW w:w="6804" w:type="dxa"/>
            <w:shd w:val="clear" w:color="auto" w:fill="auto"/>
            <w:vAlign w:val="center"/>
          </w:tcPr>
          <w:p w:rsidR="00751A4A" w:rsidRPr="001A374B" w:rsidRDefault="0029297D" w:rsidP="0010095E">
            <w:pPr>
              <w:pStyle w:val="EPName"/>
            </w:pPr>
            <w:r w:rsidRPr="001A374B">
              <w:t>Parlament Europejski</w:t>
            </w:r>
          </w:p>
          <w:p w:rsidR="00751A4A" w:rsidRPr="001A374B" w:rsidRDefault="00817416" w:rsidP="00756632">
            <w:pPr>
              <w:pStyle w:val="EPTerm"/>
              <w:rPr>
                <w:rStyle w:val="HideTWBExt"/>
                <w:noProof w:val="0"/>
                <w:vanish w:val="0"/>
                <w:color w:val="auto"/>
              </w:rPr>
            </w:pPr>
            <w:r w:rsidRPr="001A374B">
              <w:t>2019-2024</w:t>
            </w:r>
          </w:p>
        </w:tc>
        <w:tc>
          <w:tcPr>
            <w:tcW w:w="2268" w:type="dxa"/>
            <w:shd w:val="clear" w:color="auto" w:fill="auto"/>
          </w:tcPr>
          <w:p w:rsidR="00751A4A" w:rsidRPr="001A374B" w:rsidRDefault="00187494" w:rsidP="0010095E">
            <w:pPr>
              <w:pStyle w:val="EPLogo"/>
            </w:pPr>
            <w:r w:rsidRPr="001A374B">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A374B" w:rsidRDefault="00D058B8" w:rsidP="004C5D52">
      <w:pPr>
        <w:pStyle w:val="LineTop"/>
      </w:pPr>
    </w:p>
    <w:p w:rsidR="00680577" w:rsidRPr="001A374B" w:rsidRDefault="0029297D" w:rsidP="00680577">
      <w:pPr>
        <w:pStyle w:val="EPBodyTA1"/>
      </w:pPr>
      <w:r w:rsidRPr="001A374B">
        <w:t>TEKSTY PRZYJĘTE</w:t>
      </w:r>
    </w:p>
    <w:p w:rsidR="00D058B8" w:rsidRPr="001A374B" w:rsidRDefault="00D058B8" w:rsidP="00D058B8">
      <w:pPr>
        <w:pStyle w:val="LineBottom"/>
      </w:pPr>
    </w:p>
    <w:p w:rsidR="0029297D" w:rsidRPr="001A374B" w:rsidRDefault="0029297D" w:rsidP="0029297D">
      <w:pPr>
        <w:pStyle w:val="ATHeading1"/>
      </w:pPr>
      <w:bookmarkStart w:id="0" w:name="TANumber"/>
      <w:r w:rsidRPr="001A374B">
        <w:t>P9_TA(2024)0</w:t>
      </w:r>
      <w:bookmarkEnd w:id="0"/>
      <w:r w:rsidR="00BB2D38">
        <w:t>342</w:t>
      </w:r>
    </w:p>
    <w:p w:rsidR="0029297D" w:rsidRPr="009E79E5" w:rsidRDefault="009E79E5" w:rsidP="0029297D">
      <w:pPr>
        <w:pStyle w:val="ATHeading2"/>
      </w:pPr>
      <w:r w:rsidRPr="009E79E5">
        <w:rPr>
          <w:bCs/>
        </w:rPr>
        <w:t xml:space="preserve">Produkcja i wprowadzanie do obrotu leśnego materiału </w:t>
      </w:r>
      <w:proofErr w:type="spellStart"/>
      <w:r w:rsidRPr="009E79E5">
        <w:rPr>
          <w:bCs/>
        </w:rPr>
        <w:t>rozmnożeniowego</w:t>
      </w:r>
      <w:proofErr w:type="spellEnd"/>
    </w:p>
    <w:p w:rsidR="0029297D" w:rsidRPr="001A374B" w:rsidRDefault="0029297D" w:rsidP="0029297D">
      <w:pPr>
        <w:rPr>
          <w:i/>
          <w:vanish/>
        </w:rPr>
      </w:pPr>
      <w:r w:rsidRPr="001A374B">
        <w:rPr>
          <w:i/>
        </w:rPr>
        <w:fldChar w:fldCharType="begin"/>
      </w:r>
      <w:r w:rsidRPr="001A374B">
        <w:rPr>
          <w:i/>
        </w:rPr>
        <w:instrText xml:space="preserve"> TC"(</w:instrText>
      </w:r>
      <w:bookmarkStart w:id="1" w:name="DocNumber"/>
      <w:r w:rsidRPr="001A374B">
        <w:rPr>
          <w:i/>
        </w:rPr>
        <w:instrText>A9-0142/2024</w:instrText>
      </w:r>
      <w:bookmarkEnd w:id="1"/>
      <w:r w:rsidRPr="001A374B">
        <w:rPr>
          <w:i/>
        </w:rPr>
        <w:instrText xml:space="preserve"> - Sprawozdawca: Herbert </w:instrText>
      </w:r>
      <w:proofErr w:type="spellStart"/>
      <w:r w:rsidRPr="001A374B">
        <w:rPr>
          <w:i/>
        </w:rPr>
        <w:instrText>Dorfmann</w:instrText>
      </w:r>
      <w:proofErr w:type="spellEnd"/>
      <w:r w:rsidRPr="001A374B">
        <w:rPr>
          <w:i/>
        </w:rPr>
        <w:instrText xml:space="preserve">)"\l3 \n&gt; \* MERGEFORMAT </w:instrText>
      </w:r>
      <w:r w:rsidRPr="001A374B">
        <w:rPr>
          <w:i/>
        </w:rPr>
        <w:fldChar w:fldCharType="end"/>
      </w:r>
    </w:p>
    <w:p w:rsidR="0029297D" w:rsidRPr="001A374B" w:rsidRDefault="0029297D" w:rsidP="0029297D">
      <w:pPr>
        <w:rPr>
          <w:vanish/>
        </w:rPr>
      </w:pPr>
      <w:bookmarkStart w:id="2" w:name="Commission"/>
      <w:r w:rsidRPr="001A374B">
        <w:rPr>
          <w:vanish/>
        </w:rPr>
        <w:t>Komisja Rolnictwa i Rozwoju Wsi</w:t>
      </w:r>
      <w:bookmarkEnd w:id="2"/>
    </w:p>
    <w:p w:rsidR="0029297D" w:rsidRPr="001A374B" w:rsidRDefault="0029297D" w:rsidP="0029297D">
      <w:pPr>
        <w:rPr>
          <w:vanish/>
        </w:rPr>
      </w:pPr>
      <w:bookmarkStart w:id="3" w:name="PE"/>
      <w:r w:rsidRPr="001A374B">
        <w:rPr>
          <w:vanish/>
        </w:rPr>
        <w:t>PE756.013</w:t>
      </w:r>
      <w:bookmarkEnd w:id="3"/>
    </w:p>
    <w:p w:rsidR="0029297D" w:rsidRPr="001A374B" w:rsidRDefault="0029297D" w:rsidP="0029297D">
      <w:pPr>
        <w:pStyle w:val="ATHeading3"/>
      </w:pPr>
      <w:bookmarkStart w:id="4" w:name="Sujet"/>
      <w:r w:rsidRPr="001A374B">
        <w:t xml:space="preserve">Rezolucja ustawodawcza Parlamentu Europejskiego z dnia </w:t>
      </w:r>
      <w:r w:rsidR="009E79E5">
        <w:t>24 kwietnia</w:t>
      </w:r>
      <w:r w:rsidRPr="001A374B">
        <w:t xml:space="preserve"> 2024 r. w sprawie wniosku dotyczącego rozporządzenia Parlamentu Europejskiego i Rady w sprawie produkcji i wprowadzania do obrotu leśnego materiału </w:t>
      </w:r>
      <w:proofErr w:type="spellStart"/>
      <w:r w:rsidRPr="001A374B">
        <w:t>rozmnożeniowego</w:t>
      </w:r>
      <w:proofErr w:type="spellEnd"/>
      <w:r w:rsidRPr="001A374B">
        <w:t xml:space="preserve">, zmieniającego rozporządzenia Parlamentu Europejskiego i Rady (UE) 2016/2031 i 2017/625 oraz uchylającego dyrektywę Rady 1999/105/WE (rozporządzenie w sprawie leśnego materiału </w:t>
      </w:r>
      <w:proofErr w:type="spellStart"/>
      <w:r w:rsidRPr="001A374B">
        <w:t>rozmnożeniowego</w:t>
      </w:r>
      <w:proofErr w:type="spellEnd"/>
      <w:r w:rsidRPr="001A374B">
        <w:t>)</w:t>
      </w:r>
      <w:bookmarkEnd w:id="4"/>
      <w:r w:rsidRPr="001A374B">
        <w:t xml:space="preserve"> </w:t>
      </w:r>
      <w:bookmarkStart w:id="5" w:name="References"/>
      <w:r w:rsidRPr="001A374B">
        <w:t>(COM(2023)0415 – C9-0237/2023 – 2023/0228(COD))</w:t>
      </w:r>
      <w:bookmarkEnd w:id="5"/>
    </w:p>
    <w:p w:rsidR="00F55435" w:rsidRPr="001A374B" w:rsidRDefault="00F55435" w:rsidP="00F55435">
      <w:pPr>
        <w:pStyle w:val="NormalBold"/>
      </w:pPr>
      <w:bookmarkStart w:id="6" w:name="TextBodyBegin"/>
      <w:bookmarkEnd w:id="6"/>
      <w:r w:rsidRPr="001A374B">
        <w:t>(Zwykła procedura ustawodawcza: pierwsze czytanie)</w:t>
      </w:r>
    </w:p>
    <w:p w:rsidR="00F55435" w:rsidRPr="001A374B" w:rsidRDefault="00F55435" w:rsidP="00F55435">
      <w:pPr>
        <w:pStyle w:val="EPComma"/>
      </w:pPr>
      <w:r w:rsidRPr="001A374B">
        <w:rPr>
          <w:i/>
          <w:iCs/>
        </w:rPr>
        <w:t>Parlament Europejski</w:t>
      </w:r>
      <w:r w:rsidRPr="001A374B">
        <w:t>,</w:t>
      </w:r>
    </w:p>
    <w:p w:rsidR="00F55435" w:rsidRPr="001A374B" w:rsidRDefault="00F55435" w:rsidP="00F55435">
      <w:pPr>
        <w:pStyle w:val="NormalHanging12a"/>
      </w:pPr>
      <w:r w:rsidRPr="001A374B">
        <w:t>–</w:t>
      </w:r>
      <w:r w:rsidRPr="001A374B">
        <w:tab/>
        <w:t>uwzględniając wniosek Komisji przedstawiony Parlamentowi Europejskiemu i Radzie (COM(2023)0415),</w:t>
      </w:r>
    </w:p>
    <w:p w:rsidR="00F55435" w:rsidRPr="001A374B" w:rsidRDefault="00F55435" w:rsidP="00F55435">
      <w:pPr>
        <w:pStyle w:val="NormalHanging12a"/>
      </w:pPr>
      <w:r w:rsidRPr="001A374B">
        <w:t>–</w:t>
      </w:r>
      <w:r w:rsidRPr="001A374B">
        <w:tab/>
        <w:t>uwzględniając art. 294 ust. 2 i art. 43 ust. 2 Traktatu o funkcjonowaniu Unii Europejskiej, zgodnie z którymi wniosek został przedstawiony Parlamentowi przez Komisję (C9-0237/2023),</w:t>
      </w:r>
    </w:p>
    <w:p w:rsidR="00F55435" w:rsidRPr="001A374B" w:rsidRDefault="00F55435" w:rsidP="00F55435">
      <w:pPr>
        <w:pStyle w:val="NormalHanging12a"/>
      </w:pPr>
      <w:r w:rsidRPr="001A374B">
        <w:t>–</w:t>
      </w:r>
      <w:r w:rsidRPr="001A374B">
        <w:tab/>
        <w:t>uwzględniając art. 294 ust. 3 Traktatu o funkcjonowaniu Unii Europejskiej,</w:t>
      </w:r>
    </w:p>
    <w:p w:rsidR="00F55435" w:rsidRPr="001A374B" w:rsidRDefault="00F55435" w:rsidP="00F55435">
      <w:pPr>
        <w:pStyle w:val="NormalHanging12a"/>
      </w:pPr>
      <w:r w:rsidRPr="001A374B">
        <w:t>–</w:t>
      </w:r>
      <w:r w:rsidRPr="001A374B">
        <w:tab/>
        <w:t>uwzględniając opinię Europejskiego Komitetu Ekonomiczno-Społecznego z 13 grudnia 2023 r.</w:t>
      </w:r>
      <w:r w:rsidRPr="001A374B">
        <w:rPr>
          <w:rStyle w:val="FootnoteReference"/>
        </w:rPr>
        <w:footnoteReference w:id="1"/>
      </w:r>
      <w:r w:rsidRPr="001A374B">
        <w:t>,</w:t>
      </w:r>
    </w:p>
    <w:p w:rsidR="00F55435" w:rsidRPr="001A374B" w:rsidRDefault="00F55435" w:rsidP="00F55435">
      <w:pPr>
        <w:pStyle w:val="NormalHanging12a"/>
      </w:pPr>
      <w:r w:rsidRPr="001A374B">
        <w:t>–</w:t>
      </w:r>
      <w:r w:rsidRPr="001A374B">
        <w:tab/>
        <w:t>uwzględniając art. 59 Regulaminu,</w:t>
      </w:r>
    </w:p>
    <w:p w:rsidR="00F55435" w:rsidRPr="001A374B" w:rsidRDefault="00F55435" w:rsidP="00F55435">
      <w:pPr>
        <w:pStyle w:val="NormalHanging12a"/>
      </w:pPr>
      <w:r w:rsidRPr="001A374B">
        <w:t>–</w:t>
      </w:r>
      <w:r w:rsidRPr="001A374B">
        <w:tab/>
        <w:t>uwzględniając opinię przedstawioną przez Komisję Ochrony Środowiska Naturalnego, Zdrowia Publicznego i Bezpieczeństwa Żywności,</w:t>
      </w:r>
    </w:p>
    <w:p w:rsidR="00F55435" w:rsidRPr="001A374B" w:rsidRDefault="00F55435" w:rsidP="00F55435">
      <w:pPr>
        <w:pStyle w:val="NormalHanging12a"/>
      </w:pPr>
      <w:r w:rsidRPr="001A374B">
        <w:t>–</w:t>
      </w:r>
      <w:r w:rsidRPr="001A374B">
        <w:tab/>
        <w:t>uwzględniając sprawozdanie Komisji Rolnictwa i Rozwoju Wsi (A9-0142/2024),</w:t>
      </w:r>
    </w:p>
    <w:p w:rsidR="00F55435" w:rsidRPr="001A374B" w:rsidRDefault="00F55435" w:rsidP="00F55435">
      <w:pPr>
        <w:pStyle w:val="NormalHanging12a"/>
      </w:pPr>
      <w:r w:rsidRPr="001A374B">
        <w:t>1.</w:t>
      </w:r>
      <w:r w:rsidRPr="001A374B">
        <w:tab/>
        <w:t>przyjmuje poniższe stanowisko w pierwszym czytaniu;</w:t>
      </w:r>
    </w:p>
    <w:p w:rsidR="00F55435" w:rsidRPr="001A374B" w:rsidRDefault="00F55435" w:rsidP="00F55435">
      <w:pPr>
        <w:pStyle w:val="NormalHanging12a"/>
      </w:pPr>
      <w:r w:rsidRPr="001A374B">
        <w:t>2.</w:t>
      </w:r>
      <w:r w:rsidRPr="001A374B">
        <w:tab/>
        <w:t xml:space="preserve">zwraca się do Komisji o ponowne przekazanie mu sprawy, jeśli zastąpi ona pierwotny </w:t>
      </w:r>
      <w:r w:rsidRPr="001A374B">
        <w:lastRenderedPageBreak/>
        <w:t>wniosek, wprowadzi w nim istotne zmiany lub planuje ich wprowadzenie;</w:t>
      </w:r>
    </w:p>
    <w:p w:rsidR="00F55435" w:rsidRDefault="00F55435" w:rsidP="00F55435">
      <w:pPr>
        <w:pStyle w:val="NormalHanging12a"/>
      </w:pPr>
      <w:r w:rsidRPr="001A374B">
        <w:t>3.</w:t>
      </w:r>
      <w:r w:rsidRPr="001A374B">
        <w:tab/>
        <w:t>zobowiązuje swoją przewodniczącą do przekazania stanowiska Parlamentu Radzie i Komisji oraz parlamentom narodowym.</w:t>
      </w:r>
    </w:p>
    <w:p w:rsidR="006C354F" w:rsidRDefault="006C354F" w:rsidP="00F55435">
      <w:pPr>
        <w:pStyle w:val="NormalHanging12a"/>
        <w:sectPr w:rsidR="006C354F" w:rsidSect="001A374B">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C354F" w:rsidRDefault="006C354F" w:rsidP="006C354F">
      <w:pPr>
        <w:spacing w:after="240"/>
        <w:rPr>
          <w:b/>
        </w:rPr>
      </w:pPr>
      <w:r>
        <w:rPr>
          <w:b/>
        </w:rPr>
        <w:lastRenderedPageBreak/>
        <w:t>P9_TC1-COD(2023)0228</w:t>
      </w:r>
    </w:p>
    <w:p w:rsidR="006C354F" w:rsidRPr="00EA7662" w:rsidRDefault="006C354F" w:rsidP="006C354F">
      <w:r>
        <w:rPr>
          <w:b/>
        </w:rPr>
        <w:t xml:space="preserve">Stanowisko Parlamentu Europejskiego </w:t>
      </w:r>
      <w:r w:rsidRPr="00291A00">
        <w:rPr>
          <w:b/>
        </w:rPr>
        <w:t xml:space="preserve">przyjęte w pierwszym czytaniu w dniu </w:t>
      </w:r>
      <w:r>
        <w:rPr>
          <w:b/>
        </w:rPr>
        <w:t>24 kwietnia 2024 r.</w:t>
      </w:r>
      <w:r w:rsidRPr="00291A00">
        <w:rPr>
          <w:b/>
        </w:rPr>
        <w:t xml:space="preserve"> </w:t>
      </w:r>
      <w:r w:rsidRPr="00741191">
        <w:rPr>
          <w:b/>
        </w:rPr>
        <w:t>w celu przyjęcia rozporządzenia Parlamentu Europ</w:t>
      </w:r>
      <w:r>
        <w:rPr>
          <w:b/>
        </w:rPr>
        <w:t>ejskiego i Rady (UE) 202</w:t>
      </w:r>
      <w:r w:rsidR="00754132">
        <w:rPr>
          <w:b/>
        </w:rPr>
        <w:t>4</w:t>
      </w:r>
      <w:r>
        <w:rPr>
          <w:b/>
        </w:rPr>
        <w:t>/...</w:t>
      </w:r>
      <w:r w:rsidRPr="00741191">
        <w:rPr>
          <w:b/>
        </w:rPr>
        <w:t xml:space="preserve"> </w:t>
      </w:r>
      <w:r>
        <w:rPr>
          <w:b/>
        </w:rPr>
        <w:t xml:space="preserve"> </w:t>
      </w:r>
      <w:r w:rsidRPr="006C354F">
        <w:rPr>
          <w:b/>
        </w:rPr>
        <w:t xml:space="preserve">w sprawie produkcji i wprowadzania do obrotu leśnego materiału </w:t>
      </w:r>
      <w:proofErr w:type="spellStart"/>
      <w:r w:rsidRPr="006C354F">
        <w:rPr>
          <w:b/>
        </w:rPr>
        <w:t>rozmnożeniowego</w:t>
      </w:r>
      <w:proofErr w:type="spellEnd"/>
      <w:r w:rsidRPr="006C354F">
        <w:rPr>
          <w:b/>
        </w:rPr>
        <w:t>, zmieniające</w:t>
      </w:r>
      <w:r>
        <w:rPr>
          <w:b/>
        </w:rPr>
        <w:t>go</w:t>
      </w:r>
      <w:r w:rsidRPr="006C354F">
        <w:rPr>
          <w:b/>
        </w:rPr>
        <w:t xml:space="preserve"> rozporządzenia Parlamentu Europejskiego i Rady (UE) 2016/2031 i 2017/625 oraz uchylające</w:t>
      </w:r>
      <w:r>
        <w:rPr>
          <w:b/>
        </w:rPr>
        <w:t>go</w:t>
      </w:r>
      <w:r w:rsidRPr="006C354F">
        <w:rPr>
          <w:b/>
        </w:rPr>
        <w:t xml:space="preserve"> dyrektywę Rady 1999/105/WE (rozporządzenie w sprawie leśnego materiału </w:t>
      </w:r>
      <w:proofErr w:type="spellStart"/>
      <w:r w:rsidRPr="006C354F">
        <w:rPr>
          <w:b/>
        </w:rPr>
        <w:t>rozmnożeniowego</w:t>
      </w:r>
      <w:proofErr w:type="spellEnd"/>
      <w:r w:rsidRPr="006C354F">
        <w:rPr>
          <w:b/>
        </w:rPr>
        <w:t>)</w:t>
      </w:r>
    </w:p>
    <w:p w:rsidR="006C354F" w:rsidRPr="00EA7662" w:rsidRDefault="006C354F" w:rsidP="006C354F">
      <w:pPr>
        <w:pStyle w:val="IntrtEEE"/>
        <w:rPr>
          <w:lang w:val="pl-PL"/>
        </w:rPr>
      </w:pPr>
      <w:r w:rsidRPr="00EA7662">
        <w:rPr>
          <w:lang w:val="pl-PL"/>
        </w:rPr>
        <w:t>(Tekst mający znaczenie dla EOG)</w:t>
      </w:r>
    </w:p>
    <w:p w:rsidR="006C354F" w:rsidRPr="00EA7662" w:rsidRDefault="006C354F" w:rsidP="006C354F">
      <w:pPr>
        <w:pStyle w:val="Institutionquiagit"/>
        <w:rPr>
          <w:lang w:val="pl-PL"/>
        </w:rPr>
      </w:pPr>
      <w:r w:rsidRPr="00EA7662">
        <w:rPr>
          <w:lang w:val="pl-PL"/>
        </w:rPr>
        <w:t>PARLAMENT EUROPEJSKI I RADA UNII EUROPEJSKIEJ,</w:t>
      </w:r>
    </w:p>
    <w:p w:rsidR="006C354F" w:rsidRPr="00EA7662" w:rsidRDefault="006C354F" w:rsidP="006C354F">
      <w:pPr>
        <w:pStyle w:val="Normale"/>
        <w:rPr>
          <w:lang w:val="pl-PL"/>
        </w:rPr>
      </w:pPr>
      <w:r w:rsidRPr="00EA7662">
        <w:rPr>
          <w:lang w:val="pl-PL"/>
        </w:rPr>
        <w:t>uwzględniając Traktat o funkcjonowaniu Unii Europejskiej, w szczególności jego art. 43 ust. 2,</w:t>
      </w:r>
    </w:p>
    <w:p w:rsidR="006C354F" w:rsidRPr="00EA7662" w:rsidRDefault="006C354F" w:rsidP="006C354F">
      <w:pPr>
        <w:pStyle w:val="Normale"/>
        <w:rPr>
          <w:lang w:val="pl-PL"/>
        </w:rPr>
      </w:pPr>
      <w:r w:rsidRPr="00EA7662">
        <w:rPr>
          <w:lang w:val="pl-PL"/>
        </w:rPr>
        <w:t>uwzględniając wniosek Komisji Europejskiej</w:t>
      </w:r>
      <w:r>
        <w:rPr>
          <w:rStyle w:val="FootnoteReference"/>
        </w:rPr>
        <w:footnoteReference w:id="2"/>
      </w:r>
      <w:r w:rsidRPr="00EA7662">
        <w:rPr>
          <w:lang w:val="pl-PL"/>
        </w:rPr>
        <w:t>,</w:t>
      </w:r>
    </w:p>
    <w:p w:rsidR="006C354F" w:rsidRPr="00EA7662" w:rsidRDefault="006C354F" w:rsidP="006C354F">
      <w:pPr>
        <w:pStyle w:val="Normale"/>
        <w:rPr>
          <w:lang w:val="pl-PL"/>
        </w:rPr>
      </w:pPr>
      <w:r w:rsidRPr="00EA7662">
        <w:rPr>
          <w:lang w:val="pl-PL"/>
        </w:rPr>
        <w:t>po przekazaniu projektu aktu ustawodawczego parlamentom narodowym,</w:t>
      </w:r>
    </w:p>
    <w:p w:rsidR="006C354F" w:rsidRPr="00EA7662" w:rsidRDefault="006C354F" w:rsidP="006C354F">
      <w:pPr>
        <w:pStyle w:val="Normale"/>
        <w:rPr>
          <w:lang w:val="pl-PL"/>
        </w:rPr>
      </w:pPr>
      <w:r w:rsidRPr="00EA7662">
        <w:rPr>
          <w:lang w:val="pl-PL"/>
        </w:rPr>
        <w:t>uwzględniając opinię Europejskiego Komitetu Ekonomiczno-Społecznego</w:t>
      </w:r>
      <w:r>
        <w:rPr>
          <w:rStyle w:val="FootnoteReference"/>
        </w:rPr>
        <w:footnoteReference w:id="3"/>
      </w:r>
      <w:r w:rsidRPr="00EA7662">
        <w:rPr>
          <w:lang w:val="pl-PL"/>
        </w:rPr>
        <w:t>,</w:t>
      </w:r>
    </w:p>
    <w:p w:rsidR="006C354F" w:rsidRPr="00EA7662" w:rsidRDefault="006C354F" w:rsidP="006C354F">
      <w:pPr>
        <w:pStyle w:val="Normale"/>
        <w:rPr>
          <w:lang w:val="pl-PL"/>
        </w:rPr>
      </w:pPr>
      <w:r w:rsidRPr="00EA7662">
        <w:rPr>
          <w:lang w:val="pl-PL"/>
        </w:rPr>
        <w:t>[uwzględniając opinię Komitetu Regionów,]</w:t>
      </w:r>
    </w:p>
    <w:p w:rsidR="006C354F" w:rsidRPr="00EA7662" w:rsidRDefault="006C354F" w:rsidP="006C354F">
      <w:pPr>
        <w:pStyle w:val="Normale"/>
        <w:rPr>
          <w:lang w:val="pl-PL"/>
        </w:rPr>
      </w:pPr>
      <w:r w:rsidRPr="00EA7662">
        <w:rPr>
          <w:lang w:val="pl-PL"/>
        </w:rPr>
        <w:t>stanowiąc zgodnie ze zwykłą procedurą ustawodawczą</w:t>
      </w:r>
      <w:r>
        <w:rPr>
          <w:rStyle w:val="FootnoteReference"/>
        </w:rPr>
        <w:footnoteReference w:id="4"/>
      </w:r>
      <w:r w:rsidRPr="00EA7662">
        <w:rPr>
          <w:lang w:val="pl-PL"/>
        </w:rPr>
        <w:t>,</w:t>
      </w:r>
    </w:p>
    <w:p w:rsidR="006C354F" w:rsidRDefault="006C354F">
      <w:pPr>
        <w:widowControl/>
        <w:rPr>
          <w:lang w:eastAsia="en-US"/>
        </w:rPr>
      </w:pPr>
      <w:r>
        <w:br w:type="page"/>
      </w:r>
    </w:p>
    <w:p w:rsidR="006C354F" w:rsidRPr="00EA7662" w:rsidRDefault="006C354F" w:rsidP="006C354F">
      <w:pPr>
        <w:pStyle w:val="Normale"/>
        <w:rPr>
          <w:lang w:val="pl-PL"/>
        </w:rPr>
      </w:pPr>
      <w:r w:rsidRPr="00EA7662">
        <w:rPr>
          <w:lang w:val="pl-PL"/>
        </w:rPr>
        <w:lastRenderedPageBreak/>
        <w:t>a także mając na uwadze, co następuje:</w:t>
      </w:r>
    </w:p>
    <w:p w:rsidR="006C354F" w:rsidRPr="00EA7662" w:rsidRDefault="006C354F" w:rsidP="006C354F">
      <w:pPr>
        <w:pStyle w:val="Considrant"/>
        <w:rPr>
          <w:lang w:val="pl-PL"/>
        </w:rPr>
      </w:pPr>
      <w:r w:rsidRPr="00EA7662">
        <w:rPr>
          <w:lang w:val="pl-PL"/>
        </w:rPr>
        <w:t>(1)</w:t>
      </w:r>
      <w:r w:rsidRPr="00EA7662">
        <w:rPr>
          <w:lang w:val="pl-PL"/>
        </w:rPr>
        <w:tab/>
        <w:t>W dyrektywie Rady 1999/105/WE</w:t>
      </w:r>
      <w:r>
        <w:rPr>
          <w:rStyle w:val="FootnoteReference"/>
        </w:rPr>
        <w:footnoteReference w:id="5"/>
      </w:r>
      <w:r w:rsidRPr="00EA7662">
        <w:rPr>
          <w:lang w:val="pl-PL"/>
        </w:rPr>
        <w:t xml:space="preserve"> określono przepisy dotyczące produkcji i wprowadzania do obrotu leśnego materiału </w:t>
      </w:r>
      <w:proofErr w:type="spellStart"/>
      <w:r w:rsidRPr="00EA7662">
        <w:rPr>
          <w:lang w:val="pl-PL"/>
        </w:rPr>
        <w:t>rozmnożeniowego</w:t>
      </w:r>
      <w:proofErr w:type="spellEnd"/>
      <w:r w:rsidRPr="00EA7662">
        <w:rPr>
          <w:lang w:val="pl-PL"/>
        </w:rPr>
        <w:t xml:space="preserve"> („LMR”).</w:t>
      </w:r>
    </w:p>
    <w:p w:rsidR="006C354F" w:rsidRPr="006C354F" w:rsidRDefault="006C354F" w:rsidP="006C354F">
      <w:pPr>
        <w:pStyle w:val="Considrant"/>
        <w:rPr>
          <w:b/>
          <w:lang w:val="pl-PL"/>
        </w:rPr>
      </w:pPr>
      <w:r w:rsidRPr="00EA7662">
        <w:rPr>
          <w:lang w:val="pl-PL"/>
        </w:rPr>
        <w:t>(2)</w:t>
      </w:r>
      <w:r w:rsidRPr="00EA7662">
        <w:rPr>
          <w:lang w:val="pl-PL"/>
        </w:rPr>
        <w:tab/>
        <w:t xml:space="preserve">Lasy pokrywają około 45 % obszaru lądowego w Unii i pełnią wielofunkcyjną rolę obejmującą funkcje społeczne, gospodarcze, środowiskowe, ekologiczne i kulturowe. Lasy pełnią </w:t>
      </w:r>
      <w:r w:rsidRPr="00EA7662">
        <w:rPr>
          <w:b/>
          <w:i/>
          <w:lang w:val="pl-PL"/>
        </w:rPr>
        <w:t xml:space="preserve">– obok innych funkcji – </w:t>
      </w:r>
      <w:r w:rsidRPr="00EA7662">
        <w:rPr>
          <w:lang w:val="pl-PL"/>
        </w:rPr>
        <w:t xml:space="preserve">podstawową funkcję pochłaniacza dwutlenku węgla w polityce łagodzenia zmiany klimatu. LMR wysokiej jakości, dostosowany do klimatu i </w:t>
      </w:r>
      <w:proofErr w:type="spellStart"/>
      <w:r w:rsidRPr="00EA7662">
        <w:rPr>
          <w:strike/>
          <w:lang w:val="pl-PL"/>
        </w:rPr>
        <w:t>różnorodny</w:t>
      </w:r>
      <w:r w:rsidRPr="00EA7662">
        <w:rPr>
          <w:b/>
          <w:i/>
          <w:lang w:val="pl-PL"/>
        </w:rPr>
        <w:t>zróżnicowany</w:t>
      </w:r>
      <w:proofErr w:type="spellEnd"/>
      <w:r w:rsidRPr="00EA7662">
        <w:rPr>
          <w:lang w:val="pl-PL"/>
        </w:rPr>
        <w:t xml:space="preserve"> ma zasadnicze znaczenie dla zaspokojenia tych potrzeb.</w:t>
      </w:r>
      <w:r>
        <w:rPr>
          <w:b/>
          <w:lang w:val="pl-PL"/>
        </w:rPr>
        <w:t xml:space="preserve"> [Popr. 1]</w:t>
      </w:r>
    </w:p>
    <w:p w:rsidR="006C354F" w:rsidRPr="00EA7662" w:rsidRDefault="006C354F" w:rsidP="006C354F">
      <w:pPr>
        <w:pStyle w:val="Considrant"/>
        <w:rPr>
          <w:lang w:val="pl-PL"/>
        </w:rPr>
      </w:pPr>
      <w:r w:rsidRPr="00EA7662">
        <w:rPr>
          <w:lang w:val="pl-PL"/>
        </w:rPr>
        <w:t>(3)</w:t>
      </w:r>
      <w:r w:rsidRPr="00EA7662">
        <w:rPr>
          <w:lang w:val="pl-PL"/>
        </w:rPr>
        <w:tab/>
        <w:t xml:space="preserve">W świetle nowych osiągnięć technicznych i naukowych, aktualizacji przepisów dotyczących systemu certyfikacji leśnego materiału </w:t>
      </w:r>
      <w:proofErr w:type="spellStart"/>
      <w:r w:rsidRPr="00EA7662">
        <w:rPr>
          <w:lang w:val="pl-PL"/>
        </w:rPr>
        <w:t>rozmnożeniowego</w:t>
      </w:r>
      <w:proofErr w:type="spellEnd"/>
      <w:r w:rsidRPr="00EA7662">
        <w:rPr>
          <w:lang w:val="pl-PL"/>
        </w:rPr>
        <w:t xml:space="preserve"> przemieszczanego w handlu międzynarodowym Organizacji Współpracy Gospodarczej i Rozwoju (OECD)</w:t>
      </w:r>
      <w:r>
        <w:rPr>
          <w:rStyle w:val="FootnoteReference"/>
        </w:rPr>
        <w:footnoteReference w:id="6"/>
      </w:r>
      <w:r w:rsidRPr="00EA7662">
        <w:rPr>
          <w:lang w:val="pl-PL"/>
        </w:rPr>
        <w:t xml:space="preserve"> („system certyfikacji leśnego materiału </w:t>
      </w:r>
      <w:proofErr w:type="spellStart"/>
      <w:r w:rsidRPr="00EA7662">
        <w:rPr>
          <w:lang w:val="pl-PL"/>
        </w:rPr>
        <w:t>rozmnożeniowego</w:t>
      </w:r>
      <w:proofErr w:type="spellEnd"/>
      <w:r w:rsidRPr="00EA7662">
        <w:rPr>
          <w:lang w:val="pl-PL"/>
        </w:rPr>
        <w:t>”), nowych priorytetów politycznych Unii związanych ze zrównoważonym rozwojem, przystosowaniem się do zmiany klimatu i różnorodnością biologiczną oraz w szczególności Europejskiego Zielonego Ładu</w:t>
      </w:r>
      <w:r>
        <w:rPr>
          <w:rStyle w:val="FootnoteReference"/>
        </w:rPr>
        <w:footnoteReference w:id="7"/>
      </w:r>
      <w:r w:rsidRPr="00EA7662">
        <w:rPr>
          <w:lang w:val="pl-PL"/>
        </w:rPr>
        <w:t>, a także doświadczenia zdobytego podczas wdrażania dyrektywy 1999/105/WE, dyrektywę tę należy zastąpić nowym aktem. Aby jednolicie stosowano nowe przepisy w całej Unii, akt ten powinien mieć formę rozporządzenia.</w:t>
      </w:r>
    </w:p>
    <w:p w:rsidR="006C354F" w:rsidRDefault="006C354F">
      <w:pPr>
        <w:widowControl/>
        <w:rPr>
          <w:szCs w:val="24"/>
          <w:lang w:eastAsia="en-US"/>
        </w:rPr>
      </w:pPr>
      <w:r>
        <w:br w:type="page"/>
      </w:r>
    </w:p>
    <w:p w:rsidR="006C354F" w:rsidRPr="00EA7662" w:rsidRDefault="006C354F" w:rsidP="006C354F">
      <w:pPr>
        <w:pStyle w:val="Considrant"/>
        <w:rPr>
          <w:lang w:val="pl-PL"/>
        </w:rPr>
      </w:pPr>
      <w:r w:rsidRPr="00EA7662">
        <w:rPr>
          <w:lang w:val="pl-PL"/>
        </w:rPr>
        <w:lastRenderedPageBreak/>
        <w:t>(4)</w:t>
      </w:r>
      <w:r w:rsidRPr="00EA7662">
        <w:rPr>
          <w:lang w:val="pl-PL"/>
        </w:rPr>
        <w:tab/>
        <w:t xml:space="preserve">System certyfikacji leśnego materiału </w:t>
      </w:r>
      <w:proofErr w:type="spellStart"/>
      <w:r w:rsidRPr="00EA7662">
        <w:rPr>
          <w:lang w:val="pl-PL"/>
        </w:rPr>
        <w:t>rozmnożeniowego</w:t>
      </w:r>
      <w:proofErr w:type="spellEnd"/>
      <w:r w:rsidRPr="00EA7662">
        <w:rPr>
          <w:lang w:val="pl-PL"/>
        </w:rPr>
        <w:t xml:space="preserve"> ma na celu zachęcenie do produkcji i stosowania nasion, części roślin i roślin, które zostały zebrane, przetworzone i wprowadzone do obrotu w sposób zapewniający wysoką jakość i dostępność LMR. Ze względu na długość cykli życia lasu oraz koszt nasadzania i długoterminowych inwestycji w lasy konieczne jest, by leśnicy otrzymywali w pełni wiarygodne informacje na temat pochodzenia pierwotnego i cech genetycznych LMR, który wykorzystują do nasadzania. System certyfikacji leśnego materiału </w:t>
      </w:r>
      <w:proofErr w:type="spellStart"/>
      <w:r w:rsidRPr="00EA7662">
        <w:rPr>
          <w:lang w:val="pl-PL"/>
        </w:rPr>
        <w:t>rozmnożeniowego</w:t>
      </w:r>
      <w:proofErr w:type="spellEnd"/>
      <w:r w:rsidRPr="00EA7662">
        <w:rPr>
          <w:lang w:val="pl-PL"/>
        </w:rPr>
        <w:t xml:space="preserve"> zaspokaja tę potrzebę za pomocą certyfikacji i identyfikowalności. W istotny sposób pomaga on w przystosowaniu światowych lasów do zmieniających się warunków klimatycznych. Nacisk położono na zachowanie różnorodności gatunków i zapewnienie wysokiej różnorodności genetycznej w obrębie gatunków i partii materiału siewnego, co zwiększa potencjał adaptacyjny LMR na potrzeby przyszłego ponownego nasadzania obszaru drzewami („ponowne zalesianie”) oraz sadzenia nowych lasów („zalesianie”). Ponowne zalesianie może być konieczne w przypadku, gdy części istniejącego lasu zostały dotknięte ekstremalnymi zdarzeniami pogodowymi, pożarami środowiskowymi, chorobami i pojawami </w:t>
      </w:r>
      <w:proofErr w:type="spellStart"/>
      <w:r w:rsidRPr="00EA7662">
        <w:rPr>
          <w:lang w:val="pl-PL"/>
        </w:rPr>
        <w:t>agrofaga</w:t>
      </w:r>
      <w:proofErr w:type="spellEnd"/>
      <w:r w:rsidRPr="00EA7662">
        <w:rPr>
          <w:lang w:val="pl-PL"/>
        </w:rPr>
        <w:t xml:space="preserve"> lub innymi klęskami żywiołowymi.</w:t>
      </w:r>
    </w:p>
    <w:p w:rsidR="006C354F" w:rsidRDefault="006C354F">
      <w:pPr>
        <w:widowControl/>
        <w:rPr>
          <w:szCs w:val="24"/>
          <w:lang w:eastAsia="en-US"/>
        </w:rPr>
      </w:pPr>
      <w:r>
        <w:br w:type="page"/>
      </w:r>
    </w:p>
    <w:p w:rsidR="006C354F" w:rsidRPr="00EA7662" w:rsidRDefault="006C354F" w:rsidP="006C354F">
      <w:pPr>
        <w:pStyle w:val="Considrant"/>
        <w:rPr>
          <w:lang w:val="pl-PL"/>
        </w:rPr>
      </w:pPr>
      <w:r w:rsidRPr="00EA7662">
        <w:rPr>
          <w:lang w:val="pl-PL"/>
        </w:rPr>
        <w:lastRenderedPageBreak/>
        <w:t>(5)</w:t>
      </w:r>
      <w:r w:rsidRPr="00EA7662">
        <w:rPr>
          <w:lang w:val="pl-PL"/>
        </w:rPr>
        <w:tab/>
        <w:t>W Europejskim Zielonym Ładzie Komisja zobowiązuje się sprostać wyzwaniom związanym ze zmianą klimatu i środowiskiem. Ma on na celu przekształcenie gospodarki Unii z myślą o zrównoważonej przyszłości. Przepisy unijne dotyczące produkcji i wprowadzania do obrotu LMR muszą być zgodne z rozporządzeniem Parlamentu Europejskiego i Rady (UE) 2021/1119 w sprawie ustanowienia ram na potrzeby osiągnięcia neutralności klimatycznej</w:t>
      </w:r>
      <w:r>
        <w:rPr>
          <w:rStyle w:val="FootnoteReference"/>
        </w:rPr>
        <w:footnoteReference w:id="8"/>
      </w:r>
      <w:r w:rsidRPr="00EA7662">
        <w:rPr>
          <w:lang w:val="pl-PL"/>
        </w:rPr>
        <w:t xml:space="preserve"> oraz z trzema strategiami wdrażania Europejskiego Zielonego Ładu: nową strategią w zakresie przystosowania się do zmiany klimatu</w:t>
      </w:r>
      <w:r>
        <w:rPr>
          <w:rStyle w:val="FootnoteReference"/>
        </w:rPr>
        <w:footnoteReference w:id="9"/>
      </w:r>
      <w:r w:rsidRPr="00EA7662">
        <w:rPr>
          <w:lang w:val="pl-PL"/>
        </w:rPr>
        <w:t>, nową strategią leśną UE 2030</w:t>
      </w:r>
      <w:r>
        <w:rPr>
          <w:rStyle w:val="FootnoteReference"/>
        </w:rPr>
        <w:footnoteReference w:id="10"/>
      </w:r>
      <w:r w:rsidRPr="00EA7662">
        <w:rPr>
          <w:lang w:val="pl-PL"/>
        </w:rPr>
        <w:t xml:space="preserve"> oraz unijną strategią na rzecz bioróżnorodności 2030</w:t>
      </w:r>
      <w:r>
        <w:rPr>
          <w:rStyle w:val="FootnoteReference"/>
        </w:rPr>
        <w:footnoteReference w:id="11"/>
      </w:r>
      <w:r w:rsidRPr="00EA7662">
        <w:rPr>
          <w:lang w:val="pl-PL"/>
        </w:rPr>
        <w:t>.</w:t>
      </w:r>
    </w:p>
    <w:p w:rsidR="006C354F" w:rsidRPr="00EA7662" w:rsidRDefault="006C354F" w:rsidP="006C354F">
      <w:pPr>
        <w:pStyle w:val="Considrant"/>
        <w:rPr>
          <w:lang w:val="pl-PL"/>
        </w:rPr>
      </w:pPr>
      <w:r w:rsidRPr="00EA7662">
        <w:rPr>
          <w:lang w:val="pl-PL"/>
        </w:rPr>
        <w:t>(6)</w:t>
      </w:r>
      <w:r w:rsidRPr="00EA7662">
        <w:rPr>
          <w:lang w:val="pl-PL"/>
        </w:rPr>
        <w:tab/>
        <w:t>Rozporządzenie (UE) 2021/1119 zawiera wymóg, by odpowiednie instytucje Unii i państwa członkowskie zapewniały ciągłe postępy w zwiększaniu zdolności przystosowawczych, wzmacnianiu odporności i zmniejszaniu podatności na zmianę klimatu. Jednym z celów nowej strategii UE w zakresie przystosowania się do zmiany klimatu jest zatem przyspieszenie osiągnięcia przez Unię zdolności przystosowania się do zmiany klimatu, między innymi przez zmianę przepisów dotyczących LMR. Prawodawstwo Unii powinno zachęcać do produkcji i wprowadzania do obrotu LMR w całej Unii. W tym celu należy znieść określoną w dyrektywie 1999/105/WE możliwość, by państwa członkowskie ograniczały zatwierdzanie pewnego materiału podstawowego oraz zakazywały wprowadzania do obrotu pewnego LMR dla użytkowników ostatecznych.</w:t>
      </w:r>
    </w:p>
    <w:p w:rsidR="006C354F" w:rsidRDefault="006C354F">
      <w:pPr>
        <w:widowControl/>
        <w:rPr>
          <w:szCs w:val="24"/>
          <w:lang w:eastAsia="en-US"/>
        </w:rPr>
      </w:pPr>
      <w:r>
        <w:br w:type="page"/>
      </w:r>
    </w:p>
    <w:p w:rsidR="006C354F" w:rsidRPr="00EA7662" w:rsidRDefault="006C354F" w:rsidP="006C354F">
      <w:pPr>
        <w:pStyle w:val="Considrant"/>
        <w:rPr>
          <w:lang w:val="pl-PL"/>
        </w:rPr>
      </w:pPr>
      <w:r w:rsidRPr="00EA7662">
        <w:rPr>
          <w:lang w:val="pl-PL"/>
        </w:rPr>
        <w:lastRenderedPageBreak/>
        <w:t>(7)</w:t>
      </w:r>
      <w:r w:rsidRPr="00EA7662">
        <w:rPr>
          <w:lang w:val="pl-PL"/>
        </w:rPr>
        <w:tab/>
        <w:t>Do głównych celów nowej strategii leśnej UE 2030 należy skuteczne zalesianie oraz ochrona i odbudowa lasów w Unii, aby zwiększyć pochłanianie CO</w:t>
      </w:r>
      <w:r w:rsidRPr="00EA7662">
        <w:rPr>
          <w:vertAlign w:val="subscript"/>
          <w:lang w:val="pl-PL"/>
        </w:rPr>
        <w:t>2</w:t>
      </w:r>
      <w:r w:rsidRPr="00EA7662">
        <w:rPr>
          <w:lang w:val="pl-PL"/>
        </w:rPr>
        <w:t xml:space="preserve">, ograniczyć liczbę i zasięg pożarów lasów oraz promować </w:t>
      </w:r>
      <w:proofErr w:type="spellStart"/>
      <w:r w:rsidRPr="00EA7662">
        <w:rPr>
          <w:lang w:val="pl-PL"/>
        </w:rPr>
        <w:t>biogospodarkę</w:t>
      </w:r>
      <w:proofErr w:type="spellEnd"/>
      <w:r w:rsidRPr="00EA7662">
        <w:rPr>
          <w:lang w:val="pl-PL"/>
        </w:rPr>
        <w:t>, przy pełnym poszanowaniu zasad ekologicznych, które sprzyjają bioróżnorodności. Zapewnienie odbudowy lasów i wzmocnienie zrównoważonej gospodarki leśnej mają kluczowe znaczenie dla przystosowania się do zmiany klimatu i dla odporności lasów. W tym względzie w nowej strategii leśnej UE 2030 stwierdzono, że dostosowanie lasów do zmiany klimatu i odbudowa lasów po szkodach spowodowanych zmianą klimatu będą wymagały znacznych ilości odpowiedniego LMR. Oznacza to podjęcie działań w celu ochrony i zrównoważonego korzystania z leśnych zasobów genetycznych, od których zależy leśnictwo bardziej odporne na zmianę klimatu. Potrzebne są również działania na rzecz zwiększenia produkcji i dostępności takiego LMR, udzielania lepszych informacji na temat jego dostosowania do warunków klimatycznych i ekologicznych oraz zwiększenia zakresu jego wspólnej produkcji i przekazywania poza granice krajowe w Unii. Należy zatem zobowiązać podmioty profesjonalne do udzielania użytkownikom z wyprzedzeniem informacji na temat dostosowania LMR do warunków klimatycznych i ekologicznych.</w:t>
      </w:r>
    </w:p>
    <w:p w:rsidR="006C354F" w:rsidRDefault="006C354F">
      <w:pPr>
        <w:widowControl/>
        <w:rPr>
          <w:szCs w:val="24"/>
          <w:lang w:eastAsia="en-US"/>
        </w:rPr>
      </w:pPr>
      <w:r>
        <w:br w:type="page"/>
      </w:r>
    </w:p>
    <w:p w:rsidR="006C354F" w:rsidRPr="006C354F" w:rsidRDefault="006C354F" w:rsidP="006C354F">
      <w:pPr>
        <w:pStyle w:val="Considrant"/>
        <w:rPr>
          <w:b/>
          <w:lang w:val="pl-PL"/>
        </w:rPr>
      </w:pPr>
      <w:r w:rsidRPr="00EA7662">
        <w:rPr>
          <w:lang w:val="pl-PL"/>
        </w:rPr>
        <w:lastRenderedPageBreak/>
        <w:t>(8)</w:t>
      </w:r>
      <w:r w:rsidRPr="00EA7662">
        <w:rPr>
          <w:lang w:val="pl-PL"/>
        </w:rPr>
        <w:tab/>
        <w:t>Unijna strategia na rzecz bioróżnorodności 2030 ma na celu wprowadzenie unijnej różnorodności biologicznej na drogę odbudowy do 2030 r. W ramach tej strategii w prawodawstwie Unii należy kłaść nacisk na zachowanie różnorodności gatunków oraz zapewnienie</w:t>
      </w:r>
      <w:r w:rsidRPr="00EA7662">
        <w:rPr>
          <w:b/>
          <w:i/>
          <w:lang w:val="pl-PL"/>
        </w:rPr>
        <w:t xml:space="preserve"> wysokiej jakości genetycznej i</w:t>
      </w:r>
      <w:r w:rsidRPr="00EA7662">
        <w:rPr>
          <w:lang w:val="pl-PL"/>
        </w:rPr>
        <w:t xml:space="preserve"> znacznej różnorodności genetycznej w obrębie gatunków i partii materiału siewnego. Ma to na celu ułatwienie dostaw wysokiej jakości i zróżnicowanego genetycznie LMR, który jest dostosowany do obecnych i prognozowanych przyszłych warunków klimatycznych. Ochrona oraz zwiększenie różnorodności biologicznej lasów, w tym różnorodności genetycznej drzew, mają zasadnicze znaczenie dla zrównoważonej gospodarki leśnej oraz przystosowania lasów do zmiany klimatu. Gatunki drzew i sztuczne mieszańce objęte zakresem niniejszego rozporządzenia powinny być dopasowane pod względem genetycznym do lokalnych warunków i wyróżniać się wysoką jakością.</w:t>
      </w:r>
      <w:r>
        <w:rPr>
          <w:b/>
          <w:lang w:val="pl-PL"/>
        </w:rPr>
        <w:t xml:space="preserve"> [Popr. 2]</w:t>
      </w:r>
    </w:p>
    <w:p w:rsidR="006C354F" w:rsidRPr="00EA7662" w:rsidRDefault="006C354F" w:rsidP="006C354F">
      <w:pPr>
        <w:pStyle w:val="Considrant"/>
        <w:rPr>
          <w:lang w:val="pl-PL"/>
        </w:rPr>
      </w:pPr>
      <w:r w:rsidRPr="00EA7662">
        <w:rPr>
          <w:lang w:val="pl-PL"/>
        </w:rPr>
        <w:t>(9)</w:t>
      </w:r>
      <w:r w:rsidRPr="00EA7662">
        <w:rPr>
          <w:lang w:val="pl-PL"/>
        </w:rPr>
        <w:tab/>
        <w:t>Istnieje długoterminowy wymiar transgraniczny wynikający z faktu, że w nadchodzących dziesięcioleciach oczekuje się znacznego przyspieszenia zaobserwowanego już przemieszczania się na północ stref wegetacyjnych. Niniejsze rozporządzenie zawiera więc wymóg udzielania informacji na temat stref, w których można sadzić nasiona, lub dostosowania LMR do lokalnych warunków, co byłoby niezwykle przydatne dla leśników. Właściwe organy powinny zatem wyznaczyć strefy, wskazując, że w tych strefach nasiona są dostosowane do lokalnych warunków i mogą być wysiewane („strefy transferu nasion”). Podobnie powinny one wyznaczyć obszary, wskazując, że na tych obszarach LMR jest dostosowany do warunków lokalnych („obszar wprowadzania”).</w:t>
      </w:r>
    </w:p>
    <w:p w:rsidR="006C354F" w:rsidRDefault="006C354F">
      <w:pPr>
        <w:widowControl/>
        <w:rPr>
          <w:szCs w:val="24"/>
          <w:lang w:eastAsia="en-US"/>
        </w:rPr>
      </w:pPr>
      <w:r>
        <w:br w:type="page"/>
      </w:r>
    </w:p>
    <w:p w:rsidR="006C354F" w:rsidRPr="00EA7662" w:rsidRDefault="006C354F" w:rsidP="006C354F">
      <w:pPr>
        <w:pStyle w:val="Considrant"/>
        <w:rPr>
          <w:lang w:val="pl-PL"/>
        </w:rPr>
      </w:pPr>
      <w:r w:rsidRPr="00EA7662">
        <w:rPr>
          <w:lang w:val="pl-PL"/>
        </w:rPr>
        <w:lastRenderedPageBreak/>
        <w:t>(10)</w:t>
      </w:r>
      <w:r w:rsidRPr="00EA7662">
        <w:rPr>
          <w:lang w:val="pl-PL"/>
        </w:rPr>
        <w:tab/>
        <w:t>W dyrektywie 1999/105/WE definiuje się LMR w odniesieniu do jego znaczenia dla celów leśnictwa w całej Unii lub w jej części, ale dyrektywa nie precyzuje tych celów leśnictwa. Dla zachowania jasności w zakresie niniejszego rozporządzenia ujęto cele, dla których istotne jest stosowanie wysokiej jakości LMR.</w:t>
      </w:r>
    </w:p>
    <w:p w:rsidR="006C354F" w:rsidRPr="00EA7662" w:rsidRDefault="006C354F" w:rsidP="006C354F">
      <w:pPr>
        <w:pStyle w:val="Considrant"/>
        <w:rPr>
          <w:lang w:val="pl-PL"/>
        </w:rPr>
      </w:pPr>
      <w:r w:rsidRPr="00EA7662">
        <w:rPr>
          <w:lang w:val="pl-PL"/>
        </w:rPr>
        <w:t>(11)</w:t>
      </w:r>
      <w:r w:rsidRPr="00EA7662">
        <w:rPr>
          <w:lang w:val="pl-PL"/>
        </w:rPr>
        <w:tab/>
        <w:t>LMR może być produkowany na potrzeby zalesiania/ponownego zalesiania oraz innych rodzajów sadzenia drzew oraz w wielu innych celach, takich jak produkcja drewna i biomateriałów, ochrona różnorodności biologicznej, odbudowa ekosystemów leśnych, przystosowanie się do zmiany klimatu, łagodzenie zmiany klimatu oraz ochrona i zrównoważonego użytkowania leśnych zasobów genetycznych.</w:t>
      </w:r>
    </w:p>
    <w:p w:rsidR="006C354F" w:rsidRPr="00EA7662" w:rsidRDefault="006C354F" w:rsidP="006C354F">
      <w:pPr>
        <w:pStyle w:val="Considrant"/>
        <w:rPr>
          <w:lang w:val="pl-PL"/>
        </w:rPr>
      </w:pPr>
      <w:r w:rsidRPr="00EA7662">
        <w:rPr>
          <w:lang w:val="pl-PL"/>
        </w:rPr>
        <w:t>(12)</w:t>
      </w:r>
      <w:r w:rsidRPr="00EA7662">
        <w:rPr>
          <w:lang w:val="pl-PL"/>
        </w:rPr>
        <w:tab/>
        <w:t>Badania naukowe wykazały, że ocena i zatwierdzenie materiału podstawowego z uwzględnieniem konkretnego celu, w jakim LMR będzie stosowany, ma największe znaczenie. Ponadto sadzenie wysokiej jakości LMR we właściwym miejscu ma pozytywny wpływ na cel, w jakim wykorzystywany jest dany LMR. „We właściwym miejscu” oznacza, że dany LMR jest dopasowany pod względem genetycznym i fenotypowym do obszaru, na którym jest uprawiany, z uwzględnieniem odpowiednich dotyczących go prognoz klimatycznych.</w:t>
      </w:r>
    </w:p>
    <w:p w:rsidR="006845F1" w:rsidRDefault="006845F1">
      <w:pPr>
        <w:widowControl/>
        <w:rPr>
          <w:szCs w:val="24"/>
          <w:lang w:eastAsia="en-US"/>
        </w:rPr>
      </w:pPr>
      <w:r>
        <w:br w:type="page"/>
      </w:r>
    </w:p>
    <w:p w:rsidR="006C354F" w:rsidRPr="00EA7662" w:rsidRDefault="006C354F" w:rsidP="006C354F">
      <w:pPr>
        <w:pStyle w:val="Considrant"/>
        <w:rPr>
          <w:lang w:val="pl-PL"/>
        </w:rPr>
      </w:pPr>
      <w:r w:rsidRPr="00EA7662">
        <w:rPr>
          <w:lang w:val="pl-PL"/>
        </w:rPr>
        <w:lastRenderedPageBreak/>
        <w:t>(13)</w:t>
      </w:r>
      <w:r w:rsidRPr="00EA7662">
        <w:rPr>
          <w:lang w:val="pl-PL"/>
        </w:rPr>
        <w:tab/>
        <w:t>Aby zapewnić wystarczające dostawy LMR w odpowiedzi na zwiększone zapotrzebowanie na LMR konieczne jest usunięcie wszelkich rzeczywistych lub potencjalnych barier w handlu, które mogą ograniczać swobodny przepływ LMR na terenie Unii. Cel ten można osiągnąć tylko w przypadku wprowadzania najwyższych możliwych standardów w odpowiednich przepisach unijnych dotyczących LMR.</w:t>
      </w:r>
    </w:p>
    <w:p w:rsidR="006C354F" w:rsidRPr="00EA7662" w:rsidRDefault="006C354F" w:rsidP="006C354F">
      <w:pPr>
        <w:pStyle w:val="Considrant"/>
        <w:rPr>
          <w:lang w:val="pl-PL"/>
        </w:rPr>
      </w:pPr>
      <w:r w:rsidRPr="00EA7662">
        <w:rPr>
          <w:lang w:val="pl-PL"/>
        </w:rPr>
        <w:t>(14)</w:t>
      </w:r>
      <w:r w:rsidRPr="00EA7662">
        <w:rPr>
          <w:lang w:val="pl-PL"/>
        </w:rPr>
        <w:tab/>
        <w:t>Przepisy unijne dotyczące produkcji i wprowadzania do obrotu LMR powinny uwzględniać praktyczne potrzeby i mieć zastosowanie wyłącznie do niektórych gatunków i sztucznych mieszańców wymienionych w załączniku I do niniejszego rozporządzenia. Te gatunki i sztuczne mieszańce są ważne dla produkcji LMR na potrzeby zalesiania, ponownego zalesiania i innych rodzajów sadzenia drzew do celów produkcji drewna i biomateriałów, ochrony różnorodności biologicznej, odbudowy ekosystemów leśnych, przystosowania się do zmiany klimatu, łagodzenia zmiany klimatu oraz ochrony i zrównoważonego użytkowania leśnych zasobów genetycznych.</w:t>
      </w:r>
    </w:p>
    <w:p w:rsidR="006C354F" w:rsidRPr="00EA7662" w:rsidRDefault="006C354F" w:rsidP="006C354F">
      <w:pPr>
        <w:pStyle w:val="Considrant"/>
        <w:rPr>
          <w:lang w:val="pl-PL"/>
        </w:rPr>
      </w:pPr>
      <w:r w:rsidRPr="00EA7662">
        <w:rPr>
          <w:lang w:val="pl-PL"/>
        </w:rPr>
        <w:t>(15)</w:t>
      </w:r>
      <w:r w:rsidRPr="00EA7662">
        <w:rPr>
          <w:lang w:val="pl-PL"/>
        </w:rPr>
        <w:tab/>
        <w:t>Celem niniejszego rozporządzenia jest zapewnienie produkcji i wprowadzania do obrotu wysokiej jakości LMR. Aby wspierać tworzenie odpornych lasów i odbudowę ekosystemów leśnych, użytkownicy powinni być informowani przed zakupem LMR o odpowiedniości tego LMR w odniesieniu do warunków klimatycznych i ekologicznych obszaru, na którym będzie on wykorzystywany.</w:t>
      </w:r>
    </w:p>
    <w:p w:rsidR="006845F1" w:rsidRDefault="006845F1">
      <w:pPr>
        <w:widowControl/>
        <w:rPr>
          <w:szCs w:val="24"/>
          <w:lang w:eastAsia="en-US"/>
        </w:rPr>
      </w:pPr>
      <w:r>
        <w:br w:type="page"/>
      </w:r>
    </w:p>
    <w:p w:rsidR="006C354F" w:rsidRPr="00EA7662" w:rsidRDefault="006C354F" w:rsidP="006C354F">
      <w:pPr>
        <w:pStyle w:val="Considrant"/>
        <w:rPr>
          <w:lang w:val="pl-PL"/>
        </w:rPr>
      </w:pPr>
      <w:r w:rsidRPr="00EA7662">
        <w:rPr>
          <w:lang w:val="pl-PL"/>
        </w:rPr>
        <w:lastRenderedPageBreak/>
        <w:t>(16)</w:t>
      </w:r>
      <w:r w:rsidRPr="00EA7662">
        <w:rPr>
          <w:lang w:val="pl-PL"/>
        </w:rPr>
        <w:tab/>
        <w:t xml:space="preserve">Aby zapewnić przystosowanie certyfikowanego LMR do warunków klimatycznych i ekologicznych obszaru, na którym zostanie posadzony, właściwe organy powinny podczas procedury zatwierdzania tego materiału podstawowego ocenić jego właściwości związane ze zrównoważonym rozwojem. Te właściwości związane ze zrównoważonym rozwojem powinny dotyczyć dostosowania tego materiału podstawowego do warunków klimatycznych i ekologicznych oraz braku </w:t>
      </w:r>
      <w:proofErr w:type="spellStart"/>
      <w:r w:rsidRPr="00EA7662">
        <w:rPr>
          <w:lang w:val="pl-PL"/>
        </w:rPr>
        <w:t>agrofagów</w:t>
      </w:r>
      <w:proofErr w:type="spellEnd"/>
      <w:r w:rsidRPr="00EA7662">
        <w:rPr>
          <w:lang w:val="pl-PL"/>
        </w:rPr>
        <w:t xml:space="preserve"> i oznak ich występowania w przypadku drzew.</w:t>
      </w:r>
    </w:p>
    <w:p w:rsidR="006C354F" w:rsidRPr="00EA7662" w:rsidRDefault="006C354F" w:rsidP="006C354F">
      <w:pPr>
        <w:pStyle w:val="Considrant"/>
        <w:rPr>
          <w:lang w:val="pl-PL"/>
        </w:rPr>
      </w:pPr>
      <w:r w:rsidRPr="00EA7662">
        <w:rPr>
          <w:lang w:val="pl-PL"/>
        </w:rPr>
        <w:t>(17)</w:t>
      </w:r>
      <w:r w:rsidRPr="00EA7662">
        <w:rPr>
          <w:lang w:val="pl-PL"/>
        </w:rPr>
        <w:tab/>
        <w:t>Aby zapewnić najwyższą możliwą jakość, LMR powinien być zbierany wyłącznie z materiału podstawowego ocenionego i zatwierdzonego przez właściwe organy. Zatwierdzony materiał podstawowy należy zarejestrować w rejestrze krajowym i nadać mu niepowtarzalny odnośnik w tym rejestrze oraz podać odniesienie do jednostki zatwierdzenia.</w:t>
      </w:r>
    </w:p>
    <w:p w:rsidR="006C354F" w:rsidRPr="006845F1" w:rsidRDefault="006C354F" w:rsidP="006C354F">
      <w:pPr>
        <w:pStyle w:val="Considrant"/>
        <w:rPr>
          <w:b/>
          <w:lang w:val="pl-PL"/>
        </w:rPr>
      </w:pPr>
      <w:r w:rsidRPr="00EA7662">
        <w:rPr>
          <w:b/>
          <w:i/>
          <w:lang w:val="pl-PL"/>
        </w:rPr>
        <w:t>(17a)</w:t>
      </w:r>
      <w:r w:rsidRPr="00EA7662">
        <w:rPr>
          <w:lang w:val="pl-PL"/>
        </w:rPr>
        <w:tab/>
      </w:r>
      <w:r w:rsidRPr="00EA7662">
        <w:rPr>
          <w:b/>
          <w:i/>
          <w:lang w:val="pl-PL"/>
        </w:rPr>
        <w:t>Aby zachować jakoś materiału siewnego, opakowania powinny być tak projektowane, by po otwarciu stawały się niezdatne do użytku, dzięki czemu będzie można zapewnić, by użytkownicy byli świadomi wszelkich prób ingerencji w nasiona, a także zachęcać ich do właściwego wykorzystania całej zawartości, co pozwoli uniknąć niewłaściwego przechowywania nasion lub ich wykorzystania w sytuacji, gdy mogły ulec zepsuciu.</w:t>
      </w:r>
      <w:r w:rsidR="006845F1">
        <w:rPr>
          <w:b/>
          <w:lang w:val="pl-PL"/>
        </w:rPr>
        <w:t xml:space="preserve"> [</w:t>
      </w:r>
      <w:r w:rsidR="00A0113C">
        <w:rPr>
          <w:b/>
          <w:lang w:val="pl-PL"/>
        </w:rPr>
        <w:t>Popr.</w:t>
      </w:r>
      <w:r w:rsidR="006845F1">
        <w:rPr>
          <w:b/>
          <w:lang w:val="pl-PL"/>
        </w:rPr>
        <w:t> 3]</w:t>
      </w:r>
    </w:p>
    <w:p w:rsidR="006845F1" w:rsidRDefault="006845F1">
      <w:pPr>
        <w:widowControl/>
        <w:rPr>
          <w:szCs w:val="24"/>
          <w:lang w:eastAsia="en-US"/>
        </w:rPr>
      </w:pPr>
      <w:r>
        <w:br w:type="page"/>
      </w:r>
    </w:p>
    <w:p w:rsidR="006C354F" w:rsidRPr="00EA7662" w:rsidRDefault="006C354F" w:rsidP="006C354F">
      <w:pPr>
        <w:pStyle w:val="Considrant"/>
        <w:rPr>
          <w:lang w:val="pl-PL"/>
        </w:rPr>
      </w:pPr>
      <w:r w:rsidRPr="00EA7662">
        <w:rPr>
          <w:lang w:val="pl-PL"/>
        </w:rPr>
        <w:lastRenderedPageBreak/>
        <w:t>(18)</w:t>
      </w:r>
      <w:r w:rsidRPr="00EA7662">
        <w:rPr>
          <w:lang w:val="pl-PL"/>
        </w:rPr>
        <w:tab/>
        <w:t xml:space="preserve">Aby dostosować się do rozwoju naukowego i technicznego norm międzynarodowych, należy w ramach procedury zatwierdzania materiału podstawowego uwzględnić – jako metodę uzupełniającą – wykorzystanie technik </w:t>
      </w:r>
      <w:proofErr w:type="spellStart"/>
      <w:r w:rsidRPr="00EA7662">
        <w:rPr>
          <w:lang w:val="pl-PL"/>
        </w:rPr>
        <w:t>biomolekularnych</w:t>
      </w:r>
      <w:proofErr w:type="spellEnd"/>
      <w:r w:rsidRPr="00EA7662">
        <w:rPr>
          <w:lang w:val="pl-PL"/>
        </w:rPr>
        <w:t xml:space="preserve">. Powinno się dopuścić stosowanie tych technik </w:t>
      </w:r>
      <w:proofErr w:type="spellStart"/>
      <w:r w:rsidRPr="00EA7662">
        <w:rPr>
          <w:lang w:val="pl-PL"/>
        </w:rPr>
        <w:t>biomolekularnych</w:t>
      </w:r>
      <w:proofErr w:type="spellEnd"/>
      <w:r w:rsidRPr="00EA7662">
        <w:rPr>
          <w:lang w:val="pl-PL"/>
        </w:rPr>
        <w:t xml:space="preserve"> do celów oceny pochodzenia pierwotnego materiału podstawowego lub do celów badań przesiewowych materiału podstawowego z wykorzystaniem markerów molekularnych pod kątem obecności cech odporności na choroby.</w:t>
      </w:r>
    </w:p>
    <w:p w:rsidR="006C354F" w:rsidRPr="00EA7662" w:rsidRDefault="006C354F" w:rsidP="006C354F">
      <w:pPr>
        <w:pStyle w:val="Considrant"/>
        <w:rPr>
          <w:lang w:val="pl-PL"/>
        </w:rPr>
      </w:pPr>
      <w:r w:rsidRPr="00EA7662">
        <w:rPr>
          <w:lang w:val="pl-PL"/>
        </w:rPr>
        <w:t>(19)</w:t>
      </w:r>
      <w:r w:rsidRPr="00EA7662">
        <w:rPr>
          <w:lang w:val="pl-PL"/>
        </w:rPr>
        <w:tab/>
        <w:t>Właściwe organy odpowiednich państw członkowskich powinny wydać certyfikat dla całego LMR pochodzącego (tj. zebranego) z zatwierdzonego materiału podstawowego. Taki certyfikat zapewnia identyfikację LMR, zawiera informacje o jego pochodzeniu pierwotnym oraz najbardziej odpowiednie szczegółowe informacje dla jego użytkowników i właściwych organów odpowiedzialnych za jego kontrolę urzędową. Należy zezwolić na wydawanie certyfikatu w formie elektronicznej.</w:t>
      </w:r>
    </w:p>
    <w:p w:rsidR="006C354F" w:rsidRPr="006845F1" w:rsidRDefault="006C354F" w:rsidP="006C354F">
      <w:pPr>
        <w:pStyle w:val="Considrant"/>
        <w:rPr>
          <w:b/>
          <w:lang w:val="pl-PL"/>
        </w:rPr>
      </w:pPr>
      <w:r w:rsidRPr="00EA7662">
        <w:rPr>
          <w:b/>
          <w:i/>
          <w:lang w:val="pl-PL"/>
        </w:rPr>
        <w:t>(19a)</w:t>
      </w:r>
      <w:r w:rsidRPr="00EA7662">
        <w:rPr>
          <w:lang w:val="pl-PL"/>
        </w:rPr>
        <w:tab/>
      </w:r>
      <w:r w:rsidRPr="00EA7662">
        <w:rPr>
          <w:b/>
          <w:i/>
          <w:lang w:val="pl-PL"/>
        </w:rPr>
        <w:t>Każde państwo członkowskie powinno ustanowić i aktualizować wykaz krajowy wydanych certyfikatów oraz udostępniać ten wykaz Komisji i właściwym organom krajowym wszystkich pozostałych państw członkowskich.</w:t>
      </w:r>
      <w:r w:rsidR="006845F1">
        <w:rPr>
          <w:b/>
          <w:lang w:val="pl-PL"/>
        </w:rPr>
        <w:t xml:space="preserve"> [</w:t>
      </w:r>
      <w:r w:rsidR="00A0113C">
        <w:rPr>
          <w:b/>
          <w:lang w:val="pl-PL"/>
        </w:rPr>
        <w:t>Popr.</w:t>
      </w:r>
      <w:r w:rsidR="006845F1">
        <w:rPr>
          <w:b/>
          <w:lang w:val="pl-PL"/>
        </w:rPr>
        <w:t> 4]</w:t>
      </w:r>
    </w:p>
    <w:p w:rsidR="006845F1" w:rsidRDefault="006845F1">
      <w:pPr>
        <w:widowControl/>
        <w:rPr>
          <w:szCs w:val="24"/>
          <w:lang w:eastAsia="en-US"/>
        </w:rPr>
      </w:pPr>
      <w:r>
        <w:br w:type="page"/>
      </w:r>
    </w:p>
    <w:p w:rsidR="006C354F" w:rsidRPr="006C354F" w:rsidRDefault="006C354F" w:rsidP="006C354F">
      <w:pPr>
        <w:pStyle w:val="Considrant"/>
        <w:rPr>
          <w:lang w:val="pl-PL"/>
        </w:rPr>
      </w:pPr>
      <w:r w:rsidRPr="006C354F">
        <w:rPr>
          <w:lang w:val="pl-PL"/>
        </w:rPr>
        <w:lastRenderedPageBreak/>
        <w:t>(20)</w:t>
      </w:r>
      <w:r w:rsidRPr="006C354F">
        <w:rPr>
          <w:lang w:val="pl-PL"/>
        </w:rPr>
        <w:tab/>
        <w:t>Tylko LMR zebrany z zatwierdzonego materiału podstawowego należy dopuścić do dalszej certyfikacji i wprowadzenia do obrotu. LMR musi być certyfikowany jako materiał „ze zidentyfikowanego źródła”, „wyselekcjonowany”, „kwalifikowany” i „przetestowany” przez właściwe organy i wprowadzany do obrotu z odniesieniem do tych kategorii. Te rodzaje kategorii wskazują, które z cech materiału podstawowego oceniono, oraz wskazują jakość LMR. W przypadku LMR niższej jakości (kategorie materiału „ze zidentyfikowanego źródła” i „wyselekcjonowany”) materiał podstawowy sprawdza się pod kątem podstawowych cech. W przypadku LMR wyższej jakości (kategorie materiału „kwalifikowany” i „przetestowany”) drzewa rodzicielskie zostaną wyselekcjonowane pod kątem wyjątkowych cech i zaplanowane zostaną wzory krzyżowania. W przypadku LMR kategorii „kwalifikowany”, wyższość LMR zostaje oszacowana na podstawie cech drzew rodzicielskich. W przypadku materiału kategorii „przetestowany” wyższość LMR musi być wykazana albo przez porównanie z materiałem podstawowym, z którego zebrano odnośny LMR, albo z populacją referencyjną. Kategorie LMR „ze zidentyfikowanego źródła”, „wyselekcjonowany”, „kwalifikowany” i „przetestowany” powinny podlegać jednolitym wymogom w zakresie produkcji i wprowadzania do obrotu, aby zapewnić przejrzystość, równe warunki konkurencji i integralność rynku wewnętrznego.</w:t>
      </w:r>
    </w:p>
    <w:p w:rsidR="006845F1" w:rsidRDefault="006845F1">
      <w:pPr>
        <w:widowControl/>
        <w:rPr>
          <w:szCs w:val="24"/>
          <w:lang w:eastAsia="en-US"/>
        </w:rPr>
      </w:pPr>
      <w:r>
        <w:br w:type="page"/>
      </w:r>
    </w:p>
    <w:p w:rsidR="006C354F" w:rsidRPr="006C354F" w:rsidRDefault="006C354F" w:rsidP="006C354F">
      <w:pPr>
        <w:pStyle w:val="Considrant"/>
        <w:rPr>
          <w:lang w:val="pl-PL"/>
        </w:rPr>
      </w:pPr>
      <w:r w:rsidRPr="006C354F">
        <w:rPr>
          <w:lang w:val="pl-PL"/>
        </w:rPr>
        <w:lastRenderedPageBreak/>
        <w:t>(21)</w:t>
      </w:r>
      <w:r w:rsidRPr="006C354F">
        <w:rPr>
          <w:lang w:val="pl-PL"/>
        </w:rPr>
        <w:tab/>
        <w:t>Powinno się wyjaśnić zasady certyfikacji w przypadku LMR, który wyprodukowano przy użyciu innowacyjnych procesów produkcji, a w szczególności technik produkcji LMR służących do produkcji określonego rodzaju LMR, a mianowicie klonów. Ponieważ miejsce produkcji tych klonów może różnić się od lokalizacji pierwotnego drzewa (tj. materiału podstawowego), z którego uzyskano klon lub klony, należy zmienić zasady aby zapewnić identyfikowalność.</w:t>
      </w:r>
    </w:p>
    <w:p w:rsidR="006C354F" w:rsidRPr="006845F1" w:rsidRDefault="006C354F" w:rsidP="006C354F">
      <w:pPr>
        <w:pStyle w:val="Considrant"/>
        <w:rPr>
          <w:b/>
          <w:lang w:val="pl-PL"/>
        </w:rPr>
      </w:pPr>
      <w:r w:rsidRPr="006C354F">
        <w:rPr>
          <w:lang w:val="pl-PL"/>
        </w:rPr>
        <w:t>(22)</w:t>
      </w:r>
      <w:r w:rsidRPr="006C354F">
        <w:rPr>
          <w:lang w:val="pl-PL"/>
        </w:rPr>
        <w:tab/>
        <w:t xml:space="preserve">Wymogi dotyczące materiału podstawowego przeznaczonego do celów ochrony i zrównoważonego użytkowania leśnych zasobów genetycznych różnią się od wymogów dotyczących materiału podstawowego przeznaczonego do produkcji LMR do celów komercyjnych ze względu na odmienne kryteria selekcji stosowane w odniesieniu do każdego z tych dwóch rodzajów materiału podstawowego. W celu ochrony i zrównoważonego korzystania z leśnych zasobów genetycznych należy zachować </w:t>
      </w:r>
      <w:r w:rsidRPr="006C354F">
        <w:rPr>
          <w:strike/>
          <w:lang w:val="pl-PL"/>
        </w:rPr>
        <w:t xml:space="preserve">wszystkie </w:t>
      </w:r>
      <w:proofErr w:type="spellStart"/>
      <w:r w:rsidRPr="006C354F">
        <w:rPr>
          <w:strike/>
          <w:lang w:val="pl-PL"/>
        </w:rPr>
        <w:t>drzewa</w:t>
      </w:r>
      <w:r w:rsidRPr="006C354F">
        <w:rPr>
          <w:b/>
          <w:i/>
          <w:lang w:val="pl-PL"/>
        </w:rPr>
        <w:t>maksymalną</w:t>
      </w:r>
      <w:proofErr w:type="spellEnd"/>
      <w:r w:rsidRPr="006C354F">
        <w:rPr>
          <w:b/>
          <w:i/>
          <w:lang w:val="pl-PL"/>
        </w:rPr>
        <w:t xml:space="preserve"> liczbę drzew</w:t>
      </w:r>
      <w:r w:rsidRPr="006C354F">
        <w:rPr>
          <w:lang w:val="pl-PL"/>
        </w:rPr>
        <w:t xml:space="preserve"> z występującego w lesie drzewostanu. Jest to konieczne, aby zwiększyć różnorodność genetyczną w obrębie jednego gatunku drzew. Z drugiej strony, w przypadku materiału podstawowego przeznaczonego do produkcji LMR do celów komercyjnych, należy wybierać tylko drzewa z cechami o wyższej wartości. </w:t>
      </w:r>
      <w:r w:rsidRPr="006C354F">
        <w:rPr>
          <w:strike/>
          <w:lang w:val="pl-PL"/>
        </w:rPr>
        <w:t xml:space="preserve">W związku z tym państwa </w:t>
      </w:r>
      <w:proofErr w:type="spellStart"/>
      <w:r w:rsidRPr="006C354F">
        <w:rPr>
          <w:strike/>
          <w:lang w:val="pl-PL"/>
        </w:rPr>
        <w:t>członkowskie</w:t>
      </w:r>
      <w:r w:rsidRPr="006C354F">
        <w:rPr>
          <w:b/>
          <w:i/>
          <w:lang w:val="pl-PL"/>
        </w:rPr>
        <w:t>Podmioty</w:t>
      </w:r>
      <w:proofErr w:type="spellEnd"/>
      <w:r w:rsidRPr="006C354F">
        <w:rPr>
          <w:b/>
          <w:i/>
          <w:lang w:val="pl-PL"/>
        </w:rPr>
        <w:t xml:space="preserve"> profesjonalne</w:t>
      </w:r>
      <w:r w:rsidRPr="006C354F">
        <w:rPr>
          <w:lang w:val="pl-PL"/>
        </w:rPr>
        <w:t xml:space="preserve"> powinny mieć możliwość odstąpienia od obowiązujących przepisów w odniesieniu do zatwierdzania materiału podstawowego i zgłaszania właściwemu organowi tego materiału podstawowego przeznaczonego do celów ochrony leśnych zasobów genetycznych.</w:t>
      </w:r>
      <w:r w:rsidR="006845F1">
        <w:rPr>
          <w:b/>
          <w:lang w:val="pl-PL"/>
        </w:rPr>
        <w:t xml:space="preserve"> [</w:t>
      </w:r>
      <w:r w:rsidR="00A0113C">
        <w:rPr>
          <w:b/>
          <w:lang w:val="pl-PL"/>
        </w:rPr>
        <w:t>Popr.</w:t>
      </w:r>
      <w:r w:rsidR="006845F1">
        <w:rPr>
          <w:b/>
          <w:lang w:val="pl-PL"/>
        </w:rPr>
        <w:t> 5]</w:t>
      </w:r>
    </w:p>
    <w:p w:rsidR="006845F1" w:rsidRDefault="006845F1">
      <w:pPr>
        <w:widowControl/>
        <w:rPr>
          <w:szCs w:val="24"/>
          <w:lang w:eastAsia="en-US"/>
        </w:rPr>
      </w:pPr>
      <w:r>
        <w:br w:type="page"/>
      </w:r>
    </w:p>
    <w:p w:rsidR="006C354F" w:rsidRPr="006C354F" w:rsidRDefault="006C354F" w:rsidP="006C354F">
      <w:pPr>
        <w:pStyle w:val="Considrant"/>
        <w:rPr>
          <w:lang w:val="pl-PL"/>
        </w:rPr>
      </w:pPr>
      <w:r w:rsidRPr="006C354F">
        <w:rPr>
          <w:lang w:val="pl-PL"/>
        </w:rPr>
        <w:lastRenderedPageBreak/>
        <w:t>(23)</w:t>
      </w:r>
      <w:r w:rsidRPr="006C354F">
        <w:rPr>
          <w:lang w:val="pl-PL"/>
        </w:rPr>
        <w:tab/>
        <w:t xml:space="preserve">Kategoria „ze zidentyfikowanego źródła” jest minimalnym standardem wymaganym w przypadku wprowadzania do obrotu LMR, ponieważ w przypadku materiału podstawowego przeznaczonego do produkcji LMR należącego do kategorii „ze zidentyfikowanego źródła” nie została przeprowadzona selekcja fenotypowa lub przeprowadzono niewielką selekcję. Aby zapewnić identyfikowalność, podmiot profesjonalny powinien rejestrować lokalizację (tj. miejsce pochodzenia) materiału podstawowego, z którego pobiera się LMR. Podaje się pochodzenie pierwotne tego materiału podstawowego, jeśli jest znane. Jest to zgodne z system certyfikacji leśnego materiału </w:t>
      </w:r>
      <w:proofErr w:type="spellStart"/>
      <w:r w:rsidRPr="006C354F">
        <w:rPr>
          <w:lang w:val="pl-PL"/>
        </w:rPr>
        <w:t>rozmnożeniowego</w:t>
      </w:r>
      <w:proofErr w:type="spellEnd"/>
      <w:r w:rsidRPr="006C354F">
        <w:rPr>
          <w:lang w:val="pl-PL"/>
        </w:rPr>
        <w:t xml:space="preserve"> oraz doświadczeniem zdobytym w związku z dyrektywą 1999/105/WE.</w:t>
      </w:r>
    </w:p>
    <w:p w:rsidR="006C354F" w:rsidRPr="006C354F" w:rsidRDefault="006C354F" w:rsidP="006C354F">
      <w:pPr>
        <w:pStyle w:val="Considrant"/>
        <w:rPr>
          <w:lang w:val="pl-PL"/>
        </w:rPr>
      </w:pPr>
      <w:r w:rsidRPr="006C354F">
        <w:rPr>
          <w:lang w:val="pl-PL"/>
        </w:rPr>
        <w:t>(24)</w:t>
      </w:r>
      <w:r w:rsidRPr="006C354F">
        <w:rPr>
          <w:lang w:val="pl-PL"/>
        </w:rPr>
        <w:tab/>
        <w:t xml:space="preserve">Zgodnie z systemem certyfikacji leśnego materiału </w:t>
      </w:r>
      <w:proofErr w:type="spellStart"/>
      <w:r w:rsidRPr="006C354F">
        <w:rPr>
          <w:lang w:val="pl-PL"/>
        </w:rPr>
        <w:t>rozmnożeniowego</w:t>
      </w:r>
      <w:proofErr w:type="spellEnd"/>
      <w:r w:rsidRPr="006C354F">
        <w:rPr>
          <w:lang w:val="pl-PL"/>
        </w:rPr>
        <w:t xml:space="preserve"> i po zastosowaniu dyrektywy 1999/105/WE właściwy organ powinien ocenić materiał podstawowy przeznaczony do produkcji LMR kategorii „wyselekcjonowany” na podstawie obserwacji cech tego materiału podstawowego, zważywszy na specyficzny cel, do którego ma być wykorzystany LMR zebrany z tego materiału podstawowego. Należy zadbać o ogólną jakość tej kategorii. Ponieważ populacja powinna wykazywać wysoki stopień jednorodności, należy usunąć drzewa, które mają mniej wartościowe cechy (np. mniejsze rozmiary) w porównaniu ze średnim rozmiarem drzewa w całej populacji.</w:t>
      </w:r>
    </w:p>
    <w:p w:rsidR="006845F1" w:rsidRDefault="006845F1">
      <w:pPr>
        <w:widowControl/>
        <w:rPr>
          <w:szCs w:val="24"/>
          <w:lang w:eastAsia="en-US"/>
        </w:rPr>
      </w:pPr>
      <w:r>
        <w:br w:type="page"/>
      </w:r>
    </w:p>
    <w:p w:rsidR="006C354F" w:rsidRPr="006C354F" w:rsidRDefault="006C354F" w:rsidP="006C354F">
      <w:pPr>
        <w:pStyle w:val="Considrant"/>
        <w:rPr>
          <w:lang w:val="pl-PL"/>
        </w:rPr>
      </w:pPr>
      <w:r w:rsidRPr="006C354F">
        <w:rPr>
          <w:lang w:val="pl-PL"/>
        </w:rPr>
        <w:lastRenderedPageBreak/>
        <w:t>(25)</w:t>
      </w:r>
      <w:r w:rsidRPr="006C354F">
        <w:rPr>
          <w:lang w:val="pl-PL"/>
        </w:rPr>
        <w:tab/>
        <w:t xml:space="preserve">W celu wyprodukowania LMR kategorii „kwalifikowany” podmiot profesjonalny powinien wybrać – ze względu na wyjątkowe cechy, na przykład pod względem dostosowania się do lokalnych warunków klimatycznych i ekologicznych – składniki materiału podstawowego, które będą wykorzystane na poziomie indywidualnym w projekcie wzoru krzyżowania. Właściwy organ powinien zatwierdzić skład i proponowany wzór krzyżowania tych składników, układ terenu, warunki izolacji i lokalizację tego materiału podstawowego. Jest to ważne w celu dostosowania do mających zastosowanie norm międzynarodowych zgodnie z systemem certyfikacji leśnego materiału </w:t>
      </w:r>
      <w:proofErr w:type="spellStart"/>
      <w:r w:rsidRPr="006C354F">
        <w:rPr>
          <w:lang w:val="pl-PL"/>
        </w:rPr>
        <w:t>rozmnożeniowego</w:t>
      </w:r>
      <w:proofErr w:type="spellEnd"/>
      <w:r w:rsidRPr="006C354F">
        <w:rPr>
          <w:lang w:val="pl-PL"/>
        </w:rPr>
        <w:t xml:space="preserve"> oraz uwzględnienia doświadczenia zdobytego w związku z dyrektywą 1999/105/WE.</w:t>
      </w:r>
    </w:p>
    <w:p w:rsidR="006845F1" w:rsidRDefault="006845F1">
      <w:pPr>
        <w:widowControl/>
        <w:rPr>
          <w:szCs w:val="24"/>
          <w:lang w:eastAsia="en-US"/>
        </w:rPr>
      </w:pPr>
      <w:r>
        <w:br w:type="page"/>
      </w:r>
    </w:p>
    <w:p w:rsidR="006C354F" w:rsidRPr="006C354F" w:rsidRDefault="006C354F" w:rsidP="006C354F">
      <w:pPr>
        <w:pStyle w:val="Considrant"/>
        <w:rPr>
          <w:lang w:val="pl-PL"/>
        </w:rPr>
      </w:pPr>
      <w:r w:rsidRPr="006C354F">
        <w:rPr>
          <w:lang w:val="pl-PL"/>
        </w:rPr>
        <w:lastRenderedPageBreak/>
        <w:t>(26)</w:t>
      </w:r>
      <w:r w:rsidRPr="006C354F">
        <w:rPr>
          <w:lang w:val="pl-PL"/>
        </w:rPr>
        <w:tab/>
        <w:t xml:space="preserve">Materiał podstawowy przeznaczony do produkcji LMR kategorii „przetestowany” powinien podlegać możliwie najbardziej rygorystycznym wymaganiom. Ustalenie wyższości LMR powinno odbywać się w drodze porównania go z jednym, a lepiej z kilkoma zatwierdzonymi lub wcześniej wybranymi normami. Podmiot profesjonalny wybiera te normy na podstawie celu, do którego będzie wykorzystany LMR kategorii „przetestowany”. W tym względzie, jeśli celem LMR będzie przystosowanie się do zmiany klimatu, wówczas LMR będzie porównywany z normami określającymi dobre wyniki pod względem przystosowania się do lokalnych warunków klimatycznych i ekologicznych (np. praktyczny brak </w:t>
      </w:r>
      <w:proofErr w:type="spellStart"/>
      <w:r w:rsidRPr="006C354F">
        <w:rPr>
          <w:lang w:val="pl-PL"/>
        </w:rPr>
        <w:t>agrofagów</w:t>
      </w:r>
      <w:proofErr w:type="spellEnd"/>
      <w:r w:rsidRPr="006C354F">
        <w:rPr>
          <w:lang w:val="pl-PL"/>
        </w:rPr>
        <w:t xml:space="preserve"> i oznak ich występowania). Po wyselekcjonowaniu składników materiału podstawowego podmiot profesjonalny powinien wykazać wyższość LMR w drodze testów porównawczych lub oszacować jego wyższą wartość, przeprowadzając ocenę składników genetycznych tego materiału podstawowego. Właściwy organ powinien uczestniczyć w każdym etapie tego procesu. Powinien zatwierdzić układ doświadczalny i testy w celu zatwierdzenia materiału podstawowego, zweryfikować dokumentację dostarczoną przez podmiot profesjonalny i zatwierdzić, odpowiednio, albo wyniki testów dotyczących wyższości LMR, albo oceny genetycznej. Jest to niezbędne w celu dostosowania do mających zastosowanie norm międzynarodowych zgodnie z systemem certyfikacji leśnego materiału </w:t>
      </w:r>
      <w:proofErr w:type="spellStart"/>
      <w:r w:rsidRPr="006C354F">
        <w:rPr>
          <w:lang w:val="pl-PL"/>
        </w:rPr>
        <w:t>rozmnożeniowego</w:t>
      </w:r>
      <w:proofErr w:type="spellEnd"/>
      <w:r w:rsidRPr="006C354F">
        <w:rPr>
          <w:lang w:val="pl-PL"/>
        </w:rPr>
        <w:t xml:space="preserve"> i innych mających zastosowanie norm międzynarodowych oraz uwzględnienia doświadczenia zdobytego w związku z dyrektywą 1999/105/WE.</w:t>
      </w:r>
    </w:p>
    <w:p w:rsidR="006845F1" w:rsidRDefault="006845F1">
      <w:pPr>
        <w:widowControl/>
        <w:rPr>
          <w:szCs w:val="24"/>
          <w:lang w:eastAsia="en-US"/>
        </w:rPr>
      </w:pPr>
      <w:r>
        <w:br w:type="page"/>
      </w:r>
    </w:p>
    <w:p w:rsidR="006C354F" w:rsidRPr="006C354F" w:rsidRDefault="006C354F" w:rsidP="006C354F">
      <w:pPr>
        <w:pStyle w:val="Considrant"/>
        <w:rPr>
          <w:lang w:val="pl-PL"/>
        </w:rPr>
      </w:pPr>
      <w:r w:rsidRPr="006C354F">
        <w:rPr>
          <w:lang w:val="pl-PL"/>
        </w:rPr>
        <w:lastRenderedPageBreak/>
        <w:t>(27)</w:t>
      </w:r>
      <w:r w:rsidRPr="006C354F">
        <w:rPr>
          <w:lang w:val="pl-PL"/>
        </w:rPr>
        <w:tab/>
        <w:t>Przeprowadzenie oceny materiału podstawowego przeznaczonego do produkcji LMR kategorii „przetestowany” trwa średnio 10 lat. W celu zapewnienia szybszego dostępu do rynku LMR kategorii „przetestowany”, chociaż ocena materiału podstawowego jest nadal w toku, państwa członkowskie powinny mieć możliwość tymczasowego zatwierdzenia takiego materiału podstawowego na całym swoim terytorium lub jego części na maksymalny okres 10 lat. Zatwierdzenie takie powinno się przyznawać tylko w przypadku gdy tymczasowe wyniki oceny genetycznej lub testów porównawczych wskazują na to, że po zakończeniu testów materiał podstawowy spełni wymogi niniejszego rozporządzenia. Tę wstępną ocenę należy ponownie przeanalizować w po upływie maksymalnie 10 lat.</w:t>
      </w:r>
    </w:p>
    <w:p w:rsidR="006C354F" w:rsidRPr="006C354F" w:rsidRDefault="006C354F" w:rsidP="006C354F">
      <w:pPr>
        <w:pStyle w:val="Considrant"/>
        <w:rPr>
          <w:lang w:val="pl-PL"/>
        </w:rPr>
      </w:pPr>
      <w:r w:rsidRPr="006C354F">
        <w:rPr>
          <w:lang w:val="pl-PL"/>
        </w:rPr>
        <w:t>(28)</w:t>
      </w:r>
      <w:r w:rsidRPr="006C354F">
        <w:rPr>
          <w:lang w:val="pl-PL"/>
        </w:rPr>
        <w:tab/>
        <w:t>Zgodność LMR z wymogami określonymi dla kategorii „ze zidentyfikowanego źródła”, „wyselekcjonowany”, „kwalifikowany” i „przetestowany” powinna zostać potwierdzona w drodze inspekcji przeprowadzonych przez właściwe organy, odpowiednio dla każdej kategorii („urzędowa certyfikacja”), i poświadczona etykietą urzędową.</w:t>
      </w:r>
    </w:p>
    <w:p w:rsidR="006845F1" w:rsidRDefault="006845F1">
      <w:pPr>
        <w:widowControl/>
        <w:rPr>
          <w:szCs w:val="24"/>
          <w:lang w:eastAsia="en-US"/>
        </w:rPr>
      </w:pPr>
      <w:r>
        <w:br w:type="page"/>
      </w:r>
    </w:p>
    <w:p w:rsidR="006C354F" w:rsidRPr="006C354F" w:rsidRDefault="006C354F" w:rsidP="006C354F">
      <w:pPr>
        <w:pStyle w:val="Considrant"/>
        <w:rPr>
          <w:lang w:val="pl-PL"/>
        </w:rPr>
      </w:pPr>
      <w:r w:rsidRPr="006C354F">
        <w:rPr>
          <w:lang w:val="pl-PL"/>
        </w:rPr>
        <w:lastRenderedPageBreak/>
        <w:t>(29)</w:t>
      </w:r>
      <w:r w:rsidRPr="006C354F">
        <w:rPr>
          <w:lang w:val="pl-PL"/>
        </w:rPr>
        <w:tab/>
        <w:t>Zmodyfikowany genetycznie LMR może być wprowadzony do obrotu tylko w przypadku gdy jest bezpieczny dla zdrowia ludzkiego i środowiska oraz zatwierdzono go do uprawy zgodnie z Dyrektywą 2001/18/WE Parlamentu Europejskiego i Rady</w:t>
      </w:r>
      <w:r>
        <w:rPr>
          <w:rStyle w:val="FootnoteReference"/>
        </w:rPr>
        <w:footnoteReference w:id="12"/>
      </w:r>
      <w:r w:rsidRPr="006C354F">
        <w:rPr>
          <w:lang w:val="pl-PL"/>
        </w:rPr>
        <w:t xml:space="preserve"> lub rozporządzeniem (WE) 1829/2003</w:t>
      </w:r>
      <w:r>
        <w:rPr>
          <w:rStyle w:val="FootnoteReference"/>
        </w:rPr>
        <w:footnoteReference w:id="13"/>
      </w:r>
      <w:r w:rsidRPr="006C354F">
        <w:rPr>
          <w:lang w:val="pl-PL"/>
        </w:rPr>
        <w:t xml:space="preserve"> oraz jeżeli odnośny LMR należy do kategorii „przetestowany”. LMR otrzymany za pomocą niektórych nowych technik genomowych może być wprowadzony do obrotu tylko w przypadku gdy spełnia wymogi rozporządzenia Parlamentu Europejskiego i Rady (UE) [Urząd Publikacji: proszę wstawić odniesienie do rozporządzenia (UE) w sprawie roślin uzyskiwanych za pomocą niektórych nowych technik genomowych oraz pochodzących z tych roślin żywności i pasz] </w:t>
      </w:r>
      <w:r>
        <w:rPr>
          <w:rStyle w:val="FootnoteReference"/>
        </w:rPr>
        <w:footnoteReference w:id="14"/>
      </w:r>
      <w:r w:rsidRPr="006C354F">
        <w:rPr>
          <w:lang w:val="pl-PL"/>
        </w:rPr>
        <w:t xml:space="preserve"> oraz jeżeli odnośny LMR należy do kategorii „przetestowany”.</w:t>
      </w:r>
    </w:p>
    <w:p w:rsidR="006C354F" w:rsidRPr="006C354F" w:rsidRDefault="006C354F" w:rsidP="006C354F">
      <w:pPr>
        <w:pStyle w:val="Considrant"/>
        <w:rPr>
          <w:lang w:val="pl-PL"/>
        </w:rPr>
      </w:pPr>
      <w:r w:rsidRPr="006C354F">
        <w:rPr>
          <w:lang w:val="pl-PL"/>
        </w:rPr>
        <w:t>(30)</w:t>
      </w:r>
      <w:r w:rsidRPr="006C354F">
        <w:rPr>
          <w:lang w:val="pl-PL"/>
        </w:rPr>
        <w:tab/>
        <w:t>Etykieta urzędowa powinna zawierać informacje dotyczące materiału podstawowego, który zawiera organizm zmodyfikowany genetycznie lub składa się z takiego organizmu lub który wyprodukowano za pomocą niektórych nowych technik genomowych.</w:t>
      </w:r>
    </w:p>
    <w:p w:rsidR="006845F1" w:rsidRDefault="006845F1">
      <w:pPr>
        <w:widowControl/>
        <w:rPr>
          <w:szCs w:val="24"/>
          <w:lang w:eastAsia="en-US"/>
        </w:rPr>
      </w:pPr>
      <w:r>
        <w:br w:type="page"/>
      </w:r>
    </w:p>
    <w:p w:rsidR="006C354F" w:rsidRPr="006845F1" w:rsidRDefault="006C354F" w:rsidP="006C354F">
      <w:pPr>
        <w:pStyle w:val="Considrant"/>
        <w:rPr>
          <w:b/>
          <w:lang w:val="pl-PL"/>
        </w:rPr>
      </w:pPr>
      <w:r w:rsidRPr="006C354F">
        <w:rPr>
          <w:lang w:val="pl-PL"/>
        </w:rPr>
        <w:lastRenderedPageBreak/>
        <w:t>(31)</w:t>
      </w:r>
      <w:r w:rsidRPr="006C354F">
        <w:rPr>
          <w:lang w:val="pl-PL"/>
        </w:rPr>
        <w:tab/>
        <w:t>Podmioty profesjonalne powinny uzyskać zezwolenie właściwego organu na</w:t>
      </w:r>
      <w:r w:rsidRPr="006C354F">
        <w:rPr>
          <w:b/>
          <w:i/>
          <w:lang w:val="pl-PL"/>
        </w:rPr>
        <w:t xml:space="preserve"> wydanie i</w:t>
      </w:r>
      <w:r w:rsidRPr="006C354F">
        <w:rPr>
          <w:lang w:val="pl-PL"/>
        </w:rPr>
        <w:t xml:space="preserve"> drukowanie pod nadzorem urzędowym etykiety urzędowej dla określonych gatunków i kategorii LMR</w:t>
      </w:r>
      <w:r w:rsidRPr="006C354F">
        <w:rPr>
          <w:strike/>
          <w:lang w:val="pl-PL"/>
        </w:rPr>
        <w:t>. Zapewni to podmiotom profesjonalnym większą elastyczność w odniesieniu do późniejszego wprowadzania do obrotu tego LMR. Podmioty profesjonalne mogą jednak rozpocząć drukowanie etykiety dopiero po certyfikowaniu LMR</w:t>
      </w:r>
      <w:r w:rsidRPr="006C354F">
        <w:rPr>
          <w:b/>
          <w:i/>
          <w:lang w:val="pl-PL"/>
        </w:rPr>
        <w:t>, jeśli wszystkie wymogi określone</w:t>
      </w:r>
      <w:r w:rsidRPr="006C354F">
        <w:rPr>
          <w:lang w:val="pl-PL"/>
        </w:rPr>
        <w:t xml:space="preserve"> przez właściwy organ</w:t>
      </w:r>
      <w:r w:rsidRPr="006C354F">
        <w:rPr>
          <w:b/>
          <w:i/>
          <w:lang w:val="pl-PL"/>
        </w:rPr>
        <w:t xml:space="preserve"> zostały spełnione i jeśli po przeprowadzeniu audytu właściwy organ stwierdzi, że posiadają one niezbędne kompetencje, infrastrukturę i zasoby</w:t>
      </w:r>
      <w:r w:rsidRPr="006C354F">
        <w:rPr>
          <w:lang w:val="pl-PL"/>
        </w:rPr>
        <w:t xml:space="preserve">. Zezwolenie to jest konieczne w związku z urzędowym charakterem etykiety urzędowej oraz w celu zagwarantowania użytkownikom LMR najwyższych możliwych standardów jakości. </w:t>
      </w:r>
      <w:r w:rsidRPr="006C354F">
        <w:rPr>
          <w:b/>
          <w:i/>
          <w:lang w:val="pl-PL"/>
        </w:rPr>
        <w:t xml:space="preserve">Zapewni to podmiotom profesjonalnym większą elastyczność w odniesieniu do późniejszego wprowadzania do obrotu tego LMR. </w:t>
      </w:r>
      <w:r w:rsidRPr="006C354F">
        <w:rPr>
          <w:lang w:val="pl-PL"/>
        </w:rPr>
        <w:t>Należy ustanowić przepisy dotyczące cofnięcia tego zezwolenia lub jego zmiany.</w:t>
      </w:r>
      <w:r w:rsidR="006845F1">
        <w:rPr>
          <w:b/>
          <w:lang w:val="pl-PL"/>
        </w:rPr>
        <w:t xml:space="preserve"> [</w:t>
      </w:r>
      <w:r w:rsidR="00A0113C">
        <w:rPr>
          <w:b/>
          <w:lang w:val="pl-PL"/>
        </w:rPr>
        <w:t>Popr.</w:t>
      </w:r>
      <w:r w:rsidR="006845F1">
        <w:rPr>
          <w:b/>
          <w:lang w:val="pl-PL"/>
        </w:rPr>
        <w:t> 6]</w:t>
      </w:r>
    </w:p>
    <w:p w:rsidR="006C354F" w:rsidRPr="006C354F" w:rsidRDefault="006C354F" w:rsidP="006C354F">
      <w:pPr>
        <w:pStyle w:val="Considrant"/>
        <w:rPr>
          <w:lang w:val="pl-PL"/>
        </w:rPr>
      </w:pPr>
      <w:r w:rsidRPr="006C354F">
        <w:rPr>
          <w:lang w:val="pl-PL"/>
        </w:rPr>
        <w:t>(32)</w:t>
      </w:r>
      <w:r w:rsidRPr="006C354F">
        <w:rPr>
          <w:lang w:val="pl-PL"/>
        </w:rPr>
        <w:tab/>
        <w:t>Państwa członkowskie powinny mieć możliwość nałożenia dodatkowych lub bardziej rygorystycznych wymogów przy zatwierdzaniu materiału podstawowego produkowanego na ich terytorium z zastrzeżeniem zezwolenia udzielonego przez Komisję. Umożliwiłoby to wprowadzenie krajowych lub regionalnych podejść dotyczących produkcji i wprowadzania do obrotu LMR, mających na celu poprawę jakości danego LMR, ochronę środowiska lub wkład w ochronę różnorodności biologicznej i odbudowę ekosystemów leśnych.</w:t>
      </w:r>
    </w:p>
    <w:p w:rsidR="006845F1" w:rsidRDefault="006845F1">
      <w:pPr>
        <w:widowControl/>
        <w:rPr>
          <w:szCs w:val="24"/>
          <w:lang w:eastAsia="en-US"/>
        </w:rPr>
      </w:pPr>
      <w:r>
        <w:br w:type="page"/>
      </w:r>
    </w:p>
    <w:p w:rsidR="006C354F" w:rsidRPr="006C354F" w:rsidRDefault="006C354F" w:rsidP="006C354F">
      <w:pPr>
        <w:pStyle w:val="Considrant"/>
        <w:rPr>
          <w:lang w:val="pl-PL"/>
        </w:rPr>
      </w:pPr>
      <w:r w:rsidRPr="006C354F">
        <w:rPr>
          <w:lang w:val="pl-PL"/>
        </w:rPr>
        <w:lastRenderedPageBreak/>
        <w:t>(33)</w:t>
      </w:r>
      <w:r w:rsidRPr="006C354F">
        <w:rPr>
          <w:lang w:val="pl-PL"/>
        </w:rPr>
        <w:tab/>
        <w:t>W celu zapewnienia przejrzystości i bardziej skutecznej kontroli produkcji i wprowadzania do obrotu LMR podmioty profesjonalne powinny być rejestrowane w rejestrach ustanowionych przez państwa członkowskie na podstawie rozporządzenia Parlamentu Europejskiego i Rady (UE) 2016/2031</w:t>
      </w:r>
      <w:r>
        <w:rPr>
          <w:rStyle w:val="FootnoteReference"/>
        </w:rPr>
        <w:footnoteReference w:id="15"/>
      </w:r>
      <w:r w:rsidRPr="006C354F">
        <w:rPr>
          <w:lang w:val="pl-PL"/>
        </w:rPr>
        <w:t>. Rejestracja zmniejsza obciążenie administracyjne tych podmiotów profesjonalnych. Jest ona niezbędna do zapewnienia skuteczności urzędowego rejestru podmiotów profesjonalnych i uniknięcia podwójnej rejestracji. Podmioty profesjonalne objęte zakresem stosowania niniejszego rozporządzenia są w dużej mierze objęte zakresem urzędowego rejestru podmiotów profesjonalnych na mocy rozporządzenia (UE) 2016/2031.</w:t>
      </w:r>
    </w:p>
    <w:p w:rsidR="006C354F" w:rsidRPr="006845F1" w:rsidRDefault="006C354F" w:rsidP="006C354F">
      <w:pPr>
        <w:pStyle w:val="Considrant"/>
        <w:rPr>
          <w:b/>
          <w:lang w:val="pl-PL"/>
        </w:rPr>
      </w:pPr>
      <w:r w:rsidRPr="006C354F">
        <w:rPr>
          <w:lang w:val="pl-PL"/>
        </w:rPr>
        <w:t>(34)</w:t>
      </w:r>
      <w:r w:rsidRPr="006C354F">
        <w:rPr>
          <w:lang w:val="pl-PL"/>
        </w:rPr>
        <w:tab/>
      </w:r>
      <w:r w:rsidRPr="006C354F">
        <w:rPr>
          <w:strike/>
          <w:lang w:val="pl-PL"/>
        </w:rPr>
        <w:t xml:space="preserve">Przed zakupem LMR przez potencjalnych </w:t>
      </w:r>
      <w:proofErr w:type="spellStart"/>
      <w:r w:rsidRPr="006C354F">
        <w:rPr>
          <w:strike/>
          <w:lang w:val="pl-PL"/>
        </w:rPr>
        <w:t>nabywców</w:t>
      </w:r>
      <w:r w:rsidRPr="006C354F">
        <w:rPr>
          <w:b/>
          <w:i/>
          <w:lang w:val="pl-PL"/>
        </w:rPr>
        <w:t>Zanim</w:t>
      </w:r>
      <w:proofErr w:type="spellEnd"/>
      <w:r w:rsidRPr="006C354F">
        <w:rPr>
          <w:b/>
          <w:i/>
          <w:lang w:val="pl-PL"/>
        </w:rPr>
        <w:t xml:space="preserve"> dojdzie do zakupu LMR</w:t>
      </w:r>
      <w:r w:rsidRPr="006C354F">
        <w:rPr>
          <w:lang w:val="pl-PL"/>
        </w:rPr>
        <w:t xml:space="preserve"> podmioty profesjonalne powinny udostępnić </w:t>
      </w:r>
      <w:proofErr w:type="spellStart"/>
      <w:r w:rsidRPr="006C354F">
        <w:rPr>
          <w:strike/>
          <w:lang w:val="pl-PL"/>
        </w:rPr>
        <w:t>im</w:t>
      </w:r>
      <w:r w:rsidRPr="006C354F">
        <w:rPr>
          <w:b/>
          <w:i/>
          <w:lang w:val="pl-PL"/>
        </w:rPr>
        <w:t>właściwemu</w:t>
      </w:r>
      <w:proofErr w:type="spellEnd"/>
      <w:r w:rsidRPr="006C354F">
        <w:rPr>
          <w:b/>
          <w:i/>
          <w:lang w:val="pl-PL"/>
        </w:rPr>
        <w:t xml:space="preserve"> organowi i potencjalnym nabywcom oferowanego przez siebie LMR</w:t>
      </w:r>
      <w:r w:rsidRPr="006C354F">
        <w:rPr>
          <w:lang w:val="pl-PL"/>
        </w:rPr>
        <w:t xml:space="preserve"> wszystkie niezbędne informacje dotyczące </w:t>
      </w:r>
      <w:r w:rsidRPr="006C354F">
        <w:rPr>
          <w:b/>
          <w:i/>
          <w:lang w:val="pl-PL"/>
        </w:rPr>
        <w:t xml:space="preserve">tożsamości i </w:t>
      </w:r>
      <w:r w:rsidRPr="006C354F">
        <w:rPr>
          <w:lang w:val="pl-PL"/>
        </w:rPr>
        <w:t xml:space="preserve">odpowiedniości </w:t>
      </w:r>
      <w:proofErr w:type="spellStart"/>
      <w:r w:rsidRPr="006C354F">
        <w:rPr>
          <w:strike/>
          <w:lang w:val="pl-PL"/>
        </w:rPr>
        <w:t>tych</w:t>
      </w:r>
      <w:r w:rsidRPr="006C354F">
        <w:rPr>
          <w:b/>
          <w:i/>
          <w:lang w:val="pl-PL"/>
        </w:rPr>
        <w:t>tego</w:t>
      </w:r>
      <w:proofErr w:type="spellEnd"/>
      <w:r w:rsidRPr="006C354F">
        <w:rPr>
          <w:lang w:val="pl-PL"/>
        </w:rPr>
        <w:t xml:space="preserve"> LMR w odniesieniu do konkretnych warunków klimatycznych i ekologicznych, aby umożliwić </w:t>
      </w:r>
      <w:r w:rsidRPr="006C354F">
        <w:rPr>
          <w:strike/>
          <w:lang w:val="pl-PL"/>
        </w:rPr>
        <w:t xml:space="preserve">potencjalnym </w:t>
      </w:r>
      <w:proofErr w:type="spellStart"/>
      <w:r w:rsidRPr="006C354F">
        <w:rPr>
          <w:strike/>
          <w:lang w:val="pl-PL"/>
        </w:rPr>
        <w:t>nabywcom</w:t>
      </w:r>
      <w:r w:rsidRPr="006C354F">
        <w:rPr>
          <w:b/>
          <w:i/>
          <w:lang w:val="pl-PL"/>
        </w:rPr>
        <w:t>im</w:t>
      </w:r>
      <w:proofErr w:type="spellEnd"/>
      <w:r w:rsidRPr="006C354F">
        <w:rPr>
          <w:lang w:val="pl-PL"/>
        </w:rPr>
        <w:t xml:space="preserve"> wybór LMR najbardziej odpowiedniego dla </w:t>
      </w:r>
      <w:proofErr w:type="spellStart"/>
      <w:r w:rsidRPr="006C354F">
        <w:rPr>
          <w:strike/>
          <w:lang w:val="pl-PL"/>
        </w:rPr>
        <w:t>ich</w:t>
      </w:r>
      <w:r w:rsidRPr="006C354F">
        <w:rPr>
          <w:b/>
          <w:i/>
          <w:lang w:val="pl-PL"/>
        </w:rPr>
        <w:t>danego</w:t>
      </w:r>
      <w:proofErr w:type="spellEnd"/>
      <w:r w:rsidRPr="006C354F">
        <w:rPr>
          <w:lang w:val="pl-PL"/>
        </w:rPr>
        <w:t xml:space="preserve"> regionu.</w:t>
      </w:r>
      <w:r w:rsidR="006845F1">
        <w:rPr>
          <w:b/>
          <w:lang w:val="pl-PL"/>
        </w:rPr>
        <w:t xml:space="preserve"> [</w:t>
      </w:r>
      <w:r w:rsidR="00A0113C">
        <w:rPr>
          <w:b/>
          <w:lang w:val="pl-PL"/>
        </w:rPr>
        <w:t>Popr.</w:t>
      </w:r>
      <w:r w:rsidR="006845F1">
        <w:rPr>
          <w:b/>
          <w:lang w:val="pl-PL"/>
        </w:rPr>
        <w:t> 7]</w:t>
      </w:r>
    </w:p>
    <w:p w:rsidR="006845F1" w:rsidRDefault="006845F1">
      <w:pPr>
        <w:widowControl/>
        <w:rPr>
          <w:szCs w:val="24"/>
          <w:lang w:eastAsia="en-US"/>
        </w:rPr>
      </w:pPr>
      <w:r>
        <w:br w:type="page"/>
      </w:r>
    </w:p>
    <w:p w:rsidR="006C354F" w:rsidRPr="006C354F" w:rsidRDefault="006C354F" w:rsidP="006C354F">
      <w:pPr>
        <w:pStyle w:val="Considrant"/>
        <w:rPr>
          <w:lang w:val="pl-PL"/>
        </w:rPr>
      </w:pPr>
      <w:r w:rsidRPr="006C354F">
        <w:rPr>
          <w:lang w:val="pl-PL"/>
        </w:rPr>
        <w:lastRenderedPageBreak/>
        <w:t>(35)</w:t>
      </w:r>
      <w:r w:rsidRPr="006C354F">
        <w:rPr>
          <w:lang w:val="pl-PL"/>
        </w:rPr>
        <w:tab/>
        <w:t>W przypadku materiału podstawowego przeznaczonego do produkcji LMR należącego do kategorii „ze zidentyfikowanego źródła” i „wyselekcjonowany”, państwa członkowskie powinny, w przypadku stosownych gatunków, wyznaczyć regiony pochodzenia w celu wskazania obszaru lub grupy obszarów o wystarczająco jednolitych warunkach ekologicznych i zawierających materiał podstawowy o podobnych cechach fenotypowych lub genetycznych. Jest to konieczne, ponieważ LMR wyprodukowany z tego materiału podstawowego ma być wprowadzany do obrotu z informacją o tych regionach pochodzenia.</w:t>
      </w:r>
    </w:p>
    <w:p w:rsidR="006C354F" w:rsidRPr="006C354F" w:rsidRDefault="006C354F" w:rsidP="006C354F">
      <w:pPr>
        <w:pStyle w:val="Considrant"/>
        <w:rPr>
          <w:lang w:val="pl-PL"/>
        </w:rPr>
      </w:pPr>
      <w:r w:rsidRPr="006C354F">
        <w:rPr>
          <w:lang w:val="pl-PL"/>
        </w:rPr>
        <w:t>(36)</w:t>
      </w:r>
      <w:r w:rsidRPr="006C354F">
        <w:rPr>
          <w:lang w:val="pl-PL"/>
        </w:rPr>
        <w:tab/>
        <w:t>Aby zapewnić rzeczywisty obraz sytuacji i przejrzystość pod względem LMR produkowanego i wprowadzanego do obrotu w całej Unii, każde państwo członkowskie powinno utworzyć w formacie elektronicznym, opublikować i aktualizować rejestr krajowy materiału podstawowego poszczególnych gatunków i sztucznych mieszańców zatwierdzonych na jego terytorium oraz wykaz krajowy, który należy przedstawiać w formie streszczenia rejestru krajowego.</w:t>
      </w:r>
    </w:p>
    <w:p w:rsidR="006C354F" w:rsidRPr="006C354F" w:rsidRDefault="006C354F" w:rsidP="006C354F">
      <w:pPr>
        <w:pStyle w:val="Considrant"/>
        <w:rPr>
          <w:lang w:val="pl-PL"/>
        </w:rPr>
      </w:pPr>
      <w:r w:rsidRPr="006C354F">
        <w:rPr>
          <w:lang w:val="pl-PL"/>
        </w:rPr>
        <w:t>(37)</w:t>
      </w:r>
      <w:r w:rsidRPr="006C354F">
        <w:rPr>
          <w:lang w:val="pl-PL"/>
        </w:rPr>
        <w:tab/>
        <w:t>Z tego samego względu Komisja powinna na podstawie wykazów krajowych dostarczonych przez poszczególne państwa członkowskie opublikować w formacie elektronicznym unijny wykaz zatwierdzonego materiału podstawowego do produkcji LMR. Unijny wykaz powinien zawierać informacje dotyczące materiału podstawowego, który zawiera organizm zmodyfikowany genetycznie lub składa się z takiego organizmu lub który wyprodukowano za pomocą niektórych nowych technik genomowych.</w:t>
      </w:r>
    </w:p>
    <w:p w:rsidR="006845F1" w:rsidRDefault="006845F1">
      <w:pPr>
        <w:widowControl/>
        <w:rPr>
          <w:szCs w:val="24"/>
          <w:lang w:eastAsia="en-US"/>
        </w:rPr>
      </w:pPr>
      <w:r>
        <w:br w:type="page"/>
      </w:r>
    </w:p>
    <w:p w:rsidR="006C354F" w:rsidRPr="006845F1" w:rsidRDefault="006C354F" w:rsidP="006C354F">
      <w:pPr>
        <w:pStyle w:val="Considrant"/>
        <w:rPr>
          <w:b/>
          <w:lang w:val="pl-PL"/>
        </w:rPr>
      </w:pPr>
      <w:r w:rsidRPr="006C354F">
        <w:rPr>
          <w:lang w:val="pl-PL"/>
        </w:rPr>
        <w:lastRenderedPageBreak/>
        <w:t>(38)</w:t>
      </w:r>
      <w:r w:rsidRPr="006C354F">
        <w:rPr>
          <w:lang w:val="pl-PL"/>
        </w:rPr>
        <w:tab/>
        <w:t xml:space="preserve">Każde państwo członkowskie powinno sporządzić i aktualizować plan awaryjny, aby zapewnić wystarczające dostawy LMR na potrzeby ponownego zalesienia obszarów dotkniętych ekstremalnymi zdarzeniami pogodowymi, pożarami środowiskowymi, chorobami i pojawami </w:t>
      </w:r>
      <w:proofErr w:type="spellStart"/>
      <w:r w:rsidRPr="006C354F">
        <w:rPr>
          <w:lang w:val="pl-PL"/>
        </w:rPr>
        <w:t>agrofaga</w:t>
      </w:r>
      <w:proofErr w:type="spellEnd"/>
      <w:r w:rsidRPr="006C354F">
        <w:rPr>
          <w:lang w:val="pl-PL"/>
        </w:rPr>
        <w:t xml:space="preserve">, klęskami żywiołowymi lub wszelkimi innymi zdarzeniami. Należy ustanowić przepisy dotyczące treści tego planu, aby zapewnić aktywne i skuteczne działania przeciwko takim zagrożeniom, jeśli się pojawią. Państwa członkowskie powinny mieć możliwość </w:t>
      </w:r>
      <w:proofErr w:type="spellStart"/>
      <w:r w:rsidRPr="006C354F">
        <w:rPr>
          <w:strike/>
          <w:lang w:val="pl-PL"/>
        </w:rPr>
        <w:t>dostosowania</w:t>
      </w:r>
      <w:r w:rsidRPr="006C354F">
        <w:rPr>
          <w:b/>
          <w:i/>
          <w:lang w:val="pl-PL"/>
        </w:rPr>
        <w:t>określenia</w:t>
      </w:r>
      <w:proofErr w:type="spellEnd"/>
      <w:r w:rsidRPr="006C354F">
        <w:rPr>
          <w:lang w:val="pl-PL"/>
        </w:rPr>
        <w:t xml:space="preserve"> treści tego planu </w:t>
      </w:r>
      <w:r w:rsidRPr="006C354F">
        <w:rPr>
          <w:strike/>
          <w:lang w:val="pl-PL"/>
        </w:rPr>
        <w:t xml:space="preserve">do konkretnych warunków klimatycznych i ekologicznych </w:t>
      </w:r>
      <w:proofErr w:type="spellStart"/>
      <w:r w:rsidRPr="006C354F">
        <w:rPr>
          <w:strike/>
          <w:lang w:val="pl-PL"/>
        </w:rPr>
        <w:t>panujących</w:t>
      </w:r>
      <w:r w:rsidRPr="006C354F">
        <w:rPr>
          <w:b/>
          <w:i/>
          <w:lang w:val="pl-PL"/>
        </w:rPr>
        <w:t>zgodnie</w:t>
      </w:r>
      <w:proofErr w:type="spellEnd"/>
      <w:r w:rsidRPr="006C354F">
        <w:rPr>
          <w:b/>
          <w:i/>
          <w:lang w:val="pl-PL"/>
        </w:rPr>
        <w:t xml:space="preserve"> z konkretnymi warunkami klimatycznymi i ekologicznymi panującymi</w:t>
      </w:r>
      <w:r w:rsidRPr="006C354F">
        <w:rPr>
          <w:lang w:val="pl-PL"/>
        </w:rPr>
        <w:t xml:space="preserve"> na ich terytorium</w:t>
      </w:r>
      <w:r w:rsidRPr="006C354F">
        <w:rPr>
          <w:b/>
          <w:i/>
          <w:lang w:val="pl-PL"/>
        </w:rPr>
        <w:t xml:space="preserve"> oraz powinny mieć możliwość dostosowania tej treści w świetle nowej wiedzy naukowej</w:t>
      </w:r>
      <w:r w:rsidRPr="006C354F">
        <w:rPr>
          <w:lang w:val="pl-PL"/>
        </w:rPr>
        <w:t>. Wymóg ten odzwierciedla również ogólne działania na rzecz zapewnienia gotowości, które państwa członkowskie powinny przeprowadzać na zasadzie dobrowolności w ramach Unijnego Mechanizmu Ochrony Ludności</w:t>
      </w:r>
      <w:r>
        <w:rPr>
          <w:rStyle w:val="FootnoteReference"/>
        </w:rPr>
        <w:footnoteReference w:id="16"/>
      </w:r>
      <w:r w:rsidRPr="006C354F">
        <w:rPr>
          <w:lang w:val="pl-PL"/>
        </w:rPr>
        <w:t>.</w:t>
      </w:r>
      <w:r w:rsidRPr="006C354F">
        <w:rPr>
          <w:b/>
          <w:i/>
          <w:lang w:val="pl-PL"/>
        </w:rPr>
        <w:t xml:space="preserve"> Na wniosek zainteresowanego państwa członkowskiego Komisja powinna zapewniać wsparcie w sporządzaniu tego planu i, w stosownych przypadkach, w jego aktualizacji, udzielając pomocy technicznej.</w:t>
      </w:r>
      <w:r w:rsidR="006845F1">
        <w:rPr>
          <w:b/>
          <w:lang w:val="pl-PL"/>
        </w:rPr>
        <w:t xml:space="preserve"> [</w:t>
      </w:r>
      <w:r w:rsidR="00A0113C">
        <w:rPr>
          <w:b/>
          <w:lang w:val="pl-PL"/>
        </w:rPr>
        <w:t>Popr.</w:t>
      </w:r>
      <w:r w:rsidR="006845F1">
        <w:rPr>
          <w:b/>
          <w:lang w:val="pl-PL"/>
        </w:rPr>
        <w:t> 8]</w:t>
      </w:r>
    </w:p>
    <w:p w:rsidR="006C354F" w:rsidRPr="006C354F" w:rsidRDefault="006C354F" w:rsidP="006C354F">
      <w:pPr>
        <w:pStyle w:val="Considrant"/>
        <w:rPr>
          <w:lang w:val="pl-PL"/>
        </w:rPr>
      </w:pPr>
      <w:r w:rsidRPr="006C354F">
        <w:rPr>
          <w:lang w:val="pl-PL"/>
        </w:rPr>
        <w:t>(39)</w:t>
      </w:r>
      <w:r w:rsidRPr="006C354F">
        <w:rPr>
          <w:lang w:val="pl-PL"/>
        </w:rPr>
        <w:tab/>
        <w:t>LMR należy przechowywać na wszystkich etapach produkcji osobno według poszczególnych jednostek zatwierdzenia. Jednostki zatwierdzenia należy produkować i wprowadzać do obrotu w partiach, które muszą być wystarczająco jednorodne i zidentyfikowane jako różne od innych partii LMR. Należy dokonać rozróżnienia między partiami materiału siewnego a partiami materiału sadzeniowego, aby zidentyfikować rodzaj LMR i zapewnić identyfikowalność zatwierdzonego materiału podstawowego, z którego zebrano LMR. Gwarantuje to zachowanie tożsamości i jakości LMR.</w:t>
      </w:r>
    </w:p>
    <w:p w:rsidR="006845F1" w:rsidRDefault="006845F1">
      <w:pPr>
        <w:widowControl/>
        <w:rPr>
          <w:szCs w:val="24"/>
          <w:lang w:eastAsia="en-US"/>
        </w:rPr>
      </w:pPr>
      <w:r>
        <w:br w:type="page"/>
      </w:r>
    </w:p>
    <w:p w:rsidR="006C354F" w:rsidRPr="006C354F" w:rsidRDefault="006C354F" w:rsidP="006C354F">
      <w:pPr>
        <w:pStyle w:val="Considrant"/>
        <w:rPr>
          <w:lang w:val="pl-PL"/>
        </w:rPr>
      </w:pPr>
      <w:r w:rsidRPr="006C354F">
        <w:rPr>
          <w:lang w:val="pl-PL"/>
        </w:rPr>
        <w:lastRenderedPageBreak/>
        <w:t>(40)</w:t>
      </w:r>
      <w:r w:rsidRPr="006C354F">
        <w:rPr>
          <w:lang w:val="pl-PL"/>
        </w:rPr>
        <w:tab/>
        <w:t>Nasiona należy wprowadzać do obrotu tylko w przypadku gdy spełniają odpowiednie normy jakości. Należy je opatrzyć etykietami i wprowadzać do obrotu tylko w zapieczętowanych opakowaniach, aby umożliwić ich właściwą identyfikację, jakość i identyfikowalność oraz aby uniknąć oszustw.</w:t>
      </w:r>
    </w:p>
    <w:p w:rsidR="006C354F" w:rsidRPr="006C354F" w:rsidRDefault="006C354F" w:rsidP="006C354F">
      <w:pPr>
        <w:pStyle w:val="Considrant"/>
        <w:rPr>
          <w:lang w:val="pl-PL"/>
        </w:rPr>
      </w:pPr>
      <w:r w:rsidRPr="006C354F">
        <w:rPr>
          <w:lang w:val="pl-PL"/>
        </w:rPr>
        <w:t>(41)</w:t>
      </w:r>
      <w:r w:rsidRPr="006C354F">
        <w:rPr>
          <w:lang w:val="pl-PL"/>
        </w:rPr>
        <w:tab/>
        <w:t>Aby zrealizować cel strategii cyfrowej UE</w:t>
      </w:r>
      <w:r>
        <w:rPr>
          <w:rStyle w:val="FootnoteReference"/>
        </w:rPr>
        <w:footnoteReference w:id="17"/>
      </w:r>
      <w:r w:rsidRPr="006C354F">
        <w:rPr>
          <w:lang w:val="pl-PL"/>
        </w:rPr>
        <w:t>, którym jest transformacja w kierunku technologii cyfrowych korzystna dla obywateli i przedsiębiorstw, należy przekazać Komisji uprawnienia do przyjmowania aktów zgodnie z art. 290 Traktatu o funkcjonowaniu Unii Europejskiej („TFUE”) w odniesieniu do przepisów dotyczących cyfrowego rejestrowania wszystkich działań podejmowanych w celu wydania certyfikatu i etykiety urzędowej oraz ustanowienia scentralizowanej platformy ułatwiającej przetwarzanie tych rejestrów, korzystania z nich i dostępu do nich.</w:t>
      </w:r>
    </w:p>
    <w:p w:rsidR="006C354F" w:rsidRPr="006C354F" w:rsidRDefault="006C354F" w:rsidP="006C354F">
      <w:pPr>
        <w:pStyle w:val="Considrant"/>
        <w:rPr>
          <w:lang w:val="pl-PL"/>
        </w:rPr>
      </w:pPr>
      <w:r w:rsidRPr="006C354F">
        <w:rPr>
          <w:lang w:val="pl-PL"/>
        </w:rPr>
        <w:t>(42)</w:t>
      </w:r>
      <w:r w:rsidRPr="006C354F">
        <w:rPr>
          <w:lang w:val="pl-PL"/>
        </w:rPr>
        <w:tab/>
        <w:t>W okresie występowania chwilowych trudności w zebraniu wystarczających ilości LMR określonych gatunków, materiał podstawowy spełniający mniej rygorystyczne wymogi może być tymczasowo zatwierdzony pod określonymi warunkami. Te mniej rygorystyczne wymogi powinny dotyczyć zatwierdzenia materiału podstawowego przeznaczonego do produkcji różnych kategorii LMR. Jest to konieczne, aby zapewnić elastyczne podejście w niesprzyjających okolicznościach i uniknąć zakłóceń na rynku wewnętrznym LMR.</w:t>
      </w:r>
    </w:p>
    <w:p w:rsidR="006845F1" w:rsidRDefault="006845F1">
      <w:pPr>
        <w:widowControl/>
        <w:rPr>
          <w:szCs w:val="24"/>
          <w:lang w:eastAsia="en-US"/>
        </w:rPr>
      </w:pPr>
      <w:r>
        <w:br w:type="page"/>
      </w:r>
    </w:p>
    <w:p w:rsidR="006C354F" w:rsidRPr="006845F1" w:rsidRDefault="006C354F" w:rsidP="006C354F">
      <w:pPr>
        <w:pStyle w:val="Considrant"/>
        <w:rPr>
          <w:b/>
          <w:lang w:val="pl-PL"/>
        </w:rPr>
      </w:pPr>
      <w:r w:rsidRPr="006C354F">
        <w:rPr>
          <w:lang w:val="pl-PL"/>
        </w:rPr>
        <w:lastRenderedPageBreak/>
        <w:t>(43)</w:t>
      </w:r>
      <w:r w:rsidRPr="006C354F">
        <w:rPr>
          <w:lang w:val="pl-PL"/>
        </w:rPr>
        <w:tab/>
        <w:t>LMR można przywozić z państw trzecich wyłącznie w przypadku gdy spełnia on wymogi równoważne z wymogami mającymi zastosowanie do LMR produkowanego i wprowadzanego do obrotu w Unii. Jest to konieczne w celu zagwarantowania, aby przywożony LMR miał ten sam poziom jakości co LMR produkowany w Unii.</w:t>
      </w:r>
      <w:r w:rsidRPr="006C354F">
        <w:rPr>
          <w:b/>
          <w:i/>
          <w:lang w:val="pl-PL"/>
        </w:rPr>
        <w:t xml:space="preserve"> Takie podejście zapewni, że przywóz LMR nie tylko będzie spełniał normy Unii, ale także przyczyni się do różnorodności genetycznej i zrównoważonego rozwoju roślin.</w:t>
      </w:r>
      <w:r w:rsidR="006845F1">
        <w:rPr>
          <w:b/>
          <w:lang w:val="pl-PL"/>
        </w:rPr>
        <w:t xml:space="preserve"> [</w:t>
      </w:r>
      <w:r w:rsidR="00A0113C">
        <w:rPr>
          <w:b/>
          <w:lang w:val="pl-PL"/>
        </w:rPr>
        <w:t>Popr.</w:t>
      </w:r>
      <w:r w:rsidR="006845F1">
        <w:rPr>
          <w:b/>
          <w:lang w:val="pl-PL"/>
        </w:rPr>
        <w:t> 9]</w:t>
      </w:r>
    </w:p>
    <w:p w:rsidR="006C354F" w:rsidRPr="006C354F" w:rsidRDefault="006C354F" w:rsidP="006C354F">
      <w:pPr>
        <w:pStyle w:val="Considrant"/>
        <w:rPr>
          <w:lang w:val="pl-PL"/>
        </w:rPr>
      </w:pPr>
      <w:r w:rsidRPr="006C354F">
        <w:rPr>
          <w:lang w:val="pl-PL"/>
        </w:rPr>
        <w:t>(44)</w:t>
      </w:r>
      <w:r w:rsidRPr="006C354F">
        <w:rPr>
          <w:lang w:val="pl-PL"/>
        </w:rPr>
        <w:tab/>
        <w:t>W przypadku przywozu LMR z państwa trzeciego do Unii zainteresowany podmiot profesjonalny powinien powiadomić właściwy organ z wyprzedzeniem o przywozie LMR za pośrednictwem systemu zarządzania informacjami w zakresie kontroli urzędowych (IMSOC), utworzonym na podstawie rozporządzenia Parlamentu Europejskiego i Rady (UE) 2017/625</w:t>
      </w:r>
      <w:r>
        <w:rPr>
          <w:rStyle w:val="FootnoteReference"/>
        </w:rPr>
        <w:footnoteReference w:id="18"/>
      </w:r>
      <w:r w:rsidRPr="006C354F">
        <w:rPr>
          <w:lang w:val="pl-PL"/>
        </w:rPr>
        <w:t>. Do przywożonego LMR należy ponadto dołączyć certyfikat lub świadectwo urzędowe wystawione przez państwo trzecie pochodzenia pierwotnego oraz dokumentację zawierającą szczegółowe informacje na temat odnośnego LMR dostarczoną przez podmiot profesjonalny w tym państwie trzecim. Do LMR należy dołączyć etykietę urzędową, ponieważ jest to konieczne, aby zapewnić użytkownikom LMR świadomy wybór i ułatwić właściwym organom przeprowadzanie odpowiednich kontroli urzędowych.</w:t>
      </w:r>
    </w:p>
    <w:p w:rsidR="006845F1" w:rsidRDefault="006845F1">
      <w:pPr>
        <w:widowControl/>
        <w:rPr>
          <w:szCs w:val="24"/>
          <w:lang w:eastAsia="en-US"/>
        </w:rPr>
      </w:pPr>
      <w:r>
        <w:br w:type="page"/>
      </w:r>
    </w:p>
    <w:p w:rsidR="006C354F" w:rsidRPr="006C354F" w:rsidRDefault="006C354F" w:rsidP="006C354F">
      <w:pPr>
        <w:pStyle w:val="Considrant"/>
        <w:rPr>
          <w:lang w:val="pl-PL"/>
        </w:rPr>
      </w:pPr>
      <w:r w:rsidRPr="006C354F">
        <w:rPr>
          <w:lang w:val="pl-PL"/>
        </w:rPr>
        <w:lastRenderedPageBreak/>
        <w:t>(45)</w:t>
      </w:r>
      <w:r w:rsidRPr="006C354F">
        <w:rPr>
          <w:lang w:val="pl-PL"/>
        </w:rPr>
        <w:tab/>
        <w:t>W celu monitorowania wpływu niniejszego rozporządzenia i umożliwienia Komisji oceny wprowadzonych środków, państwa członkowskie powinny co pięć lat składać sprawozdania dotyczące rocznych ilości certyfikowanego LMR, przyjętych krajowych planów awaryjnych, dostępnych dla użytkowników – na stronach internetowych lub w przewodnikach plantatorów – informacji o miejscach, w których najlepiej jest sadzić LMR, ilości przywożonego LMR i nałożonych sankcji.</w:t>
      </w:r>
    </w:p>
    <w:p w:rsidR="006C354F" w:rsidRPr="006C354F" w:rsidRDefault="006C354F" w:rsidP="006C354F">
      <w:pPr>
        <w:pStyle w:val="Considrant"/>
        <w:rPr>
          <w:lang w:val="pl-PL"/>
        </w:rPr>
      </w:pPr>
      <w:r w:rsidRPr="006C354F">
        <w:rPr>
          <w:lang w:val="pl-PL"/>
        </w:rPr>
        <w:t>(46)</w:t>
      </w:r>
      <w:r w:rsidRPr="006C354F">
        <w:rPr>
          <w:lang w:val="pl-PL"/>
        </w:rPr>
        <w:tab/>
        <w:t>W celu dostosowania się do przemieszczających się na skutek zmiany klimatu stref wegetacji i zasięgów gatunków drzew oraz do wszelkich postępów wiedzy naukowej lub technicznej, w tym wiedzy o zmianie klimatu, należy przekazać Komisji uprawnienia do przyjęcia aktów zgodnie z art. 290 TFUE w odniesieniu do zmiany wykazów gatunków drzew, oraz ich sztucznych mieszańców, do których ma zastosowanie niniejsze rozporządzenie.</w:t>
      </w:r>
    </w:p>
    <w:p w:rsidR="006845F1" w:rsidRDefault="006845F1">
      <w:pPr>
        <w:widowControl/>
        <w:rPr>
          <w:szCs w:val="24"/>
          <w:lang w:eastAsia="en-US"/>
        </w:rPr>
      </w:pPr>
      <w:r>
        <w:br w:type="page"/>
      </w:r>
    </w:p>
    <w:p w:rsidR="006C354F" w:rsidRPr="006C354F" w:rsidRDefault="006C354F" w:rsidP="006C354F">
      <w:pPr>
        <w:pStyle w:val="Considrant"/>
        <w:rPr>
          <w:lang w:val="pl-PL"/>
        </w:rPr>
      </w:pPr>
      <w:r w:rsidRPr="006C354F">
        <w:rPr>
          <w:lang w:val="pl-PL"/>
        </w:rPr>
        <w:lastRenderedPageBreak/>
        <w:t>(47)</w:t>
      </w:r>
      <w:r w:rsidRPr="006C354F">
        <w:rPr>
          <w:lang w:val="pl-PL"/>
        </w:rPr>
        <w:tab/>
        <w:t xml:space="preserve">W celu dostosowania się do rozwoju wiedzy naukowej i technicznej i do zmian systemu certyfikacji leśnego materiału </w:t>
      </w:r>
      <w:proofErr w:type="spellStart"/>
      <w:r w:rsidRPr="006C354F">
        <w:rPr>
          <w:lang w:val="pl-PL"/>
        </w:rPr>
        <w:t>rozmnożeniowego</w:t>
      </w:r>
      <w:proofErr w:type="spellEnd"/>
      <w:r w:rsidRPr="006C354F">
        <w:rPr>
          <w:lang w:val="pl-PL"/>
        </w:rPr>
        <w:t xml:space="preserve"> oraz do innych mających zastosowanie norm międzynarodowych oraz w celu uwzględnienia rozporządzenia Parlamentu Europejskiego i Rady (UE) 2018/848</w:t>
      </w:r>
      <w:r>
        <w:rPr>
          <w:rStyle w:val="FootnoteReference"/>
        </w:rPr>
        <w:footnoteReference w:id="19"/>
      </w:r>
      <w:r w:rsidRPr="006C354F">
        <w:rPr>
          <w:lang w:val="pl-PL"/>
        </w:rPr>
        <w:t xml:space="preserve"> należy przekazać Komisji uprawnienia do przyjęcia aktów zgodnie z art. 290 TFUE w odniesieniu do zmiany (i) wymogów dotyczących materiału podstawowego przeznaczonego do produkcji LMR, który ma być certyfikowany jako materiał „ze zidentyfikowanego źródła”, „wyselekcjonowany”, „kwalifikowany” i „przetestowany” oraz (ii) kategorii w ramach których mogą być wprowadzane do obrotu poszczególne rodzaje materiału podstawowego.</w:t>
      </w:r>
    </w:p>
    <w:p w:rsidR="006C354F" w:rsidRPr="006C354F" w:rsidRDefault="006C354F" w:rsidP="006C354F">
      <w:pPr>
        <w:pStyle w:val="Considrant"/>
        <w:rPr>
          <w:lang w:val="pl-PL"/>
        </w:rPr>
      </w:pPr>
      <w:r w:rsidRPr="006C354F">
        <w:rPr>
          <w:lang w:val="pl-PL"/>
        </w:rPr>
        <w:t>(48)</w:t>
      </w:r>
      <w:r w:rsidRPr="006C354F">
        <w:rPr>
          <w:lang w:val="pl-PL"/>
        </w:rPr>
        <w:tab/>
        <w:t>W celu umożliwienia państwom członkowskim bardziej elastycznego podejścia należy przekazać Komisji uprawnienia do przyjęcia aktów zgodnie z art. 290 TFUE w odniesieniu do określenia warunków dotyczących tymczasowego zezwolenia na wprowadzanie do obrotu LMR niespełniającego wszystkich wymogów odnośnej kategorii.</w:t>
      </w:r>
    </w:p>
    <w:p w:rsidR="006845F1" w:rsidRDefault="006845F1">
      <w:pPr>
        <w:widowControl/>
        <w:rPr>
          <w:szCs w:val="24"/>
          <w:lang w:eastAsia="en-US"/>
        </w:rPr>
      </w:pPr>
      <w:r>
        <w:br w:type="page"/>
      </w:r>
    </w:p>
    <w:p w:rsidR="006C354F" w:rsidRPr="006C354F" w:rsidRDefault="006C354F" w:rsidP="006C354F">
      <w:pPr>
        <w:pStyle w:val="Considrant"/>
        <w:rPr>
          <w:lang w:val="pl-PL"/>
        </w:rPr>
      </w:pPr>
      <w:r w:rsidRPr="006C354F">
        <w:rPr>
          <w:lang w:val="pl-PL"/>
        </w:rPr>
        <w:lastRenderedPageBreak/>
        <w:t>(49)</w:t>
      </w:r>
      <w:r w:rsidRPr="006C354F">
        <w:rPr>
          <w:lang w:val="pl-PL"/>
        </w:rPr>
        <w:tab/>
        <w:t xml:space="preserve">W celu dostosowania do postępu naukowego i technicznego należy przekazać Komisji uprawnienia do przyjmowania aktów zgodnie z art. 290 TFUE w odniesieniu do określania wymogów, które mają spełniać partie owoców i partie materiału siewnego gatunków objętych niniejszym rozporządzeniem, które mają spełniać części roślin gatunków i sztucznych mieszańców objętych niniejszym rozporządzeniem, zewnętrznych standardów jakości dla </w:t>
      </w:r>
      <w:proofErr w:type="spellStart"/>
      <w:r w:rsidRPr="006C354F">
        <w:rPr>
          <w:lang w:val="pl-PL"/>
        </w:rPr>
        <w:t>Populus</w:t>
      </w:r>
      <w:proofErr w:type="spellEnd"/>
      <w:r w:rsidRPr="006C354F">
        <w:rPr>
          <w:lang w:val="pl-PL"/>
        </w:rPr>
        <w:t xml:space="preserve"> </w:t>
      </w:r>
      <w:proofErr w:type="spellStart"/>
      <w:r w:rsidRPr="006C354F">
        <w:rPr>
          <w:lang w:val="pl-PL"/>
        </w:rPr>
        <w:t>spp</w:t>
      </w:r>
      <w:proofErr w:type="spellEnd"/>
      <w:r w:rsidRPr="006C354F">
        <w:rPr>
          <w:lang w:val="pl-PL"/>
        </w:rPr>
        <w:t>. rozmnażanego przez zrzezy pędowe lub sadzonki, które ma spełniać materiał sadzeniowy gatunków i sztucznych mieszańców objętych niniejszym rozporządzeniem oraz materiał sadzeniowy przeznaczony do sprzedaży użytkownikom ostatecznym w regionach o klimacie śródziemnomorskim.</w:t>
      </w:r>
    </w:p>
    <w:p w:rsidR="006C354F" w:rsidRPr="006C354F" w:rsidRDefault="006C354F" w:rsidP="006C354F">
      <w:pPr>
        <w:pStyle w:val="Considrant"/>
        <w:rPr>
          <w:lang w:val="pl-PL"/>
        </w:rPr>
      </w:pPr>
      <w:r w:rsidRPr="006C354F">
        <w:rPr>
          <w:lang w:val="pl-PL"/>
        </w:rPr>
        <w:t>(50)</w:t>
      </w:r>
      <w:r w:rsidRPr="006C354F">
        <w:rPr>
          <w:lang w:val="pl-PL"/>
        </w:rPr>
        <w:tab/>
        <w:t>W celu dostosowania do strategii cyfrowej UE i rozwoju technicznego w zakresie cyfryzacji usług należy przekazać Komisji uprawnienia do przyjmowania aktów zgodnie z art. 290 TFUE w odniesieniu do ustanawiania przepisów dotyczących cyfrowego rejestrowania wszystkich działań podejmowanych przez podmiot profesjonalny i właściwe organy w celu wydania certyfikatu oraz w odniesieniu do ustanowienia scentralizowanej platformy łączącej wszystkie państwa członkowskie i Komisję.</w:t>
      </w:r>
    </w:p>
    <w:p w:rsidR="006845F1" w:rsidRDefault="006845F1">
      <w:pPr>
        <w:widowControl/>
        <w:rPr>
          <w:szCs w:val="24"/>
          <w:lang w:eastAsia="en-US"/>
        </w:rPr>
      </w:pPr>
      <w:r>
        <w:br w:type="page"/>
      </w:r>
    </w:p>
    <w:p w:rsidR="006C354F" w:rsidRPr="006C354F" w:rsidRDefault="006C354F" w:rsidP="006C354F">
      <w:pPr>
        <w:pStyle w:val="Considrant"/>
        <w:rPr>
          <w:lang w:val="pl-PL"/>
        </w:rPr>
      </w:pPr>
      <w:r w:rsidRPr="006C354F">
        <w:rPr>
          <w:lang w:val="pl-PL"/>
        </w:rPr>
        <w:lastRenderedPageBreak/>
        <w:t>(51)</w:t>
      </w:r>
      <w:r w:rsidRPr="006C354F">
        <w:rPr>
          <w:lang w:val="pl-PL"/>
        </w:rPr>
        <w:tab/>
        <w:t>Szczególnie ważne jest, aby w czasie prac przygotowawczych w związku z tymi aktami delegowanymi Komisja prowadziła stosowne konsultacje, w tym na poziomie ekspertów, oraz aby konsultacje te prowadzone były zgodnie z zasadami określonymi w Porozumieniu międzyinstytucjonalnym z dnia 13 kwietnia 2016 r. w sprawie lepszego stanowienia prawa</w:t>
      </w:r>
      <w:r>
        <w:rPr>
          <w:rStyle w:val="FootnoteReference"/>
        </w:rPr>
        <w:footnoteReference w:id="20"/>
      </w:r>
      <w:r w:rsidRPr="006C354F">
        <w:rPr>
          <w:lang w:val="pl-PL"/>
        </w:rPr>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p w:rsidR="006C354F" w:rsidRPr="006C354F" w:rsidRDefault="006C354F" w:rsidP="006C354F">
      <w:pPr>
        <w:pStyle w:val="Considrant"/>
        <w:rPr>
          <w:lang w:val="pl-PL"/>
        </w:rPr>
      </w:pPr>
      <w:r w:rsidRPr="006C354F">
        <w:rPr>
          <w:lang w:val="pl-PL"/>
        </w:rPr>
        <w:t>(52)</w:t>
      </w:r>
      <w:r w:rsidRPr="006C354F">
        <w:rPr>
          <w:lang w:val="pl-PL"/>
        </w:rPr>
        <w:tab/>
        <w:t>W celu zapewnienia jednolitych warunków wykonywania niniejszego rozporządzenia należy powierzyć Komisji uprawnienia wykonawcze w odniesieniu do ustanowienia konkretnych warunków w zakresie wymogów powiadomienia dotyczącego materiału podstawowego i treści tego powiadomienia.</w:t>
      </w:r>
    </w:p>
    <w:p w:rsidR="006C354F" w:rsidRPr="006C354F" w:rsidRDefault="006C354F" w:rsidP="006C354F">
      <w:pPr>
        <w:pStyle w:val="Considrant"/>
        <w:rPr>
          <w:lang w:val="pl-PL"/>
        </w:rPr>
      </w:pPr>
      <w:r w:rsidRPr="006C354F">
        <w:rPr>
          <w:lang w:val="pl-PL"/>
        </w:rPr>
        <w:t>(53)</w:t>
      </w:r>
      <w:r w:rsidRPr="006C354F">
        <w:rPr>
          <w:lang w:val="pl-PL"/>
        </w:rPr>
        <w:tab/>
        <w:t>W celu zapewnienia jednolitych warunków wykonywania niniejszego rozporządzenia oraz ułatwienia uznawania i stosowania certyfikatów należy powierzyć Komisji uprawnienia wykonawcze w odniesieniu do przyjmowania treści i wzoru certyfikatu tożsamości LMR pochodzącego ze źródeł nasion i drzewostanów, LMR pochodzącego z plantacji nasiennych lub drzew matecznych oraz LMR pochodzącego z klonów i mieszanek klonów.</w:t>
      </w:r>
    </w:p>
    <w:p w:rsidR="006845F1" w:rsidRDefault="006845F1">
      <w:pPr>
        <w:widowControl/>
        <w:rPr>
          <w:szCs w:val="24"/>
          <w:lang w:eastAsia="en-US"/>
        </w:rPr>
      </w:pPr>
      <w:r>
        <w:br w:type="page"/>
      </w:r>
    </w:p>
    <w:p w:rsidR="006C354F" w:rsidRPr="006C354F" w:rsidRDefault="006C354F" w:rsidP="006C354F">
      <w:pPr>
        <w:pStyle w:val="Considrant"/>
        <w:rPr>
          <w:lang w:val="pl-PL"/>
        </w:rPr>
      </w:pPr>
      <w:r w:rsidRPr="006C354F">
        <w:rPr>
          <w:lang w:val="pl-PL"/>
        </w:rPr>
        <w:lastRenderedPageBreak/>
        <w:t>(54)</w:t>
      </w:r>
      <w:r w:rsidRPr="006C354F">
        <w:rPr>
          <w:lang w:val="pl-PL"/>
        </w:rPr>
        <w:tab/>
        <w:t>W celu zapewnienia jednolitych warunków wykonywania niniejszego rozporządzenia oraz zapewnienia zharmonizowanych ram etykietowania i dostarczania informacji dotyczących LMR należy powierzyć Komisji uprawnienia wykonawcze w odniesieniu do określania treści etykiety urzędowej, dodatkowych informacji w przypadku nasion i małych ilości nasion, koloru etykiety w odniesieniu do określonych kategorii lub innych rodzajów LMR oraz dodatkowych informacji w przypadku określonych rodzajów lub gatunków.</w:t>
      </w:r>
    </w:p>
    <w:p w:rsidR="006C354F" w:rsidRPr="006C354F" w:rsidRDefault="006C354F" w:rsidP="006C354F">
      <w:pPr>
        <w:pStyle w:val="Considrant"/>
        <w:rPr>
          <w:lang w:val="pl-PL"/>
        </w:rPr>
      </w:pPr>
      <w:r w:rsidRPr="006C354F">
        <w:rPr>
          <w:lang w:val="pl-PL"/>
        </w:rPr>
        <w:t>(55)</w:t>
      </w:r>
      <w:r w:rsidRPr="006C354F">
        <w:rPr>
          <w:lang w:val="pl-PL"/>
        </w:rPr>
        <w:tab/>
        <w:t>W celu zapewnienia jednolitych warunków wykonywania niniejszego rozporządzenia oraz dostosowania się do zmian związanych z cyfryzacją sektora LMR należy powierzyć Komisji uprawnienia wykonawcze w odniesieniu do określania rozwiązań technicznych dotyczących wydawania certyfikatów elektronicznych.</w:t>
      </w:r>
    </w:p>
    <w:p w:rsidR="006C354F" w:rsidRPr="006C354F" w:rsidRDefault="006C354F" w:rsidP="006C354F">
      <w:pPr>
        <w:pStyle w:val="Considrant"/>
        <w:rPr>
          <w:lang w:val="pl-PL"/>
        </w:rPr>
      </w:pPr>
      <w:r w:rsidRPr="006C354F">
        <w:rPr>
          <w:lang w:val="pl-PL"/>
        </w:rPr>
        <w:t>(56)</w:t>
      </w:r>
      <w:r w:rsidRPr="006C354F">
        <w:rPr>
          <w:lang w:val="pl-PL"/>
        </w:rPr>
        <w:tab/>
        <w:t>W celu zapewnienia jednolitych warunków wykonywania niniejszego rozporządzenia oraz rozwiązania pilnych problemów związanych z dostawami LMR należy powierzyć Komisji uprawnienia wykonawcze w odniesieniu do tymczasowego wydawania zezwoleń na wprowadzanie do obrotu LMR jednego gatunku lub kilku gatunków, który to materiał spełnia mniej rygorystyczne wymogi niż określone w niniejszym rozporządzeniu wymogi dotyczące zatwierdzania materiału podstawowego.</w:t>
      </w:r>
    </w:p>
    <w:p w:rsidR="006845F1" w:rsidRDefault="006845F1">
      <w:pPr>
        <w:widowControl/>
        <w:rPr>
          <w:szCs w:val="24"/>
          <w:lang w:eastAsia="en-US"/>
        </w:rPr>
      </w:pPr>
      <w:r>
        <w:br w:type="page"/>
      </w:r>
    </w:p>
    <w:p w:rsidR="006C354F" w:rsidRPr="006C354F" w:rsidRDefault="006C354F" w:rsidP="006C354F">
      <w:pPr>
        <w:pStyle w:val="Considrant"/>
        <w:rPr>
          <w:lang w:val="pl-PL"/>
        </w:rPr>
      </w:pPr>
      <w:r w:rsidRPr="006C354F">
        <w:rPr>
          <w:lang w:val="pl-PL"/>
        </w:rPr>
        <w:lastRenderedPageBreak/>
        <w:t>(57)</w:t>
      </w:r>
      <w:r w:rsidRPr="006C354F">
        <w:rPr>
          <w:lang w:val="pl-PL"/>
        </w:rPr>
        <w:tab/>
        <w:t>W celu zapewnienia jednolitych warunków wykonywania niniejszego rozporządzenia należy powierzyć Komisji uprawnienia wykonawcze w odniesieniu do podejmowania decyzji dotyczących organizacji tymczasowych eksperymentów mających na celu poszukiwanie lepszych rozwiązań niż określone w niniejszym rozporządzeniu wymogi w zakresie oceny i zatwierdzania materiału podstawowego oraz produkcji i wprowadzania do obrotu LMR.</w:t>
      </w:r>
    </w:p>
    <w:p w:rsidR="006C354F" w:rsidRPr="006C354F" w:rsidRDefault="006C354F" w:rsidP="006C354F">
      <w:pPr>
        <w:pStyle w:val="Considrant"/>
        <w:rPr>
          <w:lang w:val="pl-PL"/>
        </w:rPr>
      </w:pPr>
      <w:r w:rsidRPr="006C354F">
        <w:rPr>
          <w:lang w:val="pl-PL"/>
        </w:rPr>
        <w:t>(58)</w:t>
      </w:r>
      <w:r w:rsidRPr="006C354F">
        <w:rPr>
          <w:lang w:val="pl-PL"/>
        </w:rPr>
        <w:tab/>
        <w:t>W celu poprawy spójności przepisów dotyczących LMR z prawodawstwem Unii dotyczącym zdrowia roślin do produkcji i wprowadzania do obrotu LMR na podstawie niniejszego rozporządzenia powinny mieć zastosowanie art. 36, 37, 40, 41, 49, 53 i 54 rozporządzenia (UE) 2016/2031. Aby zapewnić spójność z przepisami rozporządzenia (UE) 2016/2031 dotyczącymi paszportów roślin, należy zezwolić na połączenie etykiety urzędowej dla LMR z paszportem roślin.</w:t>
      </w:r>
    </w:p>
    <w:p w:rsidR="006C354F" w:rsidRPr="006C354F" w:rsidRDefault="006C354F" w:rsidP="006C354F">
      <w:pPr>
        <w:pStyle w:val="Considrant"/>
        <w:rPr>
          <w:lang w:val="pl-PL"/>
        </w:rPr>
      </w:pPr>
      <w:r w:rsidRPr="006C354F">
        <w:rPr>
          <w:lang w:val="pl-PL"/>
        </w:rPr>
        <w:t>(59)</w:t>
      </w:r>
      <w:r w:rsidRPr="006C354F">
        <w:rPr>
          <w:lang w:val="pl-PL"/>
        </w:rPr>
        <w:tab/>
        <w:t>Należy zatem zmienić rozporządzenie (UE) 2017/625, aby włączyć w jego zakres przepisy dotyczące kontroli urzędowych w odniesieniu do LMR. Ma to na celu zapewnienie bardziej spójnych kontroli urzędowych i egzekwowania przepisów dotyczących LMR we wszystkich państwach członkowskich oraz spójności z innymi aktami Unii dotyczącymi kontroli urzędowych roślin, w szczególności z rozporządzeniem (UE) 2016/2031 i rozporządzeniem Parlamentu Europejskiego i Rady (UE) .../....</w:t>
      </w:r>
    </w:p>
    <w:p w:rsidR="006845F1" w:rsidRDefault="006845F1">
      <w:pPr>
        <w:widowControl/>
        <w:rPr>
          <w:szCs w:val="24"/>
          <w:lang w:eastAsia="en-US"/>
        </w:rPr>
      </w:pPr>
      <w:r>
        <w:br w:type="page"/>
      </w:r>
    </w:p>
    <w:p w:rsidR="006C354F" w:rsidRPr="006C354F" w:rsidRDefault="006C354F" w:rsidP="006C354F">
      <w:pPr>
        <w:pStyle w:val="Considrant"/>
        <w:rPr>
          <w:lang w:val="pl-PL"/>
        </w:rPr>
      </w:pPr>
      <w:r w:rsidRPr="006C354F">
        <w:rPr>
          <w:lang w:val="pl-PL"/>
        </w:rPr>
        <w:lastRenderedPageBreak/>
        <w:t>(60)</w:t>
      </w:r>
      <w:r w:rsidRPr="006C354F">
        <w:rPr>
          <w:lang w:val="pl-PL"/>
        </w:rPr>
        <w:tab/>
        <w:t>Należy zatem odpowiednio zmienić rozporządzenia (UE) 2016/2031 i 2017/625.</w:t>
      </w:r>
    </w:p>
    <w:p w:rsidR="006C354F" w:rsidRPr="006C354F" w:rsidRDefault="006C354F" w:rsidP="006C354F">
      <w:pPr>
        <w:pStyle w:val="Considrant"/>
        <w:rPr>
          <w:lang w:val="pl-PL"/>
        </w:rPr>
      </w:pPr>
      <w:r w:rsidRPr="006C354F">
        <w:rPr>
          <w:lang w:val="pl-PL"/>
        </w:rPr>
        <w:t>(61)</w:t>
      </w:r>
      <w:r w:rsidRPr="006C354F">
        <w:rPr>
          <w:lang w:val="pl-PL"/>
        </w:rPr>
        <w:tab/>
        <w:t>Ze względu na jasność prawa i przejrzystość należy uchylić dyrektywę 1999/105/WE.</w:t>
      </w:r>
    </w:p>
    <w:p w:rsidR="006C354F" w:rsidRPr="006C354F" w:rsidRDefault="006C354F" w:rsidP="006C354F">
      <w:pPr>
        <w:pStyle w:val="Considrant"/>
        <w:rPr>
          <w:lang w:val="pl-PL"/>
        </w:rPr>
      </w:pPr>
      <w:r w:rsidRPr="006C354F">
        <w:rPr>
          <w:lang w:val="pl-PL"/>
        </w:rPr>
        <w:t>(62)</w:t>
      </w:r>
      <w:r w:rsidRPr="006C354F">
        <w:rPr>
          <w:lang w:val="pl-PL"/>
        </w:rPr>
        <w:tab/>
        <w:t>Ponieważ cel niniejszego rozporządzenia, którym jest zapewnienie zharmonizowanego podejścia do produkcji i wprowadzania do obrotu LMR, nie może zostać osiągnięty w sposób wystarczający przez państwa członkowskie, natomiast ze względu na skutki, złożoność i międzynarodowy charakter działań możliwe jest jego lepsze osiągnięcie na poziomie Unii, Unia może podjąć działania zgodnie z zasadą pomocniczości określoną w art. 5 Traktatu o Unii Europejskiej. Zgodnie z zasadą proporcjonalności określoną w tym artykule niniejsze rozporządzenie nie wykracza poza to, co jest konieczne do osiągnięcia tego celu. W tym kontekście i stosownie do potrzeb wprowadza ono odstępstwa lub szczegółowe wymogi w odniesieniu do określonych rodzajów LMR i do podmiotów profesjonalnych.</w:t>
      </w:r>
    </w:p>
    <w:p w:rsidR="006C354F" w:rsidRPr="006C354F" w:rsidRDefault="006C354F" w:rsidP="006C354F">
      <w:pPr>
        <w:pStyle w:val="Considrant"/>
        <w:rPr>
          <w:lang w:val="pl-PL"/>
        </w:rPr>
      </w:pPr>
      <w:r w:rsidRPr="006C354F">
        <w:rPr>
          <w:lang w:val="pl-PL"/>
        </w:rPr>
        <w:t>(63)</w:t>
      </w:r>
      <w:r w:rsidRPr="006C354F">
        <w:rPr>
          <w:lang w:val="pl-PL"/>
        </w:rPr>
        <w:tab/>
        <w:t>Z uwagi na czas i zasoby, które są potrzebne właściwym organom i zainteresowanym podmiotom profesjonalnym do dostosowania się do nowych wymogów określonych w niniejszym rozporządzeniu, niniejsze rozporządzenie powinno mieć zastosowanie od dnia ... [trzy lata od daty wejścia w życie niniejszego rozporządzenia] r.,</w:t>
      </w:r>
    </w:p>
    <w:p w:rsidR="006C354F" w:rsidRPr="006C354F" w:rsidRDefault="006C354F" w:rsidP="006C354F">
      <w:pPr>
        <w:pStyle w:val="Formuledadoption"/>
        <w:rPr>
          <w:lang w:val="pl-PL"/>
        </w:rPr>
      </w:pPr>
      <w:r w:rsidRPr="006C354F">
        <w:rPr>
          <w:lang w:val="pl-PL"/>
        </w:rPr>
        <w:t>PRZYJMUJĄ NINIEJSZE ROZPORZĄDZENIE:</w:t>
      </w:r>
    </w:p>
    <w:p w:rsidR="006845F1" w:rsidRDefault="006845F1">
      <w:pPr>
        <w:widowControl/>
      </w:pPr>
      <w:r>
        <w:br w:type="page"/>
      </w:r>
    </w:p>
    <w:p w:rsidR="006C354F" w:rsidRDefault="006C354F" w:rsidP="006845F1">
      <w:pPr>
        <w:spacing w:before="120" w:after="120" w:line="360" w:lineRule="auto"/>
        <w:jc w:val="center"/>
      </w:pPr>
      <w:r>
        <w:lastRenderedPageBreak/>
        <w:t xml:space="preserve">ROZDZIAŁ I </w:t>
      </w:r>
      <w:r>
        <w:br/>
        <w:t>PRZEPISY OGÓLNE</w:t>
      </w:r>
    </w:p>
    <w:p w:rsidR="006C354F" w:rsidRDefault="006C354F" w:rsidP="006845F1">
      <w:pPr>
        <w:spacing w:before="120" w:after="120" w:line="360" w:lineRule="auto"/>
        <w:jc w:val="center"/>
      </w:pPr>
      <w:r>
        <w:t>Artykuł 1</w:t>
      </w:r>
      <w:r>
        <w:br/>
        <w:t>Przedmiot</w:t>
      </w:r>
    </w:p>
    <w:p w:rsidR="006C354F" w:rsidRPr="006845F1" w:rsidRDefault="006C354F" w:rsidP="006845F1">
      <w:pPr>
        <w:pStyle w:val="Applicationdirecte"/>
        <w:rPr>
          <w:b/>
          <w:lang w:val="pl-PL"/>
        </w:rPr>
      </w:pPr>
      <w:r w:rsidRPr="006C354F">
        <w:rPr>
          <w:lang w:val="pl-PL"/>
        </w:rPr>
        <w:t xml:space="preserve">W niniejszym rozporządzeniu ustanawia się przepisy dotyczące produkcji i wprowadzania do obrotu leśnego materiału </w:t>
      </w:r>
      <w:proofErr w:type="spellStart"/>
      <w:r w:rsidRPr="006C354F">
        <w:rPr>
          <w:lang w:val="pl-PL"/>
        </w:rPr>
        <w:t>rozmnożeniowego</w:t>
      </w:r>
      <w:proofErr w:type="spellEnd"/>
      <w:r w:rsidRPr="006C354F">
        <w:rPr>
          <w:lang w:val="pl-PL"/>
        </w:rPr>
        <w:t xml:space="preserve"> („LMR”), a w szczególności wymagania dotyczące zatwierdzania materiału podstawowego przeznaczonego do produkcji LMR, pochodzenia pierwotnego i identyfikowalności tego materiału podstawowego, kategorii LMR, wymagań dotyczących tożsamości i jakości LMR, certyfikacji, etykietowania, pakowania, przywozu, podmiotów profesjonalnych, rejestracji materiału podstawowego</w:t>
      </w:r>
      <w:r w:rsidRPr="006C354F">
        <w:rPr>
          <w:b/>
          <w:i/>
          <w:lang w:val="pl-PL"/>
        </w:rPr>
        <w:t>, kontroli urzędowych</w:t>
      </w:r>
      <w:r w:rsidRPr="006C354F">
        <w:rPr>
          <w:lang w:val="pl-PL"/>
        </w:rPr>
        <w:t xml:space="preserve"> i krajowych planów awaryjnych.</w:t>
      </w:r>
      <w:r w:rsidR="006845F1">
        <w:rPr>
          <w:b/>
          <w:lang w:val="pl-PL"/>
        </w:rPr>
        <w:t xml:space="preserve"> [</w:t>
      </w:r>
      <w:r w:rsidR="00A0113C">
        <w:rPr>
          <w:b/>
          <w:lang w:val="pl-PL"/>
        </w:rPr>
        <w:t>Popr.</w:t>
      </w:r>
      <w:r w:rsidR="006845F1">
        <w:rPr>
          <w:b/>
          <w:lang w:val="pl-PL"/>
        </w:rPr>
        <w:t> 10]</w:t>
      </w:r>
    </w:p>
    <w:p w:rsidR="006C354F" w:rsidRDefault="006C354F" w:rsidP="006845F1">
      <w:pPr>
        <w:spacing w:before="120" w:after="120" w:line="360" w:lineRule="auto"/>
        <w:jc w:val="center"/>
      </w:pPr>
      <w:r>
        <w:t>Artykuł 2</w:t>
      </w:r>
      <w:r>
        <w:br/>
        <w:t>Zakres stosowania</w:t>
      </w:r>
    </w:p>
    <w:p w:rsidR="006C354F" w:rsidRPr="006845F1" w:rsidRDefault="006C354F" w:rsidP="006845F1">
      <w:pPr>
        <w:spacing w:before="120" w:after="120" w:line="360" w:lineRule="auto"/>
        <w:ind w:left="850" w:hanging="850"/>
        <w:rPr>
          <w:b/>
        </w:rPr>
      </w:pPr>
      <w:r>
        <w:t>1.</w:t>
      </w:r>
      <w:r>
        <w:tab/>
        <w:t xml:space="preserve">Niniejsze rozporządzenie ma zastosowanie do LMR gatunków drzew i </w:t>
      </w:r>
      <w:r>
        <w:rPr>
          <w:strike/>
        </w:rPr>
        <w:t xml:space="preserve">ich </w:t>
      </w:r>
      <w:r>
        <w:t>sztucznych mieszańców, wymienionych w załączniku I</w:t>
      </w:r>
      <w:r>
        <w:rPr>
          <w:b/>
          <w:i/>
        </w:rPr>
        <w:t xml:space="preserve"> w celu wprowadzenia do obrotu</w:t>
      </w:r>
      <w:r>
        <w:t>.</w:t>
      </w:r>
      <w:r w:rsidR="006845F1">
        <w:rPr>
          <w:b/>
        </w:rPr>
        <w:t xml:space="preserve"> [</w:t>
      </w:r>
      <w:r w:rsidR="00A0113C">
        <w:rPr>
          <w:b/>
        </w:rPr>
        <w:t>Popr.</w:t>
      </w:r>
      <w:r w:rsidR="006845F1">
        <w:rPr>
          <w:b/>
        </w:rPr>
        <w:t> 11]</w:t>
      </w:r>
    </w:p>
    <w:p w:rsidR="006C354F" w:rsidRDefault="006C354F" w:rsidP="006845F1">
      <w:pPr>
        <w:spacing w:before="120" w:after="120" w:line="360" w:lineRule="auto"/>
        <w:ind w:left="850" w:hanging="850"/>
      </w:pPr>
      <w:r>
        <w:t>2.</w:t>
      </w:r>
      <w:r>
        <w:tab/>
        <w:t>Cele niniejszego rozporządzenia są następujące:</w:t>
      </w:r>
    </w:p>
    <w:p w:rsidR="006845F1" w:rsidRDefault="006845F1">
      <w:pPr>
        <w:widowControl/>
      </w:pPr>
      <w:r>
        <w:br w:type="page"/>
      </w:r>
    </w:p>
    <w:p w:rsidR="006C354F" w:rsidRPr="006845F1" w:rsidRDefault="006C354F" w:rsidP="006845F1">
      <w:pPr>
        <w:spacing w:before="120" w:after="120" w:line="360" w:lineRule="auto"/>
        <w:ind w:left="1416" w:hanging="566"/>
        <w:rPr>
          <w:b/>
        </w:rPr>
      </w:pPr>
      <w:r>
        <w:lastRenderedPageBreak/>
        <w:t>a)</w:t>
      </w:r>
      <w:r>
        <w:tab/>
        <w:t xml:space="preserve">zapewnienie produkcji i wprowadzania do obrotu wysokiej jakości LMR w Unii oraz </w:t>
      </w:r>
      <w:r>
        <w:rPr>
          <w:b/>
          <w:i/>
        </w:rPr>
        <w:t xml:space="preserve">właściwego </w:t>
      </w:r>
      <w:r>
        <w:t>funkcjonowania rynku wewnętrznego w zakresie LMR;</w:t>
      </w:r>
      <w:r w:rsidR="006845F1">
        <w:rPr>
          <w:b/>
        </w:rPr>
        <w:t xml:space="preserve"> [</w:t>
      </w:r>
      <w:r w:rsidR="00A0113C">
        <w:rPr>
          <w:b/>
        </w:rPr>
        <w:t>Popr.</w:t>
      </w:r>
      <w:r w:rsidR="006845F1">
        <w:rPr>
          <w:b/>
        </w:rPr>
        <w:t> 12]</w:t>
      </w:r>
    </w:p>
    <w:p w:rsidR="006C354F" w:rsidRPr="006845F1" w:rsidRDefault="006C354F" w:rsidP="006845F1">
      <w:pPr>
        <w:spacing w:before="120" w:after="120" w:line="360" w:lineRule="auto"/>
        <w:ind w:left="1416" w:hanging="566"/>
        <w:rPr>
          <w:b/>
        </w:rPr>
      </w:pPr>
      <w:r>
        <w:t>b)</w:t>
      </w:r>
      <w:r>
        <w:tab/>
        <w:t>pomoc w tworzeniu odpornych</w:t>
      </w:r>
      <w:r>
        <w:rPr>
          <w:b/>
          <w:i/>
        </w:rPr>
        <w:t xml:space="preserve"> i produktywnych</w:t>
      </w:r>
      <w:r>
        <w:t xml:space="preserve"> lasów, ochronie różnorodności biologicznej</w:t>
      </w:r>
      <w:r>
        <w:rPr>
          <w:b/>
          <w:i/>
        </w:rPr>
        <w:t>, zapobieganiu wykorzystywaniu gatunków inwazyjnych oraz</w:t>
      </w:r>
      <w:r>
        <w:rPr>
          <w:strike/>
        </w:rPr>
        <w:t xml:space="preserve"> i</w:t>
      </w:r>
      <w:r>
        <w:t xml:space="preserve"> odbudowie ekosystemów leśnych</w:t>
      </w:r>
      <w:r>
        <w:rPr>
          <w:b/>
          <w:i/>
        </w:rPr>
        <w:t xml:space="preserve"> i ich funkcjonowania między innymi poprzez promowanie międzygatunkowej i wewnątrzgatunkowej zmienności genetycznej</w:t>
      </w:r>
      <w:r>
        <w:t>;</w:t>
      </w:r>
      <w:r w:rsidR="006845F1">
        <w:rPr>
          <w:b/>
        </w:rPr>
        <w:t xml:space="preserve"> [</w:t>
      </w:r>
      <w:r w:rsidR="00A0113C">
        <w:rPr>
          <w:b/>
        </w:rPr>
        <w:t>Popr.</w:t>
      </w:r>
      <w:r w:rsidR="006845F1">
        <w:rPr>
          <w:b/>
        </w:rPr>
        <w:t> 13]</w:t>
      </w:r>
    </w:p>
    <w:p w:rsidR="006C354F" w:rsidRDefault="006C354F" w:rsidP="006845F1">
      <w:pPr>
        <w:spacing w:before="120" w:after="120" w:line="360" w:lineRule="auto"/>
        <w:ind w:left="1416" w:hanging="566"/>
      </w:pPr>
      <w:r>
        <w:t>c)</w:t>
      </w:r>
      <w:r>
        <w:tab/>
        <w:t>wspieranie produkcji drewna i biomateriałów, przystosowania się do zmiany klimatu, łagodzenia zmiany klimatu oraz ochrony i zrównoważonego użytkowania leśnych zasobów genetycznych.</w:t>
      </w:r>
    </w:p>
    <w:p w:rsidR="006C354F" w:rsidRDefault="006C354F" w:rsidP="006845F1">
      <w:pPr>
        <w:spacing w:before="120" w:after="120" w:line="360" w:lineRule="auto"/>
        <w:ind w:left="850" w:hanging="850"/>
      </w:pPr>
      <w:r>
        <w:t>3.</w:t>
      </w:r>
      <w:r>
        <w:tab/>
        <w:t>Komisja jest uprawniona do przyjmowania zgodnie z art. 26 aktów delegowanych zmieniających wykaz zawarty w załączniku I, jak określono w ust. 3, z uwzględnieniem:</w:t>
      </w:r>
    </w:p>
    <w:p w:rsidR="006C354F" w:rsidRDefault="006C354F" w:rsidP="006845F1">
      <w:pPr>
        <w:spacing w:before="120" w:after="120" w:line="360" w:lineRule="auto"/>
        <w:ind w:left="1416" w:hanging="566"/>
      </w:pPr>
      <w:r>
        <w:t>a)</w:t>
      </w:r>
      <w:r>
        <w:tab/>
        <w:t>przemieszczania się stref wegetacji i zasięgów gatunków drzew na skutek zmiany klimatu;</w:t>
      </w:r>
    </w:p>
    <w:p w:rsidR="006C354F" w:rsidRPr="006845F1" w:rsidRDefault="006C354F" w:rsidP="006845F1">
      <w:pPr>
        <w:spacing w:before="120" w:after="120" w:line="360" w:lineRule="auto"/>
        <w:ind w:left="1416" w:hanging="566"/>
        <w:rPr>
          <w:b/>
        </w:rPr>
      </w:pPr>
      <w:r>
        <w:t>b)</w:t>
      </w:r>
      <w:r>
        <w:tab/>
        <w:t>wszelkich</w:t>
      </w:r>
      <w:r>
        <w:rPr>
          <w:b/>
          <w:i/>
        </w:rPr>
        <w:t xml:space="preserve"> odpowiednich</w:t>
      </w:r>
      <w:r>
        <w:t xml:space="preserve"> postępów wiedzy technicznej lub naukowej.</w:t>
      </w:r>
      <w:r w:rsidR="006845F1">
        <w:rPr>
          <w:b/>
        </w:rPr>
        <w:t xml:space="preserve"> [</w:t>
      </w:r>
      <w:r w:rsidR="00A0113C">
        <w:rPr>
          <w:b/>
        </w:rPr>
        <w:t>Popr.</w:t>
      </w:r>
      <w:r w:rsidR="006845F1">
        <w:rPr>
          <w:b/>
        </w:rPr>
        <w:t> 14]</w:t>
      </w:r>
    </w:p>
    <w:p w:rsidR="006845F1" w:rsidRDefault="006845F1">
      <w:pPr>
        <w:widowControl/>
      </w:pPr>
      <w:r>
        <w:br w:type="page"/>
      </w:r>
    </w:p>
    <w:p w:rsidR="006C354F" w:rsidRDefault="006C354F" w:rsidP="006845F1">
      <w:pPr>
        <w:spacing w:before="120" w:after="120" w:line="360" w:lineRule="auto"/>
        <w:ind w:left="850"/>
      </w:pPr>
      <w:r>
        <w:lastRenderedPageBreak/>
        <w:t>W tych aktach delegowanych dodaje się do wykazu w załączniku I gatunki i sztuczne mieszańce, jeżeli spełniają one co najmniej jeden z następujących warunków:</w:t>
      </w:r>
    </w:p>
    <w:p w:rsidR="006C354F" w:rsidRDefault="006C354F" w:rsidP="006845F1">
      <w:pPr>
        <w:spacing w:before="120" w:after="120" w:line="360" w:lineRule="auto"/>
        <w:ind w:left="1416" w:hanging="566"/>
      </w:pPr>
      <w:r>
        <w:t>a)</w:t>
      </w:r>
      <w:r>
        <w:tab/>
        <w:t>reprezentują znaczący obszar i dużą wartość ekonomiczną w ramach produkcji LMR w Unii;</w:t>
      </w:r>
    </w:p>
    <w:p w:rsidR="006C354F" w:rsidRDefault="006C354F" w:rsidP="006845F1">
      <w:pPr>
        <w:spacing w:before="120" w:after="120" w:line="360" w:lineRule="auto"/>
        <w:ind w:left="1416" w:hanging="566"/>
      </w:pPr>
      <w:r>
        <w:t>b)</w:t>
      </w:r>
      <w:r>
        <w:tab/>
        <w:t>są wprowadzane do obrotu w co najmniej dwóch państwach członkowskich;</w:t>
      </w:r>
    </w:p>
    <w:p w:rsidR="006C354F" w:rsidRDefault="006C354F" w:rsidP="006845F1">
      <w:pPr>
        <w:spacing w:before="120" w:after="120" w:line="360" w:lineRule="auto"/>
        <w:ind w:left="1416" w:hanging="566"/>
      </w:pPr>
      <w:r>
        <w:t>c)</w:t>
      </w:r>
      <w:r>
        <w:tab/>
        <w:t>są uznawane za istotne ze względu na ich wkład w przystosowanie się do zmiany klimatu oraz</w:t>
      </w:r>
    </w:p>
    <w:p w:rsidR="006C354F" w:rsidRDefault="006C354F" w:rsidP="006845F1">
      <w:pPr>
        <w:spacing w:before="120" w:after="120" w:line="360" w:lineRule="auto"/>
        <w:ind w:left="1416" w:hanging="566"/>
      </w:pPr>
      <w:r>
        <w:t>d)</w:t>
      </w:r>
      <w:r>
        <w:tab/>
        <w:t>są uznawane za istotne ze względu na ich wkład w ochronę różnorodności biologicznej.</w:t>
      </w:r>
    </w:p>
    <w:p w:rsidR="006C354F" w:rsidRDefault="006C354F" w:rsidP="006845F1">
      <w:pPr>
        <w:spacing w:before="120" w:after="120" w:line="360" w:lineRule="auto"/>
        <w:ind w:left="850"/>
      </w:pPr>
      <w:r>
        <w:t>Na podstawie aktów delegowanych, o których mowa w akapicie pierwszym, gatunki i sztuczne mieszańce usuwa się z wykazu w załączniku I, jeżeli nie spełniają już one żadnego z warunków określonych w akapicie pierwszym.</w:t>
      </w:r>
    </w:p>
    <w:p w:rsidR="006C354F" w:rsidRDefault="006C354F" w:rsidP="006845F1">
      <w:pPr>
        <w:spacing w:before="120" w:after="120" w:line="360" w:lineRule="auto"/>
        <w:ind w:left="850" w:hanging="850"/>
      </w:pPr>
      <w:r>
        <w:t>4.</w:t>
      </w:r>
      <w:r>
        <w:tab/>
        <w:t>Niniejsze rozporządzenie nie ma zastosowania do:</w:t>
      </w:r>
    </w:p>
    <w:p w:rsidR="006C354F" w:rsidRDefault="006C354F" w:rsidP="006845F1">
      <w:pPr>
        <w:spacing w:before="120" w:after="120" w:line="360" w:lineRule="auto"/>
        <w:ind w:left="1416" w:hanging="566"/>
      </w:pPr>
      <w:r>
        <w:t>a)</w:t>
      </w:r>
      <w:r>
        <w:tab/>
        <w:t xml:space="preserve">roślinnego materiału </w:t>
      </w:r>
      <w:proofErr w:type="spellStart"/>
      <w:r>
        <w:t>rozmnożeniowego</w:t>
      </w:r>
      <w:proofErr w:type="spellEnd"/>
      <w:r>
        <w:t xml:space="preserve">, o którym mowa w art. 2 rozporządzenia (UE) .../... [Urząd Publikacji, proszę wstawić odniesienie do rozporządzenia w sprawie produkcji i wprowadzania do obrotu roślinnego materiału </w:t>
      </w:r>
      <w:proofErr w:type="spellStart"/>
      <w:r>
        <w:t>rozmnożeniowego</w:t>
      </w:r>
      <w:proofErr w:type="spellEnd"/>
      <w:r>
        <w:t>];</w:t>
      </w:r>
    </w:p>
    <w:p w:rsidR="006845F1" w:rsidRDefault="006845F1">
      <w:pPr>
        <w:widowControl/>
      </w:pPr>
      <w:r>
        <w:br w:type="page"/>
      </w:r>
    </w:p>
    <w:p w:rsidR="006C354F" w:rsidRDefault="006C354F" w:rsidP="006845F1">
      <w:pPr>
        <w:spacing w:before="120" w:after="120" w:line="360" w:lineRule="auto"/>
        <w:ind w:left="1416" w:hanging="566"/>
      </w:pPr>
      <w:r>
        <w:lastRenderedPageBreak/>
        <w:t>b)</w:t>
      </w:r>
      <w:r>
        <w:tab/>
        <w:t xml:space="preserve">materiału </w:t>
      </w:r>
      <w:proofErr w:type="spellStart"/>
      <w:r>
        <w:t>rozmnożeniowego</w:t>
      </w:r>
      <w:proofErr w:type="spellEnd"/>
      <w:r>
        <w:t xml:space="preserve"> roślin ozdobnych w rozumieniu art. 2 dyrektywy 98/56/WE;</w:t>
      </w:r>
    </w:p>
    <w:p w:rsidR="006C354F" w:rsidRDefault="006C354F" w:rsidP="006845F1">
      <w:pPr>
        <w:spacing w:before="120" w:after="120" w:line="360" w:lineRule="auto"/>
        <w:ind w:left="1416" w:hanging="566"/>
      </w:pPr>
      <w:r>
        <w:t>c)</w:t>
      </w:r>
      <w:r>
        <w:tab/>
        <w:t>LMR produkowanego na potrzeby wywozu do państw trzecich;</w:t>
      </w:r>
    </w:p>
    <w:p w:rsidR="006C354F" w:rsidRDefault="006C354F" w:rsidP="006845F1">
      <w:pPr>
        <w:spacing w:before="120" w:after="120" w:line="360" w:lineRule="auto"/>
        <w:ind w:left="1416" w:hanging="566"/>
      </w:pPr>
      <w:r>
        <w:t>d)</w:t>
      </w:r>
      <w:r>
        <w:tab/>
        <w:t>LMR wykorzystywanego do badań urzędowych, celów naukowych lub selekcji.</w:t>
      </w:r>
    </w:p>
    <w:p w:rsidR="006C354F" w:rsidRDefault="006C354F" w:rsidP="006845F1">
      <w:pPr>
        <w:spacing w:before="120" w:after="120" w:line="360" w:lineRule="auto"/>
        <w:jc w:val="center"/>
      </w:pPr>
      <w:r>
        <w:t>Artykuł 3</w:t>
      </w:r>
      <w:r>
        <w:br/>
        <w:t>Definicje</w:t>
      </w:r>
    </w:p>
    <w:p w:rsidR="006C354F" w:rsidRDefault="006C354F" w:rsidP="006845F1">
      <w:pPr>
        <w:spacing w:before="120" w:after="120" w:line="360" w:lineRule="auto"/>
      </w:pPr>
      <w:r>
        <w:t>Do celów niniejszego rozporządzenia stosuje się następujące definicje:</w:t>
      </w:r>
    </w:p>
    <w:p w:rsidR="006C354F" w:rsidRPr="006845F1" w:rsidRDefault="006C354F" w:rsidP="006845F1">
      <w:pPr>
        <w:spacing w:before="120" w:after="120" w:line="360" w:lineRule="auto"/>
        <w:ind w:left="850" w:hanging="850"/>
        <w:rPr>
          <w:b/>
        </w:rPr>
      </w:pPr>
      <w:r>
        <w:t>1)</w:t>
      </w:r>
      <w:r>
        <w:tab/>
        <w:t xml:space="preserve">„leśny materiał </w:t>
      </w:r>
      <w:proofErr w:type="spellStart"/>
      <w:r>
        <w:t>rozmnożeniowy</w:t>
      </w:r>
      <w:proofErr w:type="spellEnd"/>
      <w:r>
        <w:t xml:space="preserve">” („LMR”) oznacza </w:t>
      </w:r>
      <w:r>
        <w:rPr>
          <w:strike/>
        </w:rPr>
        <w:t xml:space="preserve">szyszki, owocostany, owoce i nasiona przeznaczone do produkcji materiału </w:t>
      </w:r>
      <w:proofErr w:type="spellStart"/>
      <w:r>
        <w:rPr>
          <w:strike/>
        </w:rPr>
        <w:t>sadzeniowego</w:t>
      </w:r>
      <w:r>
        <w:rPr>
          <w:b/>
          <w:i/>
        </w:rPr>
        <w:t>jednostki</w:t>
      </w:r>
      <w:proofErr w:type="spellEnd"/>
      <w:r>
        <w:rPr>
          <w:b/>
          <w:i/>
        </w:rPr>
        <w:t xml:space="preserve"> nasienne, części roślin i materiały sadzeniowe</w:t>
      </w:r>
      <w:r>
        <w:t>, należące do gatunków drzew i ich</w:t>
      </w:r>
      <w:r>
        <w:rPr>
          <w:strike/>
        </w:rPr>
        <w:t xml:space="preserve"> sztucznych</w:t>
      </w:r>
      <w:r>
        <w:t xml:space="preserve"> mieszańców wymienionych w załączniku I do niniejszego rozporządzenia i wykorzystywane do zalesiania, ponownego zalesiania i innego sadzenia drzew </w:t>
      </w:r>
      <w:r>
        <w:rPr>
          <w:b/>
          <w:i/>
        </w:rPr>
        <w:t xml:space="preserve">oraz siewu bezpośredniego </w:t>
      </w:r>
      <w:r>
        <w:t>w którymkolwiek z poniższych celów:</w:t>
      </w:r>
      <w:r w:rsidR="006845F1">
        <w:rPr>
          <w:b/>
        </w:rPr>
        <w:t xml:space="preserve"> [</w:t>
      </w:r>
      <w:r w:rsidR="00A0113C">
        <w:rPr>
          <w:b/>
        </w:rPr>
        <w:t>Popr.</w:t>
      </w:r>
      <w:r w:rsidR="006845F1">
        <w:rPr>
          <w:b/>
        </w:rPr>
        <w:t> 15]</w:t>
      </w:r>
    </w:p>
    <w:p w:rsidR="006C354F" w:rsidRDefault="006C354F" w:rsidP="006845F1">
      <w:pPr>
        <w:spacing w:before="120" w:after="120" w:line="360" w:lineRule="auto"/>
        <w:ind w:left="1416" w:hanging="566"/>
      </w:pPr>
      <w:r>
        <w:t>a)</w:t>
      </w:r>
      <w:r>
        <w:tab/>
        <w:t>produkcji drewna i biomateriałów;</w:t>
      </w:r>
    </w:p>
    <w:p w:rsidR="006845F1" w:rsidRDefault="006845F1">
      <w:pPr>
        <w:widowControl/>
      </w:pPr>
      <w:r>
        <w:br w:type="page"/>
      </w:r>
    </w:p>
    <w:p w:rsidR="006C354F" w:rsidRPr="006845F1" w:rsidRDefault="006C354F" w:rsidP="006845F1">
      <w:pPr>
        <w:spacing w:before="120" w:after="120" w:line="360" w:lineRule="auto"/>
        <w:ind w:left="1416" w:hanging="566"/>
        <w:rPr>
          <w:b/>
        </w:rPr>
      </w:pPr>
      <w:r>
        <w:lastRenderedPageBreak/>
        <w:t>b)</w:t>
      </w:r>
      <w:r>
        <w:tab/>
        <w:t>ochrony</w:t>
      </w:r>
      <w:r>
        <w:rPr>
          <w:b/>
          <w:i/>
        </w:rPr>
        <w:t xml:space="preserve"> leśnych zasobów genetycznych oraz</w:t>
      </w:r>
      <w:r>
        <w:t xml:space="preserve"> różnorodności biologicznej,</w:t>
      </w:r>
      <w:r>
        <w:rPr>
          <w:b/>
          <w:i/>
        </w:rPr>
        <w:t xml:space="preserve"> a także wzmocnienia różnorodności biologicznej;</w:t>
      </w:r>
      <w:r w:rsidR="006845F1">
        <w:rPr>
          <w:b/>
        </w:rPr>
        <w:t xml:space="preserve"> [</w:t>
      </w:r>
      <w:r w:rsidR="00A0113C">
        <w:rPr>
          <w:b/>
        </w:rPr>
        <w:t>Popr.</w:t>
      </w:r>
      <w:r w:rsidR="006845F1">
        <w:rPr>
          <w:b/>
        </w:rPr>
        <w:t> 16]</w:t>
      </w:r>
    </w:p>
    <w:p w:rsidR="006C354F" w:rsidRPr="006845F1" w:rsidRDefault="006C354F" w:rsidP="006845F1">
      <w:pPr>
        <w:spacing w:before="120" w:after="120" w:line="360" w:lineRule="auto"/>
        <w:ind w:left="1416" w:hanging="566"/>
        <w:rPr>
          <w:b/>
        </w:rPr>
      </w:pPr>
      <w:r>
        <w:t>c)</w:t>
      </w:r>
      <w:r>
        <w:tab/>
        <w:t>odbudowy ekosystemów leśnych</w:t>
      </w:r>
      <w:r>
        <w:rPr>
          <w:b/>
          <w:i/>
        </w:rPr>
        <w:t xml:space="preserve"> i innych terenów zalesionych oraz wspierania ich funkcjonowania</w:t>
      </w:r>
      <w:r>
        <w:t>;</w:t>
      </w:r>
      <w:r w:rsidR="006845F1">
        <w:rPr>
          <w:b/>
        </w:rPr>
        <w:t xml:space="preserve"> [</w:t>
      </w:r>
      <w:r w:rsidR="00A0113C">
        <w:rPr>
          <w:b/>
        </w:rPr>
        <w:t>Popr.</w:t>
      </w:r>
      <w:r w:rsidR="006845F1">
        <w:rPr>
          <w:b/>
        </w:rPr>
        <w:t> 17]</w:t>
      </w:r>
    </w:p>
    <w:p w:rsidR="006C354F" w:rsidRPr="006845F1" w:rsidRDefault="006C354F" w:rsidP="006845F1">
      <w:pPr>
        <w:spacing w:before="120" w:after="120" w:line="360" w:lineRule="auto"/>
        <w:ind w:left="1416" w:hanging="566"/>
        <w:rPr>
          <w:b/>
        </w:rPr>
      </w:pPr>
      <w:r>
        <w:rPr>
          <w:b/>
          <w:i/>
        </w:rPr>
        <w:t>ca)</w:t>
      </w:r>
      <w:r>
        <w:tab/>
      </w:r>
      <w:r>
        <w:rPr>
          <w:b/>
          <w:i/>
        </w:rPr>
        <w:t>tworzenia lub przywracania systemów rolno-leśnych;</w:t>
      </w:r>
      <w:r w:rsidR="006845F1">
        <w:rPr>
          <w:b/>
        </w:rPr>
        <w:t xml:space="preserve"> [</w:t>
      </w:r>
      <w:r w:rsidR="00A0113C">
        <w:rPr>
          <w:b/>
        </w:rPr>
        <w:t>Popr.</w:t>
      </w:r>
      <w:r w:rsidR="006845F1">
        <w:rPr>
          <w:b/>
        </w:rPr>
        <w:t> 18]</w:t>
      </w:r>
    </w:p>
    <w:p w:rsidR="006C354F" w:rsidRDefault="006C354F" w:rsidP="006845F1">
      <w:pPr>
        <w:spacing w:before="120" w:after="120" w:line="360" w:lineRule="auto"/>
        <w:ind w:left="1416" w:hanging="566"/>
      </w:pPr>
      <w:r>
        <w:t>d)</w:t>
      </w:r>
      <w:r>
        <w:tab/>
        <w:t>przystosowania się do zmiany klimatu;</w:t>
      </w:r>
    </w:p>
    <w:p w:rsidR="006C354F" w:rsidRDefault="006C354F" w:rsidP="006845F1">
      <w:pPr>
        <w:spacing w:before="120" w:after="120" w:line="360" w:lineRule="auto"/>
        <w:ind w:left="1416" w:hanging="566"/>
      </w:pPr>
      <w:r>
        <w:t>e)</w:t>
      </w:r>
      <w:r>
        <w:tab/>
        <w:t>łagodzenia zmiany klimatu;</w:t>
      </w:r>
    </w:p>
    <w:p w:rsidR="006C354F" w:rsidRDefault="006C354F" w:rsidP="006845F1">
      <w:pPr>
        <w:spacing w:before="120" w:after="120" w:line="360" w:lineRule="auto"/>
        <w:ind w:left="1416" w:hanging="566"/>
      </w:pPr>
      <w:r>
        <w:t>f)</w:t>
      </w:r>
      <w:r>
        <w:tab/>
        <w:t>ochrony i zrównoważonego użytkowania leśnych zasobów genetycznych.</w:t>
      </w:r>
    </w:p>
    <w:p w:rsidR="006C354F" w:rsidRPr="006845F1" w:rsidRDefault="006C354F" w:rsidP="006845F1">
      <w:pPr>
        <w:spacing w:before="120" w:after="120" w:line="360" w:lineRule="auto"/>
        <w:ind w:left="850" w:hanging="850"/>
        <w:rPr>
          <w:b/>
        </w:rPr>
      </w:pPr>
      <w:r>
        <w:t>2)</w:t>
      </w:r>
      <w:r>
        <w:tab/>
      </w:r>
      <w:r>
        <w:rPr>
          <w:strike/>
        </w:rPr>
        <w:t>„</w:t>
      </w:r>
      <w:r>
        <w:t>zalesianie” oznacza utworzenie lasu przez zasadzenie lub celowy zasiew</w:t>
      </w:r>
      <w:r>
        <w:rPr>
          <w:b/>
          <w:i/>
        </w:rPr>
        <w:t xml:space="preserve"> gatunków drzew dostosowanych do warunków regionalnych</w:t>
      </w:r>
      <w:r>
        <w:t xml:space="preserve"> na terenie, który dotychczas był użytkowany w inny sposób; skutkuje przekształceniem w las form użytkowania gruntów innych niż tereny leśne</w:t>
      </w:r>
      <w:r>
        <w:rPr>
          <w:rStyle w:val="FootnoteReference"/>
        </w:rPr>
        <w:footnoteReference w:id="21"/>
      </w:r>
      <w:r>
        <w:t>;</w:t>
      </w:r>
      <w:r w:rsidR="006845F1">
        <w:rPr>
          <w:b/>
        </w:rPr>
        <w:t xml:space="preserve"> [</w:t>
      </w:r>
      <w:r w:rsidR="00A0113C">
        <w:rPr>
          <w:b/>
        </w:rPr>
        <w:t>Popr.</w:t>
      </w:r>
      <w:r w:rsidR="006845F1">
        <w:rPr>
          <w:b/>
        </w:rPr>
        <w:t> 19]</w:t>
      </w:r>
    </w:p>
    <w:p w:rsidR="006C354F" w:rsidRPr="006845F1" w:rsidRDefault="006C354F" w:rsidP="006845F1">
      <w:pPr>
        <w:spacing w:before="120" w:after="120" w:line="360" w:lineRule="auto"/>
        <w:ind w:left="850" w:hanging="850"/>
        <w:rPr>
          <w:b/>
        </w:rPr>
      </w:pPr>
      <w:r>
        <w:t>3)</w:t>
      </w:r>
      <w:r>
        <w:tab/>
        <w:t xml:space="preserve">„ponowne zalesianie” oznacza ponowne utworzenie lasu przez zasadzenie lub celowy zasiew </w:t>
      </w:r>
      <w:r>
        <w:rPr>
          <w:b/>
          <w:i/>
        </w:rPr>
        <w:t xml:space="preserve">gatunków drzew dostosowanych do warunków regionalnych </w:t>
      </w:r>
      <w:r>
        <w:t>na terenie klasyfikowanym jako las</w:t>
      </w:r>
      <w:r>
        <w:rPr>
          <w:rStyle w:val="FootnoteReference"/>
        </w:rPr>
        <w:footnoteReference w:id="22"/>
      </w:r>
      <w:r>
        <w:t>;</w:t>
      </w:r>
      <w:r w:rsidR="006845F1">
        <w:rPr>
          <w:b/>
        </w:rPr>
        <w:t xml:space="preserve"> [</w:t>
      </w:r>
      <w:r w:rsidR="00A0113C">
        <w:rPr>
          <w:b/>
        </w:rPr>
        <w:t>Popr.</w:t>
      </w:r>
      <w:r w:rsidR="006845F1">
        <w:rPr>
          <w:b/>
        </w:rPr>
        <w:t> 20]</w:t>
      </w:r>
    </w:p>
    <w:p w:rsidR="00A77FBE" w:rsidRDefault="00A77FBE">
      <w:pPr>
        <w:widowControl/>
        <w:rPr>
          <w:b/>
          <w:i/>
        </w:rPr>
      </w:pPr>
      <w:r>
        <w:rPr>
          <w:b/>
          <w:i/>
        </w:rPr>
        <w:br w:type="page"/>
      </w:r>
    </w:p>
    <w:p w:rsidR="006C354F" w:rsidRPr="00A77FBE" w:rsidRDefault="006C354F" w:rsidP="006845F1">
      <w:pPr>
        <w:spacing w:before="120" w:after="120" w:line="360" w:lineRule="auto"/>
        <w:ind w:left="850" w:hanging="850"/>
        <w:rPr>
          <w:b/>
        </w:rPr>
      </w:pPr>
      <w:r>
        <w:rPr>
          <w:b/>
          <w:i/>
        </w:rPr>
        <w:lastRenderedPageBreak/>
        <w:t>3a)</w:t>
      </w:r>
      <w:r>
        <w:tab/>
      </w:r>
      <w:r>
        <w:rPr>
          <w:b/>
          <w:i/>
        </w:rPr>
        <w:t>„system rolno-leśny” oznacza sadzenie drzew na gruntach rolnych bez zmiany klasyfikacji gruntów</w:t>
      </w:r>
      <w:r w:rsidR="00A77FBE">
        <w:rPr>
          <w:b/>
          <w:i/>
        </w:rPr>
        <w:t>;</w:t>
      </w:r>
      <w:r w:rsidR="00A77FBE">
        <w:rPr>
          <w:b/>
        </w:rPr>
        <w:t xml:space="preserve"> [</w:t>
      </w:r>
      <w:r w:rsidR="00A0113C">
        <w:rPr>
          <w:b/>
        </w:rPr>
        <w:t>Popr.</w:t>
      </w:r>
      <w:r w:rsidR="00A77FBE">
        <w:rPr>
          <w:b/>
        </w:rPr>
        <w:t> 120]</w:t>
      </w:r>
    </w:p>
    <w:p w:rsidR="006C354F" w:rsidRPr="00A77FBE" w:rsidRDefault="006C354F" w:rsidP="006845F1">
      <w:pPr>
        <w:spacing w:before="120" w:after="120" w:line="360" w:lineRule="auto"/>
        <w:ind w:left="850" w:hanging="850"/>
        <w:rPr>
          <w:b/>
        </w:rPr>
      </w:pPr>
      <w:r>
        <w:t>4)</w:t>
      </w:r>
      <w:r>
        <w:tab/>
        <w:t>„jednostka nasienna” oznacza szyszki, owocostany, owoce i nasiona przeznaczone do produkcji materiału sadzeniowego</w:t>
      </w:r>
      <w:r>
        <w:rPr>
          <w:b/>
          <w:i/>
        </w:rPr>
        <w:t xml:space="preserve"> lub do siewu bezpośredniego</w:t>
      </w:r>
      <w:r>
        <w:t>;</w:t>
      </w:r>
      <w:r w:rsidR="00A77FBE">
        <w:rPr>
          <w:b/>
        </w:rPr>
        <w:t xml:space="preserve"> [</w:t>
      </w:r>
      <w:r w:rsidR="00A0113C">
        <w:rPr>
          <w:b/>
        </w:rPr>
        <w:t>Popr.</w:t>
      </w:r>
      <w:r w:rsidR="00A77FBE">
        <w:rPr>
          <w:b/>
        </w:rPr>
        <w:t> 21]</w:t>
      </w:r>
    </w:p>
    <w:p w:rsidR="006C354F" w:rsidRDefault="006C354F" w:rsidP="006845F1">
      <w:pPr>
        <w:spacing w:before="120" w:after="120" w:line="360" w:lineRule="auto"/>
        <w:ind w:left="850" w:hanging="850"/>
      </w:pPr>
      <w:r>
        <w:t>5)</w:t>
      </w:r>
      <w:r>
        <w:tab/>
        <w:t>„materiał sadzeniowy” oznacza roślinę lub część rośliny wykorzystywaną do rozmnażania roślin i obejmuje rośliny wyhodowane z jednostek nasiennych, z części roślin lub z roślin z samosiewu;</w:t>
      </w:r>
    </w:p>
    <w:p w:rsidR="006C354F" w:rsidRDefault="006C354F" w:rsidP="006845F1">
      <w:pPr>
        <w:spacing w:before="120" w:after="120" w:line="360" w:lineRule="auto"/>
        <w:ind w:left="850" w:hanging="850"/>
      </w:pPr>
      <w:r>
        <w:t>6)</w:t>
      </w:r>
      <w:r>
        <w:tab/>
        <w:t xml:space="preserve">„części roślin” oznaczają zrzezy pędowe, zrzezy liściowe oraz zrzezy korzeniowe, </w:t>
      </w:r>
      <w:proofErr w:type="spellStart"/>
      <w:r>
        <w:t>eksplanty</w:t>
      </w:r>
      <w:proofErr w:type="spellEnd"/>
      <w:r>
        <w:t xml:space="preserve"> lub zarodki służące do mikrorozmnażania, pąki, odkłady, korzenie, zrazy, sadzonki lub dowolne części roślin wykorzystywane do produkcji materiału sadzeniowego;</w:t>
      </w:r>
    </w:p>
    <w:p w:rsidR="006C354F" w:rsidRPr="00A77FBE" w:rsidRDefault="006C354F" w:rsidP="006845F1">
      <w:pPr>
        <w:spacing w:before="120" w:after="120" w:line="360" w:lineRule="auto"/>
        <w:ind w:left="850" w:hanging="850"/>
        <w:rPr>
          <w:b/>
        </w:rPr>
      </w:pPr>
      <w:r>
        <w:t>7)</w:t>
      </w:r>
      <w:r>
        <w:tab/>
        <w:t>„produkcja” oznacza wszystkie etapy wytwarzania materiału siewnego</w:t>
      </w:r>
      <w:r>
        <w:rPr>
          <w:b/>
          <w:i/>
        </w:rPr>
        <w:t>, części roślin oraz</w:t>
      </w:r>
      <w:r>
        <w:rPr>
          <w:strike/>
        </w:rPr>
        <w:t xml:space="preserve"> i</w:t>
      </w:r>
      <w:r>
        <w:t xml:space="preserve"> roślin, </w:t>
      </w:r>
      <w:r>
        <w:rPr>
          <w:strike/>
        </w:rPr>
        <w:t>przekształcania jednostek nasiennych w materiał siewny oraz hodowlę roślin z</w:t>
      </w:r>
      <w:r>
        <w:rPr>
          <w:b/>
          <w:i/>
        </w:rPr>
        <w:t>a także etapy niezbędne do uzyskania odpowiedniego</w:t>
      </w:r>
      <w:r>
        <w:t xml:space="preserve"> materiału sadzeniowego w celu wprowadzenia do obrotu</w:t>
      </w:r>
      <w:r>
        <w:rPr>
          <w:strike/>
        </w:rPr>
        <w:t xml:space="preserve"> odpowiedniego LMR</w:t>
      </w:r>
      <w:r>
        <w:t>;</w:t>
      </w:r>
      <w:r w:rsidR="00A77FBE">
        <w:rPr>
          <w:b/>
        </w:rPr>
        <w:t xml:space="preserve"> [</w:t>
      </w:r>
      <w:r w:rsidR="00A0113C">
        <w:rPr>
          <w:b/>
        </w:rPr>
        <w:t>Popr.</w:t>
      </w:r>
      <w:r w:rsidR="00A77FBE">
        <w:rPr>
          <w:b/>
        </w:rPr>
        <w:t> 22]</w:t>
      </w:r>
    </w:p>
    <w:p w:rsidR="00A77FBE" w:rsidRDefault="00A77FBE">
      <w:pPr>
        <w:widowControl/>
      </w:pPr>
      <w:r>
        <w:br w:type="page"/>
      </w:r>
    </w:p>
    <w:p w:rsidR="006C354F" w:rsidRPr="00A77FBE" w:rsidRDefault="006C354F" w:rsidP="006845F1">
      <w:pPr>
        <w:spacing w:before="120" w:after="120" w:line="360" w:lineRule="auto"/>
        <w:ind w:left="850" w:hanging="850"/>
        <w:rPr>
          <w:b/>
        </w:rPr>
      </w:pPr>
      <w:r>
        <w:lastRenderedPageBreak/>
        <w:t>8)</w:t>
      </w:r>
      <w:r>
        <w:tab/>
        <w:t xml:space="preserve">„źródło nasion” oznacza drzewa na </w:t>
      </w:r>
      <w:r>
        <w:rPr>
          <w:b/>
          <w:i/>
        </w:rPr>
        <w:t xml:space="preserve">określonym </w:t>
      </w:r>
      <w:r>
        <w:t xml:space="preserve">obszarze, z którego zbierane są </w:t>
      </w:r>
      <w:proofErr w:type="spellStart"/>
      <w:r>
        <w:rPr>
          <w:strike/>
        </w:rPr>
        <w:t>nasiona</w:t>
      </w:r>
      <w:r>
        <w:rPr>
          <w:b/>
          <w:i/>
        </w:rPr>
        <w:t>jednostki</w:t>
      </w:r>
      <w:proofErr w:type="spellEnd"/>
      <w:r>
        <w:rPr>
          <w:b/>
          <w:i/>
        </w:rPr>
        <w:t xml:space="preserve"> nasienne</w:t>
      </w:r>
      <w:r>
        <w:t>;</w:t>
      </w:r>
      <w:r w:rsidR="00A77FBE">
        <w:rPr>
          <w:b/>
        </w:rPr>
        <w:t xml:space="preserve"> [</w:t>
      </w:r>
      <w:r w:rsidR="00A0113C">
        <w:rPr>
          <w:b/>
        </w:rPr>
        <w:t>Popr.</w:t>
      </w:r>
      <w:r w:rsidR="00A77FBE">
        <w:rPr>
          <w:b/>
        </w:rPr>
        <w:t> 23]</w:t>
      </w:r>
    </w:p>
    <w:p w:rsidR="006C354F" w:rsidRDefault="006C354F" w:rsidP="006845F1">
      <w:pPr>
        <w:spacing w:before="120" w:after="120" w:line="360" w:lineRule="auto"/>
        <w:ind w:left="850" w:hanging="850"/>
      </w:pPr>
      <w:r>
        <w:t>9)</w:t>
      </w:r>
      <w:r>
        <w:tab/>
        <w:t>„drzewostan” oznacza określoną populację drzew posiadającą wystarczającą jednolitość składu;</w:t>
      </w:r>
    </w:p>
    <w:p w:rsidR="006C354F" w:rsidRDefault="006C354F" w:rsidP="006845F1">
      <w:pPr>
        <w:spacing w:before="120" w:after="120" w:line="360" w:lineRule="auto"/>
        <w:ind w:left="850" w:hanging="850"/>
      </w:pPr>
      <w:r>
        <w:t>10)</w:t>
      </w:r>
      <w:r>
        <w:tab/>
        <w:t>„plantacja nasienna” oznacza plantację wyselekcjonowanych drzew, na której każde drzewo identyfikowane jest za pomocą klonu, rodu lub miejsca pochodzenia, która jest odizolowana lub zagospodarowana w taki sposób, aby uniknąć zapylania ze źródeł zewnętrznych, i prowadzona w taki sposób, aby uzyskiwać częste, obfite i łatwe do zebrania zbiory nasion;</w:t>
      </w:r>
    </w:p>
    <w:p w:rsidR="006C354F" w:rsidRDefault="006C354F" w:rsidP="006845F1">
      <w:pPr>
        <w:spacing w:before="120" w:after="120" w:line="360" w:lineRule="auto"/>
        <w:ind w:left="850" w:hanging="850"/>
      </w:pPr>
      <w:r>
        <w:t>11)</w:t>
      </w:r>
      <w:r>
        <w:tab/>
        <w:t>„drzewa mateczne” oznaczają drzewa wykorzystywane jako osobniki rodzicielskie do uzyskiwania potomstwa poprzez kontrolowane lub swobodne zapylanie jednego ze zidentyfikowanych osobników rodzicielskich, wykorzystywanego jako osobnik żeński („drzewo-matka”), pyłkiem jednego „drzewa-ojca” (potomstwo z obojga znanych rodziców) lub pyłkiem wielu zidentyfikowanych lub niezidentyfikowanych „drzew-ojców” (potomstwo ze znanej matki);</w:t>
      </w:r>
    </w:p>
    <w:p w:rsidR="006C354F" w:rsidRDefault="006C354F" w:rsidP="006845F1">
      <w:pPr>
        <w:spacing w:before="120" w:after="120" w:line="360" w:lineRule="auto"/>
        <w:ind w:left="850" w:hanging="850"/>
      </w:pPr>
      <w:r>
        <w:t>12)</w:t>
      </w:r>
      <w:r>
        <w:tab/>
        <w:t>„klon” oznacza grupę osobników (</w:t>
      </w:r>
      <w:proofErr w:type="spellStart"/>
      <w:r>
        <w:t>rametów</w:t>
      </w:r>
      <w:proofErr w:type="spellEnd"/>
      <w:r>
        <w:t>) pochodzących pierwotnie z jednego osobnika (</w:t>
      </w:r>
      <w:proofErr w:type="spellStart"/>
      <w:r>
        <w:t>ortetu</w:t>
      </w:r>
      <w:proofErr w:type="spellEnd"/>
      <w:r>
        <w:t>) uzyskanych poprzez rozmnażanie wegetatywne, na przykład przez zrzezy, mikrorozmnażanie, zrazy, odkłady lub podziały;</w:t>
      </w:r>
    </w:p>
    <w:p w:rsidR="00A77FBE" w:rsidRDefault="00A77FBE">
      <w:pPr>
        <w:widowControl/>
      </w:pPr>
      <w:r>
        <w:br w:type="page"/>
      </w:r>
    </w:p>
    <w:p w:rsidR="006C354F" w:rsidRDefault="006C354F" w:rsidP="006845F1">
      <w:pPr>
        <w:spacing w:before="120" w:after="120" w:line="360" w:lineRule="auto"/>
        <w:ind w:left="850" w:hanging="850"/>
      </w:pPr>
      <w:r>
        <w:lastRenderedPageBreak/>
        <w:t>13)</w:t>
      </w:r>
      <w:r>
        <w:tab/>
        <w:t>„mieszanka klonów” oznacza mieszankę zidentyfikowanych klonów w określonych proporcjach;</w:t>
      </w:r>
    </w:p>
    <w:p w:rsidR="006C354F" w:rsidRDefault="006C354F" w:rsidP="006845F1">
      <w:pPr>
        <w:spacing w:before="120" w:after="120" w:line="360" w:lineRule="auto"/>
        <w:ind w:left="850" w:hanging="850"/>
      </w:pPr>
      <w:r>
        <w:t>14)</w:t>
      </w:r>
      <w:r>
        <w:tab/>
        <w:t xml:space="preserve">„materiał podstawowy” oznacza którekolwiek z </w:t>
      </w:r>
      <w:proofErr w:type="spellStart"/>
      <w:r>
        <w:t>poniższych:źródło</w:t>
      </w:r>
      <w:proofErr w:type="spellEnd"/>
      <w:r>
        <w:t xml:space="preserve"> nasion, drzewostan, plantację nasienną, drzewa mateczne, klon lub mieszankę klonów;</w:t>
      </w:r>
    </w:p>
    <w:p w:rsidR="006C354F" w:rsidRPr="00A77FBE" w:rsidRDefault="006C354F" w:rsidP="006845F1">
      <w:pPr>
        <w:spacing w:before="120" w:after="120" w:line="360" w:lineRule="auto"/>
        <w:ind w:left="850" w:hanging="850"/>
        <w:rPr>
          <w:b/>
        </w:rPr>
      </w:pPr>
      <w:r>
        <w:t>15)</w:t>
      </w:r>
      <w:r>
        <w:tab/>
        <w:t>„jednostka zatwierdzenia” oznacza cały obszar</w:t>
      </w:r>
      <w:r>
        <w:rPr>
          <w:b/>
          <w:i/>
        </w:rPr>
        <w:t xml:space="preserve"> lub osobników</w:t>
      </w:r>
      <w:r>
        <w:t xml:space="preserve"> materiału podstawowego na potrzeby produkcji LMR zatwierdzony przez właściwe organy;</w:t>
      </w:r>
      <w:r w:rsidR="00A77FBE">
        <w:rPr>
          <w:b/>
        </w:rPr>
        <w:t xml:space="preserve"> [</w:t>
      </w:r>
      <w:r w:rsidR="00A0113C">
        <w:rPr>
          <w:b/>
        </w:rPr>
        <w:t>Popr.</w:t>
      </w:r>
      <w:r w:rsidR="00A77FBE">
        <w:rPr>
          <w:b/>
        </w:rPr>
        <w:t> 24]</w:t>
      </w:r>
    </w:p>
    <w:p w:rsidR="006C354F" w:rsidRPr="00A77FBE" w:rsidRDefault="006C354F" w:rsidP="006845F1">
      <w:pPr>
        <w:spacing w:before="120" w:after="120" w:line="360" w:lineRule="auto"/>
        <w:ind w:left="850" w:hanging="850"/>
        <w:rPr>
          <w:b/>
        </w:rPr>
      </w:pPr>
      <w:r>
        <w:t>16)</w:t>
      </w:r>
      <w:r>
        <w:tab/>
        <w:t>„jednostka zgłoszenia” oznacza cały zgłoszony właściwym organom obszar</w:t>
      </w:r>
      <w:r>
        <w:rPr>
          <w:b/>
          <w:i/>
        </w:rPr>
        <w:t>, osobnika lub osobników</w:t>
      </w:r>
      <w:r>
        <w:t xml:space="preserve"> materiału podstawowego na potrzeby produkcji LMR przeznaczonego do celów ochrony i zrównoważonego użytkowania leśnych zasobów genetycznych;</w:t>
      </w:r>
      <w:r w:rsidR="00A77FBE">
        <w:rPr>
          <w:b/>
        </w:rPr>
        <w:t xml:space="preserve"> [</w:t>
      </w:r>
      <w:r w:rsidR="00A0113C">
        <w:rPr>
          <w:b/>
        </w:rPr>
        <w:t>Popr.</w:t>
      </w:r>
      <w:r w:rsidR="00A77FBE">
        <w:rPr>
          <w:b/>
        </w:rPr>
        <w:t> 25]</w:t>
      </w:r>
    </w:p>
    <w:p w:rsidR="006C354F" w:rsidRPr="00A77FBE" w:rsidRDefault="006C354F" w:rsidP="006845F1">
      <w:pPr>
        <w:spacing w:before="120" w:after="120" w:line="360" w:lineRule="auto"/>
        <w:ind w:left="850" w:hanging="850"/>
        <w:rPr>
          <w:b/>
        </w:rPr>
      </w:pPr>
      <w:r>
        <w:t>17)</w:t>
      </w:r>
      <w:r>
        <w:tab/>
        <w:t xml:space="preserve">„partia materiału siewnego” oznacza zestaw nasion </w:t>
      </w:r>
      <w:proofErr w:type="spellStart"/>
      <w:r>
        <w:rPr>
          <w:strike/>
        </w:rPr>
        <w:t>zebranych</w:t>
      </w:r>
      <w:r>
        <w:rPr>
          <w:b/>
          <w:i/>
        </w:rPr>
        <w:t>ekstrahowanych</w:t>
      </w:r>
      <w:proofErr w:type="spellEnd"/>
      <w:r>
        <w:rPr>
          <w:b/>
          <w:i/>
        </w:rPr>
        <w:t xml:space="preserve"> lub oczyszczonych</w:t>
      </w:r>
      <w:r>
        <w:t xml:space="preserve"> z zatwierdzonego materiału podstawowego i przetworzonych w jednolity sposób;</w:t>
      </w:r>
      <w:r w:rsidR="00A77FBE">
        <w:rPr>
          <w:b/>
        </w:rPr>
        <w:t xml:space="preserve"> [</w:t>
      </w:r>
      <w:r w:rsidR="00A0113C">
        <w:rPr>
          <w:b/>
        </w:rPr>
        <w:t>Popr.</w:t>
      </w:r>
      <w:r w:rsidR="00A77FBE">
        <w:rPr>
          <w:b/>
        </w:rPr>
        <w:t> 26]</w:t>
      </w:r>
    </w:p>
    <w:p w:rsidR="006C354F" w:rsidRPr="00A77FBE" w:rsidRDefault="006C354F" w:rsidP="006845F1">
      <w:pPr>
        <w:spacing w:before="120" w:after="120" w:line="360" w:lineRule="auto"/>
        <w:ind w:left="850" w:hanging="850"/>
        <w:rPr>
          <w:b/>
        </w:rPr>
      </w:pPr>
      <w:r>
        <w:t>18)</w:t>
      </w:r>
      <w:r>
        <w:tab/>
        <w:t xml:space="preserve">„partia </w:t>
      </w:r>
      <w:r>
        <w:rPr>
          <w:strike/>
        </w:rPr>
        <w:t xml:space="preserve">materiału </w:t>
      </w:r>
      <w:proofErr w:type="spellStart"/>
      <w:r>
        <w:rPr>
          <w:strike/>
        </w:rPr>
        <w:t>sadzeniowego</w:t>
      </w:r>
      <w:r>
        <w:rPr>
          <w:b/>
          <w:i/>
        </w:rPr>
        <w:t>roślin</w:t>
      </w:r>
      <w:proofErr w:type="spellEnd"/>
      <w:r>
        <w:t xml:space="preserve">” oznacza zestaw </w:t>
      </w:r>
      <w:r>
        <w:rPr>
          <w:strike/>
        </w:rPr>
        <w:t xml:space="preserve">materiału sadzeniowego </w:t>
      </w:r>
      <w:proofErr w:type="spellStart"/>
      <w:r>
        <w:rPr>
          <w:strike/>
        </w:rPr>
        <w:t>wyhodowanego</w:t>
      </w:r>
      <w:r>
        <w:rPr>
          <w:b/>
          <w:i/>
        </w:rPr>
        <w:t>roślin</w:t>
      </w:r>
      <w:proofErr w:type="spellEnd"/>
      <w:r>
        <w:rPr>
          <w:b/>
          <w:i/>
        </w:rPr>
        <w:t xml:space="preserve"> wyprodukowanych</w:t>
      </w:r>
      <w:r>
        <w:t xml:space="preserve"> z jednej partii materiału siewnego lub </w:t>
      </w:r>
      <w:r>
        <w:rPr>
          <w:strike/>
        </w:rPr>
        <w:t xml:space="preserve">materiał sadzeniowy </w:t>
      </w:r>
      <w:proofErr w:type="spellStart"/>
      <w:r>
        <w:rPr>
          <w:strike/>
        </w:rPr>
        <w:t>uzyskany</w:t>
      </w:r>
      <w:r>
        <w:rPr>
          <w:b/>
          <w:i/>
        </w:rPr>
        <w:t>zestaw</w:t>
      </w:r>
      <w:proofErr w:type="spellEnd"/>
      <w:r>
        <w:rPr>
          <w:b/>
          <w:i/>
        </w:rPr>
        <w:t xml:space="preserve"> roślin uzyskanych</w:t>
      </w:r>
      <w:r>
        <w:t xml:space="preserve"> przez rozmnażanie wegetatywne, </w:t>
      </w:r>
      <w:proofErr w:type="spellStart"/>
      <w:r>
        <w:rPr>
          <w:strike/>
        </w:rPr>
        <w:t>wyhodowany</w:t>
      </w:r>
      <w:r>
        <w:rPr>
          <w:b/>
          <w:i/>
        </w:rPr>
        <w:t>wyprodukowanych</w:t>
      </w:r>
      <w:proofErr w:type="spellEnd"/>
      <w:r>
        <w:t xml:space="preserve"> na określonym obszarze i </w:t>
      </w:r>
      <w:proofErr w:type="spellStart"/>
      <w:r>
        <w:rPr>
          <w:strike/>
        </w:rPr>
        <w:t>przetworzony</w:t>
      </w:r>
      <w:r>
        <w:rPr>
          <w:b/>
          <w:i/>
        </w:rPr>
        <w:t>przetworzonych</w:t>
      </w:r>
      <w:proofErr w:type="spellEnd"/>
      <w:r>
        <w:t xml:space="preserve"> w jednolity sposób;</w:t>
      </w:r>
      <w:r w:rsidR="00A77FBE">
        <w:rPr>
          <w:b/>
        </w:rPr>
        <w:t xml:space="preserve"> [</w:t>
      </w:r>
      <w:r w:rsidR="00A0113C">
        <w:rPr>
          <w:b/>
        </w:rPr>
        <w:t>Popr.</w:t>
      </w:r>
      <w:r w:rsidR="00A77FBE">
        <w:rPr>
          <w:b/>
        </w:rPr>
        <w:t> 27]</w:t>
      </w:r>
    </w:p>
    <w:p w:rsidR="00A77FBE" w:rsidRDefault="00A77FBE">
      <w:pPr>
        <w:widowControl/>
      </w:pPr>
      <w:r>
        <w:br w:type="page"/>
      </w:r>
    </w:p>
    <w:p w:rsidR="006C354F" w:rsidRPr="00A77FBE" w:rsidRDefault="006C354F" w:rsidP="006845F1">
      <w:pPr>
        <w:spacing w:before="120" w:after="120" w:line="360" w:lineRule="auto"/>
        <w:ind w:left="850" w:hanging="850"/>
        <w:rPr>
          <w:b/>
        </w:rPr>
      </w:pPr>
      <w:r>
        <w:lastRenderedPageBreak/>
        <w:t>19)</w:t>
      </w:r>
      <w:r>
        <w:tab/>
        <w:t>„</w:t>
      </w:r>
      <w:proofErr w:type="spellStart"/>
      <w:r>
        <w:rPr>
          <w:strike/>
        </w:rPr>
        <w:t>numer</w:t>
      </w:r>
      <w:r>
        <w:rPr>
          <w:b/>
          <w:i/>
        </w:rPr>
        <w:t>kod</w:t>
      </w:r>
      <w:proofErr w:type="spellEnd"/>
      <w:r>
        <w:t xml:space="preserve"> partii” oznacza, odpowiednio, </w:t>
      </w:r>
      <w:proofErr w:type="spellStart"/>
      <w:r>
        <w:rPr>
          <w:strike/>
        </w:rPr>
        <w:t>numer</w:t>
      </w:r>
      <w:r>
        <w:rPr>
          <w:b/>
          <w:i/>
        </w:rPr>
        <w:t>kod</w:t>
      </w:r>
      <w:proofErr w:type="spellEnd"/>
      <w:r>
        <w:t xml:space="preserve"> identyfikacyjny partii materiału siewnego lub partii materiału sadzeniowego;</w:t>
      </w:r>
      <w:r w:rsidR="00A77FBE">
        <w:rPr>
          <w:b/>
        </w:rPr>
        <w:t xml:space="preserve"> [</w:t>
      </w:r>
      <w:r w:rsidR="00A0113C">
        <w:rPr>
          <w:b/>
        </w:rPr>
        <w:t>Popr.</w:t>
      </w:r>
      <w:r w:rsidR="00A77FBE">
        <w:rPr>
          <w:b/>
        </w:rPr>
        <w:t> 28]</w:t>
      </w:r>
    </w:p>
    <w:p w:rsidR="006C354F" w:rsidRDefault="006C354F" w:rsidP="006845F1">
      <w:pPr>
        <w:spacing w:before="120" w:after="120" w:line="360" w:lineRule="auto"/>
        <w:ind w:left="850" w:hanging="850"/>
      </w:pPr>
      <w:r>
        <w:t>20)</w:t>
      </w:r>
      <w:r>
        <w:tab/>
        <w:t>„miejsce pochodzenia” oznacza miejsce, w którym rośnie dowolny drzewostan;</w:t>
      </w:r>
    </w:p>
    <w:p w:rsidR="006C354F" w:rsidRDefault="006C354F" w:rsidP="006845F1">
      <w:pPr>
        <w:spacing w:before="120" w:after="120" w:line="360" w:lineRule="auto"/>
        <w:ind w:left="850" w:hanging="850"/>
      </w:pPr>
      <w:r>
        <w:t>21)</w:t>
      </w:r>
      <w:r>
        <w:tab/>
        <w:t>„podgatunek” oznacza grupę w obrębie gatunku, która nieco różni się pod względem fenotypowym i genetycznym od pozostałej części grupy;</w:t>
      </w:r>
    </w:p>
    <w:p w:rsidR="006C354F" w:rsidRDefault="006C354F" w:rsidP="006845F1">
      <w:pPr>
        <w:spacing w:before="120" w:after="120" w:line="360" w:lineRule="auto"/>
        <w:ind w:left="850" w:hanging="850"/>
      </w:pPr>
      <w:r>
        <w:t>22)</w:t>
      </w:r>
      <w:r>
        <w:tab/>
        <w:t>„region pochodzenia” oznacza – w odniesieniu do gatunków lub podgatunków – obszar lub grupę obszarów podlegających wystarczająco jednolitym warunkom ekologicznym, na których znajdują się drzewostany lub źródła nasion wykazujące podobne cechy fenotypowe lub genetyczne, z uwzględnieniem w stosownych przypadkach granic związanych z wysokością nad poziomem morza;</w:t>
      </w:r>
    </w:p>
    <w:p w:rsidR="006C354F" w:rsidRDefault="006C354F" w:rsidP="006845F1">
      <w:pPr>
        <w:spacing w:before="120" w:after="120" w:line="360" w:lineRule="auto"/>
        <w:ind w:left="850" w:hanging="850"/>
      </w:pPr>
      <w:r>
        <w:t>23)</w:t>
      </w:r>
      <w:r>
        <w:tab/>
        <w:t>„autochtoniczny drzewostan” oznacza drzewostan rodzimych gatunków drzew, który był stale odnawiany w drodze samosiewu albo sztucznie z LMR zebranego w jednym drzewostanie lub w drzewostanach rodzimych gatunków drzew rosnących w bliskim sąsiedztwie;</w:t>
      </w:r>
    </w:p>
    <w:p w:rsidR="006C354F" w:rsidRDefault="006C354F" w:rsidP="006845F1">
      <w:pPr>
        <w:spacing w:before="120" w:after="120" w:line="360" w:lineRule="auto"/>
        <w:ind w:left="850" w:hanging="850"/>
      </w:pPr>
      <w:r>
        <w:t>24)</w:t>
      </w:r>
      <w:r>
        <w:tab/>
        <w:t>„rodzimy drzewostan” oznacza autochtoniczny drzewostan lub drzewostan wyhodowany sztucznie z materiału siewnego, przy czym pochodzenie pierwotne tego drzewostanu oraz sam drzewostan znajdują się w tym samym regionie pochodzenia;</w:t>
      </w:r>
    </w:p>
    <w:p w:rsidR="00A77FBE" w:rsidRDefault="00A77FBE">
      <w:pPr>
        <w:widowControl/>
      </w:pPr>
      <w:r>
        <w:br w:type="page"/>
      </w:r>
    </w:p>
    <w:p w:rsidR="006C354F" w:rsidRDefault="006C354F" w:rsidP="006845F1">
      <w:pPr>
        <w:spacing w:before="120" w:after="120" w:line="360" w:lineRule="auto"/>
        <w:ind w:left="850" w:hanging="850"/>
      </w:pPr>
      <w:r>
        <w:lastRenderedPageBreak/>
        <w:t>25)</w:t>
      </w:r>
      <w:r>
        <w:tab/>
        <w:t>„pochodzenie pierwotne” oznacza:</w:t>
      </w:r>
    </w:p>
    <w:p w:rsidR="006C354F" w:rsidRDefault="006C354F" w:rsidP="006845F1">
      <w:pPr>
        <w:spacing w:before="120" w:after="120" w:line="360" w:lineRule="auto"/>
        <w:ind w:left="1416" w:hanging="566"/>
      </w:pPr>
      <w:r>
        <w:t>a)</w:t>
      </w:r>
      <w:r>
        <w:tab/>
        <w:t>w przypadku autochtonicznego źródła nasion lub drzewostanu – miejsce, w którym rosną drzewa;</w:t>
      </w:r>
    </w:p>
    <w:p w:rsidR="006C354F" w:rsidRDefault="006C354F" w:rsidP="006845F1">
      <w:pPr>
        <w:spacing w:before="120" w:after="120" w:line="360" w:lineRule="auto"/>
        <w:ind w:left="1416" w:hanging="566"/>
      </w:pPr>
      <w:r>
        <w:t>b)</w:t>
      </w:r>
      <w:r>
        <w:tab/>
        <w:t>w przypadku nieautochtonicznego źródła nasion lub drzewostanu – miejsce, z którego nasiona lub rośliny pierwotnie wprowadzono;</w:t>
      </w:r>
    </w:p>
    <w:p w:rsidR="006C354F" w:rsidRDefault="006C354F" w:rsidP="006845F1">
      <w:pPr>
        <w:spacing w:before="120" w:after="120" w:line="360" w:lineRule="auto"/>
        <w:ind w:left="1416" w:hanging="566"/>
      </w:pPr>
      <w:r>
        <w:t>c)</w:t>
      </w:r>
      <w:r>
        <w:tab/>
        <w:t>w przypadku plantacji nasiennej – miejsca, w których pierwotnie znajdowały się jej składniki, takie jak miejsca pochodzenia lub inne istotne informacje geograficzne;</w:t>
      </w:r>
    </w:p>
    <w:p w:rsidR="006C354F" w:rsidRDefault="006C354F" w:rsidP="006845F1">
      <w:pPr>
        <w:spacing w:before="120" w:after="120" w:line="360" w:lineRule="auto"/>
        <w:ind w:left="1416" w:hanging="566"/>
      </w:pPr>
      <w:r>
        <w:t>d)</w:t>
      </w:r>
      <w:r>
        <w:tab/>
        <w:t>w przypadku drzew matecznych – miejsca, w których pierwotnie znajdowały się ich składniki, takie jak miejsca pochodzenia lub inne istotne informacje geograficzne;</w:t>
      </w:r>
    </w:p>
    <w:p w:rsidR="006C354F" w:rsidRDefault="006C354F" w:rsidP="006845F1">
      <w:pPr>
        <w:spacing w:before="120" w:after="120" w:line="360" w:lineRule="auto"/>
        <w:ind w:left="1416" w:hanging="566"/>
      </w:pPr>
      <w:r>
        <w:t>e)</w:t>
      </w:r>
      <w:r>
        <w:tab/>
        <w:t xml:space="preserve">w przypadku klonu miejscem pochodzenia pierwotnego jest miejsce w którym </w:t>
      </w:r>
      <w:proofErr w:type="spellStart"/>
      <w:r>
        <w:t>ortet</w:t>
      </w:r>
      <w:proofErr w:type="spellEnd"/>
      <w:r>
        <w:t xml:space="preserve"> pierwotnie znajduje się lub znajdował lub w którym został wyselekcjonowany;</w:t>
      </w:r>
    </w:p>
    <w:p w:rsidR="006C354F" w:rsidRDefault="006C354F" w:rsidP="006845F1">
      <w:pPr>
        <w:spacing w:before="120" w:after="120" w:line="360" w:lineRule="auto"/>
        <w:ind w:left="1416" w:hanging="566"/>
      </w:pPr>
      <w:r>
        <w:t>f)</w:t>
      </w:r>
      <w:r>
        <w:tab/>
        <w:t xml:space="preserve">w przypadku mieszanki klonów miejscami pochodzenia pierwotnego są miejsca w których </w:t>
      </w:r>
      <w:proofErr w:type="spellStart"/>
      <w:r>
        <w:t>ortety</w:t>
      </w:r>
      <w:proofErr w:type="spellEnd"/>
      <w:r>
        <w:t xml:space="preserve"> pierwotnie znajdują się lub znajdowały lub w których zostały wyselekcjonowane;</w:t>
      </w:r>
    </w:p>
    <w:p w:rsidR="006C354F" w:rsidRDefault="006C354F" w:rsidP="006845F1">
      <w:pPr>
        <w:spacing w:before="120" w:after="120" w:line="360" w:lineRule="auto"/>
        <w:ind w:left="850" w:hanging="850"/>
      </w:pPr>
      <w:r>
        <w:t>26)</w:t>
      </w:r>
      <w:r>
        <w:tab/>
        <w:t>„lokalizacja materiału podstawowego” oznacza obszar geograficzny lub położenie geograficzne materiału podstawowego odpowiednio do każdej kategorii LMR;</w:t>
      </w:r>
    </w:p>
    <w:p w:rsidR="00A77FBE" w:rsidRDefault="00A77FBE">
      <w:pPr>
        <w:widowControl/>
      </w:pPr>
      <w:r>
        <w:br w:type="page"/>
      </w:r>
    </w:p>
    <w:p w:rsidR="006C354F" w:rsidRDefault="006C354F" w:rsidP="006845F1">
      <w:pPr>
        <w:spacing w:before="120" w:after="120" w:line="360" w:lineRule="auto"/>
        <w:ind w:left="850" w:hanging="850"/>
      </w:pPr>
      <w:r>
        <w:lastRenderedPageBreak/>
        <w:t>27)</w:t>
      </w:r>
      <w:r>
        <w:tab/>
        <w:t>„miejsce produkcji klonów, mieszanek klonów lub drzew matecznych” oznacza miejsce, w którym wyprodukowano LMR lub dokładne położenie geograficzne tego miejsca;</w:t>
      </w:r>
    </w:p>
    <w:p w:rsidR="006C354F" w:rsidRDefault="006C354F" w:rsidP="006845F1">
      <w:pPr>
        <w:spacing w:before="120" w:after="120" w:line="360" w:lineRule="auto"/>
        <w:ind w:left="850" w:hanging="850"/>
      </w:pPr>
      <w:r>
        <w:t>28)</w:t>
      </w:r>
      <w:r>
        <w:tab/>
        <w:t>„materiał pierwotny” oznacza roślinę, grupę roślin, LMR, materiał DNA lub informację genetyczną klonu lub klonów w przypadku mieszanki klonów służące jako materiał odniesienia na potrzeby kontroli tożsamości klonu lub klonów;</w:t>
      </w:r>
    </w:p>
    <w:p w:rsidR="006C354F" w:rsidRDefault="006C354F" w:rsidP="006845F1">
      <w:pPr>
        <w:spacing w:before="120" w:after="120" w:line="360" w:lineRule="auto"/>
        <w:ind w:left="850" w:hanging="850"/>
      </w:pPr>
      <w:r>
        <w:t>29)</w:t>
      </w:r>
      <w:r>
        <w:tab/>
        <w:t>„sadzonka” oznacza zrzez pędowy bez korzeni;</w:t>
      </w:r>
    </w:p>
    <w:p w:rsidR="006C354F" w:rsidRPr="00A77FBE" w:rsidRDefault="006C354F" w:rsidP="006845F1">
      <w:pPr>
        <w:spacing w:before="120" w:after="120" w:line="360" w:lineRule="auto"/>
        <w:ind w:left="850" w:hanging="850"/>
        <w:rPr>
          <w:b/>
        </w:rPr>
      </w:pPr>
      <w:r>
        <w:t>30)</w:t>
      </w:r>
      <w:r>
        <w:tab/>
        <w:t>„wprowadzanie do obrotu” oznacza następujące działania</w:t>
      </w:r>
      <w:r>
        <w:rPr>
          <w:b/>
          <w:i/>
        </w:rPr>
        <w:t xml:space="preserve"> handlowe</w:t>
      </w:r>
      <w:r>
        <w:t xml:space="preserve"> prowadzone przez podmiot profesjonalny: sprzedaż, przechowywanie lub oferowanie do celów sprzedaży lub przekazywanie</w:t>
      </w:r>
      <w:r>
        <w:rPr>
          <w:strike/>
        </w:rPr>
        <w:t xml:space="preserve"> lub</w:t>
      </w:r>
      <w:r>
        <w:rPr>
          <w:b/>
          <w:i/>
        </w:rPr>
        <w:t>,</w:t>
      </w:r>
      <w:r>
        <w:t xml:space="preserve"> dystrybucję</w:t>
      </w:r>
      <w:r>
        <w:rPr>
          <w:b/>
          <w:i/>
        </w:rPr>
        <w:t>, w tym wysyłanie,</w:t>
      </w:r>
      <w:r>
        <w:t xml:space="preserve"> LMR w jakikolwiek inny sposób lub jego przywóz na terytorium Unii nieodpłatnie bądź odpłatnie;</w:t>
      </w:r>
      <w:r w:rsidR="00A77FBE">
        <w:rPr>
          <w:b/>
        </w:rPr>
        <w:t xml:space="preserve"> [</w:t>
      </w:r>
      <w:r w:rsidR="00A0113C">
        <w:rPr>
          <w:b/>
        </w:rPr>
        <w:t>Popr.</w:t>
      </w:r>
      <w:r w:rsidR="00A77FBE">
        <w:rPr>
          <w:b/>
        </w:rPr>
        <w:t> 29]</w:t>
      </w:r>
    </w:p>
    <w:p w:rsidR="006C354F" w:rsidRPr="00A77FBE" w:rsidRDefault="006C354F" w:rsidP="006845F1">
      <w:pPr>
        <w:spacing w:before="120" w:after="120" w:line="360" w:lineRule="auto"/>
        <w:ind w:left="850" w:hanging="850"/>
        <w:rPr>
          <w:b/>
        </w:rPr>
      </w:pPr>
      <w:r>
        <w:t>31)</w:t>
      </w:r>
      <w:r>
        <w:tab/>
        <w:t>„podmiot profesjonalny” oznacza każdą osobę fizyczną lub prawną zaangażowaną zawodowo</w:t>
      </w:r>
      <w:r>
        <w:rPr>
          <w:b/>
          <w:i/>
        </w:rPr>
        <w:t>, za zgodą właściwych organów,</w:t>
      </w:r>
      <w:r>
        <w:t xml:space="preserve"> w co najmniej jeden z następujących rodzajów działalności</w:t>
      </w:r>
      <w:r>
        <w:rPr>
          <w:b/>
          <w:i/>
        </w:rPr>
        <w:t>, mający na celu wykorzystanie LMR do celów komercyjnych</w:t>
      </w:r>
      <w:r>
        <w:t>:</w:t>
      </w:r>
      <w:r w:rsidR="00A77FBE">
        <w:rPr>
          <w:b/>
        </w:rPr>
        <w:t xml:space="preserve"> [</w:t>
      </w:r>
      <w:r w:rsidR="00A0113C">
        <w:rPr>
          <w:b/>
        </w:rPr>
        <w:t>Popr.</w:t>
      </w:r>
      <w:r w:rsidR="00A77FBE">
        <w:rPr>
          <w:b/>
        </w:rPr>
        <w:t> 30]</w:t>
      </w:r>
    </w:p>
    <w:p w:rsidR="006C354F" w:rsidRDefault="006C354F" w:rsidP="006845F1">
      <w:pPr>
        <w:spacing w:before="120" w:after="120" w:line="360" w:lineRule="auto"/>
        <w:ind w:left="1416" w:hanging="566"/>
      </w:pPr>
      <w:r>
        <w:t>a)</w:t>
      </w:r>
      <w:r>
        <w:tab/>
        <w:t>produkcja, w tym uprawa, rozmnażanie i utrzymywanie LMR;</w:t>
      </w:r>
    </w:p>
    <w:p w:rsidR="006C354F" w:rsidRDefault="006C354F" w:rsidP="006845F1">
      <w:pPr>
        <w:spacing w:before="120" w:after="120" w:line="360" w:lineRule="auto"/>
        <w:ind w:left="1416" w:hanging="566"/>
      </w:pPr>
      <w:r>
        <w:t>b)</w:t>
      </w:r>
      <w:r>
        <w:tab/>
        <w:t>wprowadzanie do obrotu LMR;</w:t>
      </w:r>
    </w:p>
    <w:p w:rsidR="006C354F" w:rsidRDefault="006C354F" w:rsidP="006845F1">
      <w:pPr>
        <w:spacing w:before="120" w:after="120" w:line="360" w:lineRule="auto"/>
        <w:ind w:left="1416" w:hanging="566"/>
      </w:pPr>
      <w:r>
        <w:t>c)</w:t>
      </w:r>
      <w:r>
        <w:tab/>
        <w:t>przechowywanie, zbieranie, wysyłanie i przetwarzanie LMR;</w:t>
      </w:r>
    </w:p>
    <w:p w:rsidR="00A77FBE" w:rsidRDefault="00A77FBE">
      <w:pPr>
        <w:widowControl/>
      </w:pPr>
      <w:r>
        <w:br w:type="page"/>
      </w:r>
    </w:p>
    <w:p w:rsidR="006C354F" w:rsidRDefault="006C354F" w:rsidP="006845F1">
      <w:pPr>
        <w:spacing w:before="120" w:after="120" w:line="360" w:lineRule="auto"/>
        <w:ind w:left="850" w:hanging="850"/>
      </w:pPr>
      <w:r>
        <w:lastRenderedPageBreak/>
        <w:t>32)</w:t>
      </w:r>
      <w:r>
        <w:tab/>
        <w:t>„właściwy organ” oznacza centralny lub regionalny organ państwa członkowskiego, lub – w stosownych przypadkach – odpowiadający mu organ państwa trzeciego, odpowiedzialny za organizację kontroli urzędowych, rejestrację materiału podstawowego, certyfikację LMR lub inne urzędowe działania dotyczące produkcji LMR i wprowadzania go do obrotu, lub każdy inny organ, któremu powierzono to zadanie, zgodnie z prawem Unii;</w:t>
      </w:r>
    </w:p>
    <w:p w:rsidR="006C354F" w:rsidRDefault="006C354F" w:rsidP="006845F1">
      <w:pPr>
        <w:spacing w:before="120" w:after="120" w:line="360" w:lineRule="auto"/>
        <w:ind w:left="850" w:hanging="850"/>
      </w:pPr>
      <w:r>
        <w:t>33)</w:t>
      </w:r>
      <w:r>
        <w:tab/>
        <w:t>„ze zidentyfikowanego źródła” oznacza kategorię LMR pochodzącego z materiału podstawowego, którym jest źródło nasion albo drzewostan znajdujący się w jednym regionie pochodzenia i który spełnia wymogi zawarte w załączniku II;</w:t>
      </w:r>
    </w:p>
    <w:p w:rsidR="006C354F" w:rsidRDefault="006C354F" w:rsidP="006845F1">
      <w:pPr>
        <w:spacing w:before="120" w:after="120" w:line="360" w:lineRule="auto"/>
        <w:ind w:left="850" w:hanging="850"/>
      </w:pPr>
      <w:r>
        <w:t>34)</w:t>
      </w:r>
      <w:r>
        <w:tab/>
        <w:t>„wyselekcjonowany” oznacza kategorię LMR pochodzącego z materiału podstawowego, którym jest drzewostan znajdujący się w jednym regionie pochodzenia, wyselekcjonowanego pod względem fenotypowym na poziomie populacji i spełniającego wymogi zawarte w załączniku III;</w:t>
      </w:r>
    </w:p>
    <w:p w:rsidR="006C354F" w:rsidRDefault="006C354F" w:rsidP="006845F1">
      <w:pPr>
        <w:spacing w:before="120" w:after="120" w:line="360" w:lineRule="auto"/>
        <w:ind w:left="850" w:hanging="850"/>
      </w:pPr>
      <w:r>
        <w:t>35)</w:t>
      </w:r>
      <w:r>
        <w:tab/>
        <w:t>„kwalifikowany” oznacza kategorię LMR pochodzącego z materiału podstawowego, którym jest plantacja nasienna, drzewa mateczne, klony lub mieszanki klonów, i którego składniki zostały wyselekcjonowane pod względem fenotypowym na poziomie osobniczym, oraz spełniającego wymogi zawarte w załączniku IV;</w:t>
      </w:r>
    </w:p>
    <w:p w:rsidR="00A77FBE" w:rsidRDefault="00A77FBE">
      <w:pPr>
        <w:widowControl/>
      </w:pPr>
      <w:r>
        <w:br w:type="page"/>
      </w:r>
    </w:p>
    <w:p w:rsidR="006C354F" w:rsidRDefault="006C354F" w:rsidP="006845F1">
      <w:pPr>
        <w:spacing w:before="120" w:after="120" w:line="360" w:lineRule="auto"/>
        <w:ind w:left="850" w:hanging="850"/>
      </w:pPr>
      <w:r>
        <w:lastRenderedPageBreak/>
        <w:t>36)</w:t>
      </w:r>
      <w:r>
        <w:tab/>
        <w:t>„przetestowany” oznacza kategorię LMR pochodzącego z materiału podstawowego, którym są drzewostan, plantacja nasienna, drzewa mateczne, klony lub mieszanki klonów, spełniającego wymogi zawarte w załączniku V;</w:t>
      </w:r>
    </w:p>
    <w:p w:rsidR="006C354F" w:rsidRDefault="006C354F" w:rsidP="006845F1">
      <w:pPr>
        <w:spacing w:before="120" w:after="120" w:line="360" w:lineRule="auto"/>
        <w:ind w:left="850" w:hanging="850"/>
      </w:pPr>
      <w:r>
        <w:t>37)</w:t>
      </w:r>
      <w:r>
        <w:tab/>
        <w:t>„urzędowa certyfikacja” oznacza certyfikację pochodzącego ze zidentyfikowanego źródła, wyselekcjonowanego, kwalifikowanego i przetestowanego LMR, o ile właściwy organ przeprowadził wszystkie stosowne inspekcje i, w razie potrzeby, pobieranie próbek i testy LMR i stwierdzono, że LMR spełnia odpowiednie wymogi zawarte w niniejszym rozporządzeniu;</w:t>
      </w:r>
    </w:p>
    <w:p w:rsidR="006C354F" w:rsidRDefault="006C354F" w:rsidP="006845F1">
      <w:pPr>
        <w:spacing w:before="120" w:after="120" w:line="360" w:lineRule="auto"/>
        <w:ind w:left="850" w:hanging="850"/>
      </w:pPr>
      <w:r>
        <w:t>38)</w:t>
      </w:r>
      <w:r>
        <w:tab/>
        <w:t>„kategoria” oznacza LMR, który klasyfikuje się jako materiał ze zidentyfikowanego źródła, wyselekcjonowany, kwalifikowany lub przetestowany;</w:t>
      </w:r>
    </w:p>
    <w:p w:rsidR="006C354F" w:rsidRDefault="006C354F" w:rsidP="006845F1">
      <w:pPr>
        <w:spacing w:before="120" w:after="120" w:line="360" w:lineRule="auto"/>
        <w:ind w:left="850" w:hanging="850"/>
      </w:pPr>
      <w:r>
        <w:t>39)</w:t>
      </w:r>
      <w:r>
        <w:tab/>
        <w:t>„organizm zmodyfikowany genetycznie” oznacza organizm zmodyfikowany genetycznie w rozumieniu art. 2 pkt 2 dyrektywy 2001/18/WE, z wyłączeniem organizmów uzyskanych za pomocą technik modyfikacji genetycznej wymienionych w załączniku I B do dyrektywy 2001/18/WE;</w:t>
      </w:r>
    </w:p>
    <w:p w:rsidR="006C354F" w:rsidRDefault="006C354F" w:rsidP="006845F1">
      <w:pPr>
        <w:spacing w:before="120" w:after="120" w:line="360" w:lineRule="auto"/>
        <w:ind w:left="850" w:hanging="850"/>
      </w:pPr>
      <w:r>
        <w:t>40)</w:t>
      </w:r>
      <w:r>
        <w:tab/>
        <w:t>„roślina NGT” oznacza rośliny otrzymane za pomocą niektórych nowych technik genomowych w rozumieniu art. 3 pkt 2 rozporządzenia Parlamentu Europejskiego i Rady (UE) [Urząd Publikacji: proszę wstawić odniesienie do rozporządzenia w sprawie w sprawie roślin uzyskiwanych za pomocą niektórych nowych technik genomowych oraz pochodzących z tych roślin żywności i pasz]</w:t>
      </w:r>
      <w:r>
        <w:rPr>
          <w:rStyle w:val="FootnoteReference"/>
        </w:rPr>
        <w:footnoteReference w:id="23"/>
      </w:r>
      <w:r>
        <w:t>;</w:t>
      </w:r>
    </w:p>
    <w:p w:rsidR="00A77FBE" w:rsidRDefault="00A77FBE">
      <w:pPr>
        <w:widowControl/>
      </w:pPr>
      <w:r>
        <w:br w:type="page"/>
      </w:r>
    </w:p>
    <w:p w:rsidR="006C354F" w:rsidRDefault="006C354F" w:rsidP="006845F1">
      <w:pPr>
        <w:spacing w:before="120" w:after="120" w:line="360" w:lineRule="auto"/>
        <w:ind w:left="850" w:hanging="850"/>
      </w:pPr>
      <w:r>
        <w:lastRenderedPageBreak/>
        <w:t>41)</w:t>
      </w:r>
      <w:r>
        <w:tab/>
        <w:t>„strefy transferu nasion” oznaczają obszar lub strefy wysokości bezwzględnej wyznaczone przez właściwe organy na potrzeby przemieszczania LMR należącego do kategorii „ze zidentyfikowanego źródła” i „wyselekcjonowany”, z uwzględnieniem, w stosownych przypadkach, pochodzenia pierwotnego i miejsca pochodzenia LMR, testów dotyczących miejsca pochodzenia, warunków środowiskowych i prognoz przyszłych zmian klimatycznych;</w:t>
      </w:r>
    </w:p>
    <w:p w:rsidR="006C354F" w:rsidRPr="00A77FBE" w:rsidRDefault="006C354F" w:rsidP="006845F1">
      <w:pPr>
        <w:spacing w:before="120" w:after="120" w:line="360" w:lineRule="auto"/>
        <w:ind w:left="850" w:hanging="850"/>
        <w:rPr>
          <w:b/>
        </w:rPr>
      </w:pPr>
      <w:r>
        <w:t>42)</w:t>
      </w:r>
      <w:r>
        <w:tab/>
        <w:t>„obszar wprowadzania plantacji nasiennych</w:t>
      </w:r>
      <w:r>
        <w:rPr>
          <w:b/>
          <w:i/>
        </w:rPr>
        <w:t xml:space="preserve"> i drzewa mateczne</w:t>
      </w:r>
      <w:r>
        <w:t>” oznacza obszar wyznaczony przez właściwe organy, na którym LMR należący do kategorii „kwalifikowany” i „przetestowany” dostosowuje się do warunków klimatycznych i ekologicznych tego obszaru, z uwzględnieniem, w stosownych przypadkach, lokalizacji plantacji nasiennych</w:t>
      </w:r>
      <w:r>
        <w:rPr>
          <w:b/>
          <w:i/>
        </w:rPr>
        <w:t>, drzew matecznych</w:t>
      </w:r>
      <w:r>
        <w:t xml:space="preserve"> i ich składników, wyników testów dotyczących potomstwa i miejsca pochodzenia, warunków środowiskowych oraz prognoz przyszłych zmian klimatycznych;</w:t>
      </w:r>
      <w:r w:rsidR="00A77FBE">
        <w:rPr>
          <w:b/>
        </w:rPr>
        <w:t xml:space="preserve"> [</w:t>
      </w:r>
      <w:r w:rsidR="00A0113C">
        <w:rPr>
          <w:b/>
        </w:rPr>
        <w:t>Popr.</w:t>
      </w:r>
      <w:r w:rsidR="00A77FBE">
        <w:rPr>
          <w:b/>
        </w:rPr>
        <w:t> 31]</w:t>
      </w:r>
    </w:p>
    <w:p w:rsidR="006C354F" w:rsidRPr="00A77FBE" w:rsidRDefault="006C354F" w:rsidP="006845F1">
      <w:pPr>
        <w:spacing w:before="120" w:after="120" w:line="360" w:lineRule="auto"/>
        <w:ind w:left="850" w:hanging="850"/>
        <w:rPr>
          <w:b/>
        </w:rPr>
      </w:pPr>
      <w:r>
        <w:t>43)</w:t>
      </w:r>
      <w:r>
        <w:tab/>
        <w:t>„obszar wprowadzania klonów i mieszanek klonów” oznacza obszar wyznaczony przez właściwe organy, na którym LMR należący do kategorii „kwalifikowany” i „przetestowany” dostosowuje się do warunków klimatycznych i ekologicznych tego obszaru, z uwzględnieniem, w stosownych przypadkach, pochodzenia pierwotnego lub miejsca pochodzenia klonu lub klonów, wyników testów dotyczących potomstwa</w:t>
      </w:r>
      <w:r>
        <w:rPr>
          <w:strike/>
        </w:rPr>
        <w:t xml:space="preserve"> i</w:t>
      </w:r>
      <w:r>
        <w:rPr>
          <w:b/>
          <w:i/>
        </w:rPr>
        <w:t>,</w:t>
      </w:r>
      <w:r>
        <w:t xml:space="preserve"> miejsca pochodzenia</w:t>
      </w:r>
      <w:r>
        <w:rPr>
          <w:b/>
          <w:i/>
        </w:rPr>
        <w:t xml:space="preserve"> i klonów</w:t>
      </w:r>
      <w:r>
        <w:t>, warunków środowiskowych oraz prognoz przyszłych zmian klimatycznych;</w:t>
      </w:r>
      <w:r w:rsidR="00A77FBE">
        <w:rPr>
          <w:b/>
        </w:rPr>
        <w:t xml:space="preserve"> [</w:t>
      </w:r>
      <w:r w:rsidR="00A0113C">
        <w:rPr>
          <w:b/>
        </w:rPr>
        <w:t>Popr.</w:t>
      </w:r>
      <w:r w:rsidR="00A77FBE">
        <w:rPr>
          <w:b/>
        </w:rPr>
        <w:t> 32]</w:t>
      </w:r>
    </w:p>
    <w:p w:rsidR="00A77FBE" w:rsidRDefault="00A77FBE">
      <w:pPr>
        <w:widowControl/>
      </w:pPr>
      <w:r>
        <w:br w:type="page"/>
      </w:r>
    </w:p>
    <w:p w:rsidR="006C354F" w:rsidRDefault="006C354F" w:rsidP="006845F1">
      <w:pPr>
        <w:spacing w:before="120" w:after="120" w:line="360" w:lineRule="auto"/>
        <w:ind w:left="850" w:hanging="850"/>
      </w:pPr>
      <w:r>
        <w:lastRenderedPageBreak/>
        <w:t>44)</w:t>
      </w:r>
      <w:r>
        <w:tab/>
        <w:t xml:space="preserve">„FOREMATIS” oznacza system informacji o leśnym materiale </w:t>
      </w:r>
      <w:proofErr w:type="spellStart"/>
      <w:r>
        <w:t>rozmnożeniowym</w:t>
      </w:r>
      <w:proofErr w:type="spellEnd"/>
      <w:r>
        <w:t xml:space="preserve"> opracowany przez Komisję;</w:t>
      </w:r>
    </w:p>
    <w:p w:rsidR="006C354F" w:rsidRPr="00A77FBE" w:rsidRDefault="006C354F" w:rsidP="006845F1">
      <w:pPr>
        <w:spacing w:before="120" w:after="120" w:line="360" w:lineRule="auto"/>
        <w:ind w:left="850" w:hanging="850"/>
        <w:rPr>
          <w:b/>
        </w:rPr>
      </w:pPr>
      <w:r>
        <w:t>45)</w:t>
      </w:r>
      <w:r>
        <w:tab/>
        <w:t xml:space="preserve">„samosiew” oznacza odnowę lasu </w:t>
      </w:r>
      <w:r>
        <w:rPr>
          <w:strike/>
        </w:rPr>
        <w:t xml:space="preserve">za pośrednictwem drzew rozwijających się z nasion, które upadły i zakiełkowały in </w:t>
      </w:r>
      <w:proofErr w:type="spellStart"/>
      <w:r>
        <w:rPr>
          <w:strike/>
        </w:rPr>
        <w:t>situ</w:t>
      </w:r>
      <w:r>
        <w:rPr>
          <w:b/>
          <w:i/>
        </w:rPr>
        <w:t>w</w:t>
      </w:r>
      <w:proofErr w:type="spellEnd"/>
      <w:r>
        <w:rPr>
          <w:b/>
          <w:i/>
        </w:rPr>
        <w:t xml:space="preserve"> drodze procesów naturalnych przez siew naturalny, kiełkowanie, odrosty lub rozmnażanie przez odkłady</w:t>
      </w:r>
      <w:r>
        <w:t>;</w:t>
      </w:r>
      <w:r w:rsidR="00A77FBE">
        <w:rPr>
          <w:b/>
        </w:rPr>
        <w:t xml:space="preserve"> [</w:t>
      </w:r>
      <w:r w:rsidR="00A0113C">
        <w:rPr>
          <w:b/>
        </w:rPr>
        <w:t>Popr.</w:t>
      </w:r>
      <w:r w:rsidR="00A77FBE">
        <w:rPr>
          <w:b/>
        </w:rPr>
        <w:t> 33]</w:t>
      </w:r>
    </w:p>
    <w:p w:rsidR="006C354F" w:rsidRDefault="006C354F" w:rsidP="006845F1">
      <w:pPr>
        <w:spacing w:before="120" w:after="120" w:line="360" w:lineRule="auto"/>
        <w:ind w:left="850" w:hanging="850"/>
      </w:pPr>
      <w:r>
        <w:t>46)</w:t>
      </w:r>
      <w:r>
        <w:tab/>
        <w:t>„</w:t>
      </w:r>
      <w:proofErr w:type="spellStart"/>
      <w:r>
        <w:t>agrofagi</w:t>
      </w:r>
      <w:proofErr w:type="spellEnd"/>
      <w:r>
        <w:t xml:space="preserve"> jakościowe” oznaczają </w:t>
      </w:r>
      <w:proofErr w:type="spellStart"/>
      <w:r>
        <w:t>agrofagi</w:t>
      </w:r>
      <w:proofErr w:type="spellEnd"/>
      <w:r>
        <w:t xml:space="preserve"> spełniające wszystkie poniższe kryteria:</w:t>
      </w:r>
    </w:p>
    <w:p w:rsidR="006C354F" w:rsidRDefault="006C354F" w:rsidP="006845F1">
      <w:pPr>
        <w:spacing w:before="120" w:after="120" w:line="360" w:lineRule="auto"/>
        <w:ind w:left="1416" w:hanging="566"/>
      </w:pPr>
      <w:r>
        <w:t>a)</w:t>
      </w:r>
      <w:r>
        <w:tab/>
        <w:t xml:space="preserve">nie są </w:t>
      </w:r>
      <w:proofErr w:type="spellStart"/>
      <w:r>
        <w:t>agrofagami</w:t>
      </w:r>
      <w:proofErr w:type="spellEnd"/>
      <w:r>
        <w:t xml:space="preserve"> kwarantannowymi dla Unii, </w:t>
      </w:r>
      <w:proofErr w:type="spellStart"/>
      <w:r>
        <w:t>agrofagami</w:t>
      </w:r>
      <w:proofErr w:type="spellEnd"/>
      <w:r>
        <w:t xml:space="preserve"> kwarantannowymi dla strefy chronionej ani regulowanymi </w:t>
      </w:r>
      <w:proofErr w:type="spellStart"/>
      <w:r>
        <w:t>agrofagami</w:t>
      </w:r>
      <w:proofErr w:type="spellEnd"/>
      <w:r>
        <w:t xml:space="preserve"> </w:t>
      </w:r>
      <w:proofErr w:type="spellStart"/>
      <w:r>
        <w:t>niekwarantannowymi</w:t>
      </w:r>
      <w:proofErr w:type="spellEnd"/>
      <w:r>
        <w:t xml:space="preserve"> („RAN”) w rozumieniu rozporządzenia (UE) 2016/2031, ani </w:t>
      </w:r>
      <w:proofErr w:type="spellStart"/>
      <w:r>
        <w:t>agrofagami</w:t>
      </w:r>
      <w:proofErr w:type="spellEnd"/>
      <w:r>
        <w:t xml:space="preserve"> podlegającymi środkom przyjętym na podstawie art. 30 ust. 1 tego rozporządzenia;</w:t>
      </w:r>
    </w:p>
    <w:p w:rsidR="006C354F" w:rsidRDefault="006C354F" w:rsidP="006845F1">
      <w:pPr>
        <w:spacing w:before="120" w:after="120" w:line="360" w:lineRule="auto"/>
        <w:ind w:left="1416" w:hanging="566"/>
      </w:pPr>
      <w:r>
        <w:t>b)</w:t>
      </w:r>
      <w:r>
        <w:tab/>
        <w:t>występują w trakcie produkcji lub przechowywania LMR oraz</w:t>
      </w:r>
    </w:p>
    <w:p w:rsidR="006C354F" w:rsidRDefault="006C354F" w:rsidP="006845F1">
      <w:pPr>
        <w:spacing w:before="120" w:after="120" w:line="360" w:lineRule="auto"/>
        <w:ind w:left="1416" w:hanging="566"/>
      </w:pPr>
      <w:r>
        <w:t>c)</w:t>
      </w:r>
      <w:r>
        <w:tab/>
        <w:t>ich obecność ma niedopuszczalny negatywny wpływ na jakość LMR oraz nieakceptowalny wpływ gospodarczy, jeśli chodzi o wykorzystanie tego LMR w Unii;</w:t>
      </w:r>
    </w:p>
    <w:p w:rsidR="006C354F" w:rsidRPr="00A77FBE" w:rsidRDefault="006C354F" w:rsidP="006845F1">
      <w:pPr>
        <w:spacing w:before="120" w:after="120" w:line="360" w:lineRule="auto"/>
        <w:ind w:left="850" w:hanging="850"/>
        <w:rPr>
          <w:b/>
        </w:rPr>
      </w:pPr>
      <w:r>
        <w:t>47)</w:t>
      </w:r>
      <w:r>
        <w:tab/>
        <w:t xml:space="preserve">„praktycznie wolny od </w:t>
      </w:r>
      <w:proofErr w:type="spellStart"/>
      <w:r>
        <w:t>agrofagów</w:t>
      </w:r>
      <w:proofErr w:type="spellEnd"/>
      <w:r>
        <w:rPr>
          <w:b/>
          <w:i/>
        </w:rPr>
        <w:t xml:space="preserve"> jakościowych</w:t>
      </w:r>
      <w:r>
        <w:t>” oznacza</w:t>
      </w:r>
      <w:r>
        <w:rPr>
          <w:strike/>
        </w:rPr>
        <w:t xml:space="preserve"> całkowity</w:t>
      </w:r>
      <w:r>
        <w:t xml:space="preserve"> brak </w:t>
      </w:r>
      <w:proofErr w:type="spellStart"/>
      <w:r>
        <w:t>agrofagów</w:t>
      </w:r>
      <w:proofErr w:type="spellEnd"/>
      <w:r>
        <w:rPr>
          <w:b/>
          <w:i/>
        </w:rPr>
        <w:t xml:space="preserve"> jakościowych</w:t>
      </w:r>
      <w:r>
        <w:t xml:space="preserve"> lub sytuację, w której obecność </w:t>
      </w:r>
      <w:proofErr w:type="spellStart"/>
      <w:r>
        <w:t>agrofagów</w:t>
      </w:r>
      <w:proofErr w:type="spellEnd"/>
      <w:r>
        <w:t xml:space="preserve"> jakościowych na odnośnym LMR jest tak znikoma, że </w:t>
      </w:r>
      <w:proofErr w:type="spellStart"/>
      <w:r>
        <w:t>agrofagi</w:t>
      </w:r>
      <w:proofErr w:type="spellEnd"/>
      <w:r>
        <w:t xml:space="preserve"> te nie mają negatywnego wpływu na jakość tego LMR.</w:t>
      </w:r>
      <w:r w:rsidR="00A77FBE">
        <w:rPr>
          <w:b/>
        </w:rPr>
        <w:t xml:space="preserve"> [</w:t>
      </w:r>
      <w:r w:rsidR="00A0113C">
        <w:rPr>
          <w:b/>
        </w:rPr>
        <w:t>Popr.</w:t>
      </w:r>
      <w:r w:rsidR="00A77FBE">
        <w:rPr>
          <w:b/>
        </w:rPr>
        <w:t> 34]</w:t>
      </w:r>
    </w:p>
    <w:p w:rsidR="00A77FBE" w:rsidRDefault="00A77FBE">
      <w:pPr>
        <w:widowControl/>
      </w:pPr>
      <w:r>
        <w:br w:type="page"/>
      </w:r>
    </w:p>
    <w:p w:rsidR="006C354F" w:rsidRDefault="006C354F" w:rsidP="006845F1">
      <w:pPr>
        <w:spacing w:before="120" w:after="120" w:line="360" w:lineRule="auto"/>
        <w:jc w:val="center"/>
      </w:pPr>
      <w:r>
        <w:lastRenderedPageBreak/>
        <w:t xml:space="preserve">ROZDZIAŁ II </w:t>
      </w:r>
      <w:r>
        <w:br/>
        <w:t>MATERIAŁ PODSTAWOWY I POCHODZĄCY OD NIEGO LMR</w:t>
      </w:r>
    </w:p>
    <w:p w:rsidR="006C354F" w:rsidRDefault="006C354F" w:rsidP="006845F1">
      <w:pPr>
        <w:spacing w:before="120" w:after="120" w:line="360" w:lineRule="auto"/>
        <w:jc w:val="center"/>
      </w:pPr>
      <w:r>
        <w:t>Artykuł 4</w:t>
      </w:r>
      <w:r>
        <w:br/>
        <w:t>Zatwierdzenie materiału podstawowego na potrzeby produkcji LMR</w:t>
      </w:r>
    </w:p>
    <w:p w:rsidR="006C354F" w:rsidRDefault="006C354F" w:rsidP="006845F1">
      <w:pPr>
        <w:spacing w:before="120" w:after="120" w:line="360" w:lineRule="auto"/>
        <w:ind w:left="850" w:hanging="850"/>
      </w:pPr>
      <w:r>
        <w:t>1.</w:t>
      </w:r>
      <w:r>
        <w:tab/>
        <w:t>Do produkcji LMR można wykorzystywać wyłącznie materiał podstawowy zatwierdzony przez właściwe organy.</w:t>
      </w:r>
    </w:p>
    <w:p w:rsidR="006C354F" w:rsidRDefault="006C354F" w:rsidP="006845F1">
      <w:pPr>
        <w:spacing w:before="120" w:after="120" w:line="360" w:lineRule="auto"/>
        <w:ind w:left="850" w:hanging="850"/>
      </w:pPr>
      <w:r>
        <w:t>2.</w:t>
      </w:r>
      <w:r>
        <w:tab/>
        <w:t>Materiał podstawowy przeznaczony do produkcji LMR, który ma zostać certyfikowany jako materiał ze zidentyfikowanego źródła, zatwierdza się, jeżeli spełnia on wymogi określone w załączniku II.</w:t>
      </w:r>
    </w:p>
    <w:p w:rsidR="006C354F" w:rsidRDefault="006C354F" w:rsidP="006845F1">
      <w:pPr>
        <w:spacing w:before="120" w:after="120" w:line="360" w:lineRule="auto"/>
        <w:ind w:left="850"/>
      </w:pPr>
      <w:r>
        <w:t>Materiał podstawowy przeznaczony do produkcji LMR, który ma zostać certyfikowany jako materiał wyselekcjonowany, zatwierdza się, jeżeli spełnia on wymogi określone w załączniku III.</w:t>
      </w:r>
    </w:p>
    <w:p w:rsidR="006C354F" w:rsidRDefault="006C354F" w:rsidP="006845F1">
      <w:pPr>
        <w:spacing w:before="120" w:after="120" w:line="360" w:lineRule="auto"/>
        <w:ind w:left="850"/>
      </w:pPr>
      <w:r>
        <w:t>Materiał podstawowy przeznaczony do produkcji LMR, który ma zostać certyfikowany jako materiał kwalifikowany, zatwierdza się, jeżeli spełnia on wymogi określone w załączniku IV.</w:t>
      </w:r>
    </w:p>
    <w:p w:rsidR="006C354F" w:rsidRDefault="006C354F" w:rsidP="006845F1">
      <w:pPr>
        <w:spacing w:before="120" w:after="120" w:line="360" w:lineRule="auto"/>
        <w:ind w:left="850"/>
      </w:pPr>
      <w:r>
        <w:t>Materiał podstawowy przeznaczony do produkcji LMR, który ma zostać certyfikowany jako materiał przetestowany, zatwierdza się, jeżeli spełnia on wymogi określone w załączniku V.</w:t>
      </w:r>
    </w:p>
    <w:p w:rsidR="00A77FBE" w:rsidRDefault="00A77FBE">
      <w:pPr>
        <w:widowControl/>
      </w:pPr>
      <w:r>
        <w:br w:type="page"/>
      </w:r>
    </w:p>
    <w:p w:rsidR="006C354F" w:rsidRDefault="006C354F" w:rsidP="006845F1">
      <w:pPr>
        <w:spacing w:before="120" w:after="120" w:line="360" w:lineRule="auto"/>
        <w:ind w:left="850"/>
      </w:pPr>
      <w:r>
        <w:lastRenderedPageBreak/>
        <w:t xml:space="preserve">Oprócz oględzin, kontroli dokumentacji, testów i analiz lub innych metod uzupełniających ocena wymogów ustanowionych w załącznikach II–V na potrzeby zatwierdzenia materiału podstawowego może obejmować też wykorzystanie technik </w:t>
      </w:r>
      <w:proofErr w:type="spellStart"/>
      <w:r>
        <w:t>biomolekularnych</w:t>
      </w:r>
      <w:proofErr w:type="spellEnd"/>
      <w:r>
        <w:t>, w przypadku gdy zostaną one uznane za bardziej odpowiednie do celów tego zatwierdzenia.</w:t>
      </w:r>
    </w:p>
    <w:p w:rsidR="006C354F" w:rsidRDefault="006C354F" w:rsidP="006845F1">
      <w:pPr>
        <w:spacing w:before="120" w:after="120" w:line="360" w:lineRule="auto"/>
        <w:ind w:left="850"/>
      </w:pPr>
      <w:r>
        <w:t>Materiał podstawowy w przypadku wszystkich kategorii ocenia się pod kątem jego właściwości związanych ze zrównoważonym rozwojem, określonych w załącznikach II–V, w celu uwzględnienia warunków klimatycznych i ekologicznych.</w:t>
      </w:r>
    </w:p>
    <w:p w:rsidR="006C354F" w:rsidRDefault="006C354F" w:rsidP="006845F1">
      <w:pPr>
        <w:spacing w:before="120" w:after="120" w:line="360" w:lineRule="auto"/>
        <w:ind w:left="850"/>
      </w:pPr>
      <w:r>
        <w:t>Zatwierdzenie materiału podstawowego musi być przeprowadzane z odniesieniem do jednostki zatwierdzenia.</w:t>
      </w:r>
    </w:p>
    <w:p w:rsidR="006C354F" w:rsidRDefault="006C354F" w:rsidP="006845F1">
      <w:pPr>
        <w:spacing w:before="120" w:after="120" w:line="360" w:lineRule="auto"/>
        <w:ind w:left="850"/>
      </w:pPr>
      <w:r>
        <w:t>Komisja jest uprawniona do przyjmowania aktów delegowanych zgodnie z art. 26 zmieniających załączniki II, III, IV i V w odniesieniu do wymogów dotyczących zatwierdzenia materiału podstawowego przeznaczonego do produkcji:</w:t>
      </w:r>
    </w:p>
    <w:p w:rsidR="006C354F" w:rsidRDefault="006C354F" w:rsidP="006845F1">
      <w:pPr>
        <w:spacing w:before="120" w:after="120" w:line="360" w:lineRule="auto"/>
        <w:ind w:left="1416" w:hanging="566"/>
      </w:pPr>
      <w:r>
        <w:t>a)</w:t>
      </w:r>
      <w:r>
        <w:tab/>
        <w:t>LMR należącego do kategorii „ze zidentyfikowanego źródła”, w szczególności wymogów dotyczących rodzajów materiału podstawowego, efektywnej wielkości populacji, pochodzenia pierwotnego i regionu pochodzenia oraz właściwości związanych ze zrównoważonym rozwojem;</w:t>
      </w:r>
    </w:p>
    <w:p w:rsidR="00A77FBE" w:rsidRDefault="00A77FBE">
      <w:pPr>
        <w:widowControl/>
      </w:pPr>
      <w:r>
        <w:br w:type="page"/>
      </w:r>
    </w:p>
    <w:p w:rsidR="006C354F" w:rsidRDefault="006C354F" w:rsidP="006845F1">
      <w:pPr>
        <w:spacing w:before="120" w:after="120" w:line="360" w:lineRule="auto"/>
        <w:ind w:left="1416" w:hanging="566"/>
      </w:pPr>
      <w:r>
        <w:lastRenderedPageBreak/>
        <w:t>b)</w:t>
      </w:r>
      <w:r>
        <w:tab/>
        <w:t>LMR należącego do kategorii „wyselekcjonowany”, w szczególności wymogów dotyczących pochodzenia pierwotnego, izolacji, efektywnej wielkości populacji, wieku i rozwoju, jednorodności, właściwości związanych ze zrównoważonym rozwojem, wielkości produkcji, jakości drewna i formy lub pokroju;</w:t>
      </w:r>
    </w:p>
    <w:p w:rsidR="006C354F" w:rsidRDefault="006C354F" w:rsidP="006845F1">
      <w:pPr>
        <w:spacing w:before="120" w:after="120" w:line="360" w:lineRule="auto"/>
        <w:ind w:left="1416" w:hanging="566"/>
      </w:pPr>
      <w:r>
        <w:t>c)</w:t>
      </w:r>
      <w:r>
        <w:tab/>
        <w:t>LMR należącego d kategorii „kwalifikowany”, w szczególności wymogów dotyczących plantacji, drzew matecznych, klonów i mieszanek klonów;</w:t>
      </w:r>
    </w:p>
    <w:p w:rsidR="006C354F" w:rsidRDefault="006C354F" w:rsidP="006845F1">
      <w:pPr>
        <w:spacing w:before="120" w:after="120" w:line="360" w:lineRule="auto"/>
        <w:ind w:left="1416" w:hanging="566"/>
      </w:pPr>
      <w:r>
        <w:t>d)</w:t>
      </w:r>
      <w:r>
        <w:tab/>
        <w:t>LMR należącego do kategorii „przetestowany”, w szczególności wymogów dotyczących cech, które należy zbadać, dokumentacji, przygotowania testów, analizy i ważności testów, oceny genetycznej składników materiału podstawowego, testów porównawczych LMR, tymczasowego zatwierdzenia i wstępnych testów;</w:t>
      </w:r>
    </w:p>
    <w:p w:rsidR="006C354F" w:rsidRPr="00A77FBE" w:rsidRDefault="006C354F" w:rsidP="006845F1">
      <w:pPr>
        <w:spacing w:before="120" w:after="120" w:line="360" w:lineRule="auto"/>
        <w:ind w:left="1416" w:hanging="566"/>
        <w:rPr>
          <w:b/>
        </w:rPr>
      </w:pPr>
      <w:r>
        <w:rPr>
          <w:strike/>
        </w:rPr>
        <w:t>e)</w:t>
      </w:r>
      <w:r>
        <w:tab/>
      </w:r>
      <w:r>
        <w:rPr>
          <w:strike/>
        </w:rPr>
        <w:t>LMR zgodnego z wymogami określonymi w rozporządzeniu Parlamentu Europejskiego i Rady (UE) 2018/848.</w:t>
      </w:r>
      <w:r w:rsidR="00A77FBE">
        <w:rPr>
          <w:b/>
          <w:strike/>
        </w:rPr>
        <w:t xml:space="preserve"> </w:t>
      </w:r>
      <w:r w:rsidR="00A77FBE" w:rsidRPr="00A0113C">
        <w:rPr>
          <w:b/>
        </w:rPr>
        <w:t>[</w:t>
      </w:r>
      <w:r w:rsidR="00A0113C">
        <w:rPr>
          <w:b/>
        </w:rPr>
        <w:t>Popr.</w:t>
      </w:r>
      <w:r w:rsidR="00A77FBE" w:rsidRPr="00A0113C">
        <w:rPr>
          <w:b/>
        </w:rPr>
        <w:t> 35]</w:t>
      </w:r>
    </w:p>
    <w:p w:rsidR="006C354F" w:rsidRDefault="006C354F" w:rsidP="006845F1">
      <w:pPr>
        <w:spacing w:before="120" w:after="120" w:line="360" w:lineRule="auto"/>
        <w:ind w:left="850"/>
      </w:pPr>
      <w:r>
        <w:t xml:space="preserve">Zmiany te służą dostosowaniu przepisów dotyczących zatwierdzenia materiału podstawowego do rozwoju wiedzy naukowej i technicznej oraz zmian w systemie certyfikacji leśnego materiału </w:t>
      </w:r>
      <w:proofErr w:type="spellStart"/>
      <w:r>
        <w:t>rozmnożeniowego</w:t>
      </w:r>
      <w:proofErr w:type="spellEnd"/>
      <w:r>
        <w:t xml:space="preserve"> oraz w innych mających zastosowanie normach międzynarodowych.</w:t>
      </w:r>
    </w:p>
    <w:p w:rsidR="00A77FBE" w:rsidRDefault="00A77FBE">
      <w:pPr>
        <w:widowControl/>
      </w:pPr>
      <w:r>
        <w:br w:type="page"/>
      </w:r>
    </w:p>
    <w:p w:rsidR="006C354F" w:rsidRDefault="006C354F" w:rsidP="006845F1">
      <w:pPr>
        <w:spacing w:before="120" w:after="120" w:line="360" w:lineRule="auto"/>
        <w:ind w:left="850" w:hanging="850"/>
      </w:pPr>
      <w:r>
        <w:lastRenderedPageBreak/>
        <w:t>3.</w:t>
      </w:r>
      <w:r>
        <w:tab/>
        <w:t>Wyłącznie zatwierdzony materiał podstawowy wpisuje się w formie jednostki zatwierdzenia do rejestru krajowego na podstawie art. 12. Każdą jednostkę zatwierdzenia identyfikuje się za pomocą niepowtarzalnego odnośnika w rejestrze krajowym.</w:t>
      </w:r>
    </w:p>
    <w:p w:rsidR="006C354F" w:rsidRDefault="006C354F" w:rsidP="006845F1">
      <w:pPr>
        <w:spacing w:before="120" w:after="120" w:line="360" w:lineRule="auto"/>
        <w:ind w:left="850" w:hanging="850"/>
      </w:pPr>
      <w:r>
        <w:t>4.</w:t>
      </w:r>
      <w:r>
        <w:tab/>
        <w:t>Zatwierdzenie materiału podstawowego wycofuje się, jeśli nie są już spełniane wymogi określone w niniejszym rozporządzeniu.</w:t>
      </w:r>
    </w:p>
    <w:p w:rsidR="006C354F" w:rsidRDefault="006C354F" w:rsidP="006845F1">
      <w:pPr>
        <w:spacing w:before="120" w:after="120" w:line="360" w:lineRule="auto"/>
        <w:ind w:left="850" w:hanging="850"/>
      </w:pPr>
      <w:r>
        <w:t>5.</w:t>
      </w:r>
      <w:r>
        <w:tab/>
        <w:t>Po zatwierdzeniu właściwy organ w regularnych odstępach czasu ponownie sprawdza materiał podstawowy przeznaczony do produkcji LMR kategorii „wyselekcjonowany”, „kwalifikowany” i „przetestowany”.</w:t>
      </w:r>
    </w:p>
    <w:p w:rsidR="006C354F" w:rsidRDefault="006C354F" w:rsidP="006845F1">
      <w:pPr>
        <w:spacing w:before="120" w:after="120" w:line="360" w:lineRule="auto"/>
        <w:ind w:left="850" w:hanging="850"/>
      </w:pPr>
      <w:r>
        <w:t>6.</w:t>
      </w:r>
      <w:r>
        <w:tab/>
        <w:t xml:space="preserve">Komisja jest uprawniona do przyjmowania, zgodnie z art. 26, aktów delegowanych zmieniających załączniki II, III, IV i V, aby dostosować je do rozwoju wiedzy naukowej i technicznej, w szczególności w odniesieniu do wykorzystania technik </w:t>
      </w:r>
      <w:proofErr w:type="spellStart"/>
      <w:r>
        <w:t>biomolekularnych</w:t>
      </w:r>
      <w:proofErr w:type="spellEnd"/>
      <w:r>
        <w:t>, oraz do właściwych norm międzynarodowych.</w:t>
      </w:r>
    </w:p>
    <w:p w:rsidR="00A77FBE" w:rsidRDefault="00A77FBE">
      <w:pPr>
        <w:widowControl/>
      </w:pPr>
      <w:r>
        <w:br w:type="page"/>
      </w:r>
    </w:p>
    <w:p w:rsidR="006C354F" w:rsidRDefault="006C354F" w:rsidP="006845F1">
      <w:pPr>
        <w:spacing w:before="120" w:after="120" w:line="360" w:lineRule="auto"/>
        <w:jc w:val="center"/>
      </w:pPr>
      <w:r>
        <w:lastRenderedPageBreak/>
        <w:t>Artykuł 5</w:t>
      </w:r>
      <w:r>
        <w:br/>
        <w:t>Wymogi w zakresie wprowadzania do obrotu LMR pochodzącego z zatwierdzonego materiału podstawowego</w:t>
      </w:r>
    </w:p>
    <w:p w:rsidR="006C354F" w:rsidRPr="00A77FBE" w:rsidRDefault="006C354F" w:rsidP="006845F1">
      <w:pPr>
        <w:spacing w:before="120" w:after="120" w:line="360" w:lineRule="auto"/>
        <w:ind w:left="850" w:hanging="850"/>
        <w:rPr>
          <w:b/>
        </w:rPr>
      </w:pPr>
      <w:r>
        <w:t>1.</w:t>
      </w:r>
      <w:r>
        <w:tab/>
        <w:t xml:space="preserve">LMR pochodzący z zatwierdzonego materiału podstawowego jest wprowadzany do obrotu </w:t>
      </w:r>
      <w:r>
        <w:rPr>
          <w:b/>
          <w:i/>
        </w:rPr>
        <w:t xml:space="preserve">przez podmioty profesjonalne </w:t>
      </w:r>
      <w:r>
        <w:t>zgodnie z następującymi zasadami:</w:t>
      </w:r>
      <w:r w:rsidR="00A77FBE">
        <w:rPr>
          <w:b/>
        </w:rPr>
        <w:t xml:space="preserve"> [</w:t>
      </w:r>
      <w:r w:rsidR="00A0113C">
        <w:rPr>
          <w:b/>
        </w:rPr>
        <w:t>Popr.</w:t>
      </w:r>
      <w:r w:rsidR="00A77FBE">
        <w:rPr>
          <w:b/>
        </w:rPr>
        <w:t> 36]</w:t>
      </w:r>
    </w:p>
    <w:p w:rsidR="006C354F" w:rsidRDefault="006C354F" w:rsidP="006845F1">
      <w:pPr>
        <w:spacing w:before="120" w:after="120" w:line="360" w:lineRule="auto"/>
        <w:ind w:left="1416" w:hanging="566"/>
      </w:pPr>
      <w:r>
        <w:t>a)</w:t>
      </w:r>
      <w:r>
        <w:tab/>
        <w:t>LMR gatunków wyszczególnionych w załączniku I można wprowadzać do obrotu wyłącznie wtedy, gdy należy on do materiałów kategorii „ze zidentyfikowanego źródła”, „wyselekcjonowany”, „kwalifikowany” lub „przetestowany” i pochodzi z materiału podstawowego zatwierdzonego na podstawie art. 4 i gdy ten materiał podstawowy spełnia wymogi zawarte odpowiednio w załącznikach II, III, IV i V;</w:t>
      </w:r>
    </w:p>
    <w:p w:rsidR="006C354F" w:rsidRDefault="006C354F" w:rsidP="006845F1">
      <w:pPr>
        <w:spacing w:before="120" w:after="120" w:line="360" w:lineRule="auto"/>
        <w:ind w:left="1416" w:hanging="566"/>
      </w:pPr>
      <w:r>
        <w:t>b)</w:t>
      </w:r>
      <w:r>
        <w:tab/>
        <w:t>LMR sztucznych mieszańców wyszczególnionych w załączniku I można wprowadzać do obrotu wyłącznie wtedy, gdy należy on do materiałów kategorii „wyselekcjonowany”, „kwalifikowany” lub „przetestowany” i pochodzi z materiału podstawowego zatwierdzonego na podstawie art. 4 i gdy ten materiał podstawowy spełnia wymogi zawarte odpowiednio w załącznikach III, IV i V;</w:t>
      </w:r>
    </w:p>
    <w:p w:rsidR="006C354F" w:rsidRDefault="006C354F" w:rsidP="006845F1">
      <w:pPr>
        <w:spacing w:before="120" w:after="120" w:line="360" w:lineRule="auto"/>
        <w:ind w:left="1416" w:hanging="566"/>
      </w:pPr>
      <w:r>
        <w:t>c)</w:t>
      </w:r>
      <w:r>
        <w:tab/>
        <w:t>LMR gatunków drzew i sztucznych mieszańców wyszczególnionych w załączniku I, które rozmnaża się wegetatywnie, można wprowadzać do obrotu wyłącznie wtedy, gdy:</w:t>
      </w:r>
    </w:p>
    <w:p w:rsidR="00A77FBE" w:rsidRDefault="00A77FBE">
      <w:pPr>
        <w:widowControl/>
      </w:pPr>
      <w:r>
        <w:br w:type="page"/>
      </w:r>
    </w:p>
    <w:p w:rsidR="006C354F" w:rsidRDefault="006C354F" w:rsidP="006845F1">
      <w:pPr>
        <w:spacing w:before="120" w:after="120" w:line="360" w:lineRule="auto"/>
        <w:ind w:left="1982" w:hanging="566"/>
      </w:pPr>
      <w:r>
        <w:lastRenderedPageBreak/>
        <w:t>(i)</w:t>
      </w:r>
      <w:r>
        <w:tab/>
        <w:t>należy on do kategorii „wyselekcjonowany”, „kwalifikowany” lub „przetestowany”; i</w:t>
      </w:r>
    </w:p>
    <w:p w:rsidR="006C354F" w:rsidRDefault="006C354F" w:rsidP="006845F1">
      <w:pPr>
        <w:spacing w:before="120" w:after="120" w:line="360" w:lineRule="auto"/>
        <w:ind w:left="1982" w:hanging="566"/>
      </w:pPr>
      <w:r>
        <w:t>(ii)</w:t>
      </w:r>
      <w:r>
        <w:tab/>
        <w:t>pochodzi z materiału podstawowego zatwierdzonego na podstawie art. 4, spełniającego wymogi zawarte odpowiednio w załącznikach III, IV i V;</w:t>
      </w:r>
    </w:p>
    <w:p w:rsidR="006C354F" w:rsidRDefault="006C354F" w:rsidP="006845F1">
      <w:pPr>
        <w:spacing w:before="120" w:after="120" w:line="360" w:lineRule="auto"/>
        <w:ind w:left="1982" w:hanging="566"/>
      </w:pPr>
      <w:r>
        <w:t>(iii)</w:t>
      </w:r>
      <w:r>
        <w:tab/>
        <w:t>LMR należący do kategorii „wyselekcjonowany” można wprowadzać do obrotu wyłącznie wtedy, gdy został masowo rozmnożony z nasion;</w:t>
      </w:r>
    </w:p>
    <w:p w:rsidR="006C354F" w:rsidRDefault="006C354F" w:rsidP="006845F1">
      <w:pPr>
        <w:spacing w:before="120" w:after="120" w:line="360" w:lineRule="auto"/>
        <w:ind w:left="1416" w:hanging="566"/>
      </w:pPr>
      <w:r>
        <w:t>d)</w:t>
      </w:r>
      <w:r>
        <w:tab/>
        <w:t>LMR gatunków drzew i sztucznych mieszańców wyszczególnionych w załączniku I, który zawiera organizmy zmodyfikowane genetycznie lub składa się z takich organizmów, można wprowadzać do obrotu wyłącznie wtedy, gdy:</w:t>
      </w:r>
    </w:p>
    <w:p w:rsidR="006C354F" w:rsidRDefault="006C354F" w:rsidP="006845F1">
      <w:pPr>
        <w:spacing w:before="120" w:after="120" w:line="360" w:lineRule="auto"/>
        <w:ind w:left="1982" w:hanging="566"/>
      </w:pPr>
      <w:r>
        <w:t>(i)</w:t>
      </w:r>
      <w:r>
        <w:tab/>
        <w:t>należy on do materiału kategorii „przetestowany”; i</w:t>
      </w:r>
    </w:p>
    <w:p w:rsidR="006C354F" w:rsidRDefault="006C354F" w:rsidP="006845F1">
      <w:pPr>
        <w:spacing w:before="120" w:after="120" w:line="360" w:lineRule="auto"/>
        <w:ind w:left="1982" w:hanging="566"/>
      </w:pPr>
      <w:r>
        <w:t>(ii)</w:t>
      </w:r>
      <w:r>
        <w:tab/>
        <w:t>pochodzi z materiału podstawowego zatwierdzonego na podstawie art. 4, spełniającego wymogi zawarte w załączniku V oraz</w:t>
      </w:r>
    </w:p>
    <w:p w:rsidR="006C354F" w:rsidRDefault="006C354F" w:rsidP="006845F1">
      <w:pPr>
        <w:spacing w:before="120" w:after="120" w:line="360" w:lineRule="auto"/>
        <w:ind w:left="1982" w:hanging="566"/>
      </w:pPr>
      <w:r>
        <w:t>(iii)</w:t>
      </w:r>
      <w:r>
        <w:tab/>
        <w:t>jest zatwierdzony do uprawy w Unii na podstawie art. 19 dyrektywy 2001/18/WE lub art. 7 i 19 rozporządzenia (WE) nr 1829/2003 lub, w stosownych przypadkach, w odpowiednim państwie członkowskim zgodnie z art. 26b dyrektywy 2001/18/WE;</w:t>
      </w:r>
    </w:p>
    <w:p w:rsidR="00A77FBE" w:rsidRDefault="00A77FBE">
      <w:pPr>
        <w:widowControl/>
        <w:rPr>
          <w:b/>
          <w:i/>
        </w:rPr>
      </w:pPr>
      <w:r>
        <w:rPr>
          <w:b/>
          <w:i/>
        </w:rPr>
        <w:br w:type="page"/>
      </w:r>
    </w:p>
    <w:p w:rsidR="006C354F" w:rsidRPr="00A77FBE" w:rsidRDefault="006C354F" w:rsidP="006845F1">
      <w:pPr>
        <w:spacing w:before="120" w:after="120" w:line="360" w:lineRule="auto"/>
        <w:ind w:left="1982" w:hanging="566"/>
        <w:rPr>
          <w:b/>
        </w:rPr>
      </w:pPr>
      <w:r>
        <w:rPr>
          <w:b/>
          <w:i/>
        </w:rPr>
        <w:lastRenderedPageBreak/>
        <w:t>(</w:t>
      </w:r>
      <w:proofErr w:type="spellStart"/>
      <w:r>
        <w:rPr>
          <w:b/>
          <w:i/>
        </w:rPr>
        <w:t>iiia</w:t>
      </w:r>
      <w:proofErr w:type="spellEnd"/>
      <w:r>
        <w:rPr>
          <w:b/>
          <w:i/>
        </w:rPr>
        <w:t>)</w:t>
      </w:r>
      <w:r>
        <w:tab/>
      </w:r>
      <w:r>
        <w:rPr>
          <w:b/>
          <w:i/>
        </w:rPr>
        <w:t>materiał został zatwierdzony przez właściwy organ;</w:t>
      </w:r>
      <w:r w:rsidR="00A77FBE">
        <w:rPr>
          <w:b/>
        </w:rPr>
        <w:t xml:space="preserve"> [</w:t>
      </w:r>
      <w:r w:rsidR="00A0113C">
        <w:rPr>
          <w:b/>
        </w:rPr>
        <w:t>Popr.</w:t>
      </w:r>
      <w:r w:rsidR="00A77FBE">
        <w:rPr>
          <w:b/>
        </w:rPr>
        <w:t> 121]</w:t>
      </w:r>
    </w:p>
    <w:p w:rsidR="006C354F" w:rsidRPr="00A77FBE" w:rsidRDefault="006C354F" w:rsidP="006845F1">
      <w:pPr>
        <w:spacing w:before="120" w:after="120" w:line="360" w:lineRule="auto"/>
        <w:ind w:left="1982" w:hanging="566"/>
        <w:rPr>
          <w:b/>
        </w:rPr>
      </w:pPr>
      <w:r>
        <w:rPr>
          <w:b/>
          <w:i/>
        </w:rPr>
        <w:t>(</w:t>
      </w:r>
      <w:proofErr w:type="spellStart"/>
      <w:r>
        <w:rPr>
          <w:b/>
          <w:i/>
        </w:rPr>
        <w:t>iiib</w:t>
      </w:r>
      <w:proofErr w:type="spellEnd"/>
      <w:r>
        <w:rPr>
          <w:b/>
          <w:i/>
        </w:rPr>
        <w:t>)</w:t>
      </w:r>
      <w:r>
        <w:tab/>
      </w:r>
      <w:r>
        <w:rPr>
          <w:b/>
          <w:i/>
        </w:rPr>
        <w:t>opatrzony jest etykietą z napisem „Nowe techniki genomowe” zgodnie z art. 10 [Urząd Publikacji: proszę wstawić odniesienie do oczekiwanego rozporządzenia w sprawie NGT]</w:t>
      </w:r>
      <w:r w:rsidR="00A77FBE">
        <w:rPr>
          <w:b/>
          <w:i/>
        </w:rPr>
        <w:t>;</w:t>
      </w:r>
      <w:r w:rsidR="00A77FBE">
        <w:rPr>
          <w:b/>
        </w:rPr>
        <w:t xml:space="preserve"> [</w:t>
      </w:r>
      <w:r w:rsidR="00A0113C">
        <w:rPr>
          <w:b/>
        </w:rPr>
        <w:t>Popr.</w:t>
      </w:r>
      <w:r w:rsidR="00A77FBE">
        <w:rPr>
          <w:b/>
        </w:rPr>
        <w:t> 122]</w:t>
      </w:r>
    </w:p>
    <w:p w:rsidR="006C354F" w:rsidRDefault="006C354F" w:rsidP="006845F1">
      <w:pPr>
        <w:spacing w:before="120" w:after="120" w:line="360" w:lineRule="auto"/>
        <w:ind w:left="1416" w:hanging="566"/>
      </w:pPr>
      <w:r>
        <w:t>e)</w:t>
      </w:r>
      <w:r>
        <w:tab/>
        <w:t>LMR gatunków drzew i sztucznych mieszańców wyszczególnionych w załączniku I, który zawiera roślinę NGT kategorii 1 w rozumieniu art. 3 ust. 7 rozporządzenia (UE) …/… (Urząd Publikacji: proszę wstawić odniesienie do rozporządzenia w sprawie nowych technik genomowych) lub składa się z takich roślin, można wprowadzać do obrotu wyłącznie wtedy, gdy:</w:t>
      </w:r>
    </w:p>
    <w:p w:rsidR="006C354F" w:rsidRDefault="006C354F" w:rsidP="006845F1">
      <w:pPr>
        <w:spacing w:before="120" w:after="120" w:line="360" w:lineRule="auto"/>
        <w:ind w:left="1982" w:hanging="566"/>
      </w:pPr>
      <w:r>
        <w:t>(i)</w:t>
      </w:r>
      <w:r>
        <w:tab/>
        <w:t>należy on do materiału kategorii „przetestowany”; i</w:t>
      </w:r>
    </w:p>
    <w:p w:rsidR="006C354F" w:rsidRDefault="006C354F" w:rsidP="006845F1">
      <w:pPr>
        <w:spacing w:before="120" w:after="120" w:line="360" w:lineRule="auto"/>
        <w:ind w:left="1982" w:hanging="566"/>
      </w:pPr>
      <w:r>
        <w:t>(ii)</w:t>
      </w:r>
      <w:r>
        <w:tab/>
        <w:t>pochodzi z materiału podstawowego zatwierdzonego na podstawie art. 4, spełniającego wymogi zawarte w załączniku V oraz</w:t>
      </w:r>
    </w:p>
    <w:p w:rsidR="006C354F" w:rsidRDefault="006C354F" w:rsidP="006845F1">
      <w:pPr>
        <w:spacing w:before="120" w:after="120" w:line="360" w:lineRule="auto"/>
        <w:ind w:left="1982" w:hanging="566"/>
      </w:pPr>
      <w:r>
        <w:t>(iii)</w:t>
      </w:r>
      <w:r>
        <w:tab/>
        <w:t>w przypadku tej rośliny dokonano zgłoszenia dotyczącego statusu rośliny NGT kategorii 1 na podstawie art. 6 lub 7 rozporządzenia (UE) …/… (Urząd Publikacji, proszę wstawić odniesienie do rozporządzenia w sprawie nowych technik genomowych ...) lub roślina ta jest potomstwem rośliny lub roślin, w przypadku których dokonano takiego zgłoszenia;</w:t>
      </w:r>
    </w:p>
    <w:p w:rsidR="00A77FBE" w:rsidRDefault="00A77FBE">
      <w:pPr>
        <w:widowControl/>
      </w:pPr>
      <w:r>
        <w:br w:type="page"/>
      </w:r>
    </w:p>
    <w:p w:rsidR="006C354F" w:rsidRDefault="006C354F" w:rsidP="006845F1">
      <w:pPr>
        <w:spacing w:before="120" w:after="120" w:line="360" w:lineRule="auto"/>
        <w:ind w:left="1416" w:hanging="566"/>
      </w:pPr>
      <w:r>
        <w:lastRenderedPageBreak/>
        <w:t>f)</w:t>
      </w:r>
      <w:r>
        <w:tab/>
        <w:t>LMR gatunków drzew i sztucznych mieszańców wyszczególnionych w załączniku I można wprowadzać do obrotu wyłącznie wtedy, gdy towarzyszy mu odniesienie do jego numeru lub numerów certyfikatu;</w:t>
      </w:r>
    </w:p>
    <w:p w:rsidR="006C354F" w:rsidRDefault="006C354F" w:rsidP="006845F1">
      <w:pPr>
        <w:spacing w:before="120" w:after="120" w:line="360" w:lineRule="auto"/>
        <w:ind w:left="1416" w:hanging="566"/>
      </w:pPr>
      <w:r>
        <w:t>g)</w:t>
      </w:r>
      <w:r>
        <w:tab/>
        <w:t xml:space="preserve">materiał ten jest zgodny z art. 36, 37, 40, 41, 42, 49, 53 i 54 rozporządzenia (UE) 2016/2031 dotyczącymi </w:t>
      </w:r>
      <w:proofErr w:type="spellStart"/>
      <w:r>
        <w:t>agrofagów</w:t>
      </w:r>
      <w:proofErr w:type="spellEnd"/>
      <w:r>
        <w:t xml:space="preserve"> kwarantannowych dla Unii, </w:t>
      </w:r>
      <w:proofErr w:type="spellStart"/>
      <w:r>
        <w:t>agrofagów</w:t>
      </w:r>
      <w:proofErr w:type="spellEnd"/>
      <w:r>
        <w:t xml:space="preserve"> kwarantannowych dla strefy chronionej, RAN oraz </w:t>
      </w:r>
      <w:proofErr w:type="spellStart"/>
      <w:r>
        <w:t>agrofagów</w:t>
      </w:r>
      <w:proofErr w:type="spellEnd"/>
      <w:r>
        <w:t xml:space="preserve"> podlegających środkom przyjętym na podstawie art. 30 tego rozporządzenia;</w:t>
      </w:r>
    </w:p>
    <w:p w:rsidR="006C354F" w:rsidRDefault="006C354F" w:rsidP="006845F1">
      <w:pPr>
        <w:spacing w:before="120" w:after="120" w:line="360" w:lineRule="auto"/>
        <w:ind w:left="1416" w:hanging="566"/>
      </w:pPr>
      <w:r>
        <w:t>h)</w:t>
      </w:r>
      <w:r>
        <w:tab/>
        <w:t>w przypadku nasion LMR gatunków drzew i sztucznych mieszańców wyszczególnionych w załączniku I można wprowadzać do obrotu wyłącznie wtedy, gdy oprócz zgodności z lit. a)–g) dostępne są informacje dotyczące:</w:t>
      </w:r>
    </w:p>
    <w:p w:rsidR="006C354F" w:rsidRDefault="006C354F" w:rsidP="006845F1">
      <w:pPr>
        <w:spacing w:before="120" w:after="120" w:line="360" w:lineRule="auto"/>
        <w:ind w:left="1982" w:hanging="566"/>
      </w:pPr>
      <w:r>
        <w:t>(i)</w:t>
      </w:r>
      <w:r>
        <w:tab/>
        <w:t>czystości;</w:t>
      </w:r>
    </w:p>
    <w:p w:rsidR="006C354F" w:rsidRPr="00A77FBE" w:rsidRDefault="006C354F" w:rsidP="006845F1">
      <w:pPr>
        <w:spacing w:before="120" w:after="120" w:line="360" w:lineRule="auto"/>
        <w:ind w:left="1982" w:hanging="566"/>
        <w:rPr>
          <w:b/>
        </w:rPr>
      </w:pPr>
      <w:r>
        <w:t>(ii)</w:t>
      </w:r>
      <w:r>
        <w:tab/>
        <w:t>zdolności kiełkowania czystych nasion;</w:t>
      </w:r>
      <w:r>
        <w:rPr>
          <w:b/>
          <w:i/>
        </w:rPr>
        <w:t xml:space="preserve"> jeśli przeprowadzane są procedury testowania, właściwe organy mogą zezwolić na wprowadzenie do obrotu przed uzyskaniem wyników testów; dostawca jest zobowiązany do przekazaniu nabywcy wyników testów, gdy tylko będą dostępne;</w:t>
      </w:r>
      <w:r w:rsidR="00A77FBE">
        <w:rPr>
          <w:b/>
        </w:rPr>
        <w:t xml:space="preserve"> [</w:t>
      </w:r>
      <w:r w:rsidR="00A0113C">
        <w:rPr>
          <w:b/>
        </w:rPr>
        <w:t>Popr.</w:t>
      </w:r>
      <w:r w:rsidR="00A77FBE">
        <w:rPr>
          <w:b/>
        </w:rPr>
        <w:t> 37]</w:t>
      </w:r>
    </w:p>
    <w:p w:rsidR="006C354F" w:rsidRDefault="006C354F" w:rsidP="006845F1">
      <w:pPr>
        <w:spacing w:before="120" w:after="120" w:line="360" w:lineRule="auto"/>
        <w:ind w:left="1982" w:hanging="566"/>
      </w:pPr>
      <w:r>
        <w:t>(iii)</w:t>
      </w:r>
      <w:r>
        <w:tab/>
        <w:t>masy 1000 czystych nasion;</w:t>
      </w:r>
    </w:p>
    <w:p w:rsidR="00A77FBE" w:rsidRDefault="00A77FBE">
      <w:pPr>
        <w:widowControl/>
      </w:pPr>
      <w:r>
        <w:br w:type="page"/>
      </w:r>
    </w:p>
    <w:p w:rsidR="006C354F" w:rsidRPr="00A77FBE" w:rsidRDefault="006C354F" w:rsidP="006845F1">
      <w:pPr>
        <w:spacing w:before="120" w:after="120" w:line="360" w:lineRule="auto"/>
        <w:ind w:left="1982" w:hanging="566"/>
        <w:rPr>
          <w:b/>
        </w:rPr>
      </w:pPr>
      <w:r>
        <w:lastRenderedPageBreak/>
        <w:t>(iv)</w:t>
      </w:r>
      <w:r>
        <w:tab/>
      </w:r>
      <w:proofErr w:type="spellStart"/>
      <w:r>
        <w:rPr>
          <w:strike/>
        </w:rPr>
        <w:t>liczby</w:t>
      </w:r>
      <w:r>
        <w:rPr>
          <w:b/>
          <w:i/>
        </w:rPr>
        <w:t>lliczby</w:t>
      </w:r>
      <w:proofErr w:type="spellEnd"/>
      <w:r>
        <w:t xml:space="preserve"> zdolnych do kiełkowania nasion w kilogramie produktu wprowadzonego do obrotu jako materiał siewny lub, jeśli nie można tej liczby określić </w:t>
      </w:r>
      <w:r>
        <w:rPr>
          <w:b/>
          <w:i/>
        </w:rPr>
        <w:t xml:space="preserve">w ograniczonym czasie </w:t>
      </w:r>
      <w:r>
        <w:t>lub byłoby to niepraktyczne, liczby nasion żywotnych w kilogramie</w:t>
      </w:r>
      <w:r>
        <w:rPr>
          <w:b/>
          <w:i/>
        </w:rPr>
        <w:t>, według określonej metody</w:t>
      </w:r>
      <w:r>
        <w:t>.</w:t>
      </w:r>
      <w:r w:rsidR="00A77FBE">
        <w:rPr>
          <w:b/>
        </w:rPr>
        <w:t xml:space="preserve"> [</w:t>
      </w:r>
      <w:r w:rsidR="00A0113C">
        <w:rPr>
          <w:b/>
        </w:rPr>
        <w:t>Popr.</w:t>
      </w:r>
      <w:r w:rsidR="00A77FBE">
        <w:rPr>
          <w:b/>
        </w:rPr>
        <w:t> 38]</w:t>
      </w:r>
    </w:p>
    <w:p w:rsidR="006C354F" w:rsidRDefault="006C354F" w:rsidP="006845F1">
      <w:pPr>
        <w:spacing w:before="120" w:after="120" w:line="360" w:lineRule="auto"/>
        <w:ind w:left="850" w:hanging="850"/>
      </w:pPr>
      <w:r>
        <w:t>2.</w:t>
      </w:r>
      <w:r>
        <w:tab/>
        <w:t>Kategorie, w ramach których LMR poszczególnych rodzajów materiału podstawowego może być wprowadzany do obrotu, są wyszczególnione w tabeli w załączniku VI.</w:t>
      </w:r>
    </w:p>
    <w:p w:rsidR="006C354F" w:rsidRDefault="006C354F" w:rsidP="006845F1">
      <w:pPr>
        <w:spacing w:before="120" w:after="120" w:line="360" w:lineRule="auto"/>
        <w:ind w:left="850" w:hanging="850"/>
      </w:pPr>
      <w:r>
        <w:t>3.</w:t>
      </w:r>
      <w:r>
        <w:tab/>
        <w:t>Komisja jest uprawniona do przyjmowania, zgodnie z art. 26 ust. 2, aktów delegowanych zmieniających tabelę w załączniku VI w odniesieniu do kategorii, w których LMR poszczególnych rodzajów materiału podstawowego może być wprowadzany do obrotu.</w:t>
      </w:r>
    </w:p>
    <w:p w:rsidR="006C354F" w:rsidRDefault="006C354F" w:rsidP="006845F1">
      <w:pPr>
        <w:spacing w:before="120" w:after="120" w:line="360" w:lineRule="auto"/>
        <w:ind w:left="850"/>
      </w:pPr>
      <w:r>
        <w:t>Zmiana ta służy dostosowaniu tych kategorii do rozwoju wiedzy technicznej i naukowej oraz odpowiednich norm międzynarodowych.</w:t>
      </w:r>
    </w:p>
    <w:p w:rsidR="00A77FBE" w:rsidRDefault="00A77FBE">
      <w:pPr>
        <w:widowControl/>
      </w:pPr>
      <w:r>
        <w:br w:type="page"/>
      </w:r>
    </w:p>
    <w:p w:rsidR="006C354F" w:rsidRDefault="006C354F" w:rsidP="006845F1">
      <w:pPr>
        <w:spacing w:before="120" w:after="120" w:line="360" w:lineRule="auto"/>
        <w:jc w:val="center"/>
      </w:pPr>
      <w:r>
        <w:lastRenderedPageBreak/>
        <w:t>Artykuł 6</w:t>
      </w:r>
      <w:r>
        <w:br/>
        <w:t>Wymogi dotyczące LMR pochodzącego z materiału podstawowego, przeznaczonego do celów ochrony leśnych zasobów genetycznych</w:t>
      </w:r>
    </w:p>
    <w:p w:rsidR="006C354F" w:rsidRDefault="006C354F" w:rsidP="006845F1">
      <w:pPr>
        <w:spacing w:before="120" w:after="120" w:line="360" w:lineRule="auto"/>
      </w:pPr>
      <w:r>
        <w:t>W celu wprowadzenia do obrotu LMR pochodzącego z materiału podstawowego podlegającego odstępstwu przewidzianemu w art. 18 muszą zostać spełnione wszystkie następujące warunki:</w:t>
      </w:r>
    </w:p>
    <w:p w:rsidR="006C354F" w:rsidRDefault="006C354F" w:rsidP="006845F1">
      <w:pPr>
        <w:spacing w:before="120" w:after="120" w:line="360" w:lineRule="auto"/>
        <w:ind w:left="850" w:hanging="850"/>
      </w:pPr>
      <w:r>
        <w:t>a)</w:t>
      </w:r>
      <w:r>
        <w:tab/>
        <w:t>LMR gatunków wyszczególnionych w załączniku I można wprowadzać do obrotu wyłącznie w przypadku gdy należy on do materiału kategorii „ze zidentyfikowanego źródła”;</w:t>
      </w:r>
    </w:p>
    <w:p w:rsidR="006C354F" w:rsidRPr="00A77FBE" w:rsidRDefault="006C354F" w:rsidP="006845F1">
      <w:pPr>
        <w:spacing w:before="120" w:after="120" w:line="360" w:lineRule="auto"/>
        <w:ind w:left="850" w:hanging="850"/>
        <w:rPr>
          <w:b/>
        </w:rPr>
      </w:pPr>
      <w:r>
        <w:t>b)</w:t>
      </w:r>
      <w:r>
        <w:tab/>
        <w:t xml:space="preserve">LMR ma pochodzenie pierwotne, które jest naturalnie przystosowane do warunków lokalnych i regionalnych </w:t>
      </w:r>
      <w:r>
        <w:rPr>
          <w:b/>
          <w:i/>
        </w:rPr>
        <w:t xml:space="preserve">lub, w stosownych przypadkach, przystosowane do celu, jakim jest migracja wspomagana; </w:t>
      </w:r>
      <w:r>
        <w:t>oraz</w:t>
      </w:r>
      <w:r w:rsidR="00A77FBE">
        <w:rPr>
          <w:b/>
        </w:rPr>
        <w:t xml:space="preserve"> [</w:t>
      </w:r>
      <w:r w:rsidR="00A0113C">
        <w:rPr>
          <w:b/>
        </w:rPr>
        <w:t>Popr.</w:t>
      </w:r>
      <w:r w:rsidR="00A77FBE">
        <w:rPr>
          <w:b/>
        </w:rPr>
        <w:t> 39]</w:t>
      </w:r>
    </w:p>
    <w:p w:rsidR="006C354F" w:rsidRPr="00A77FBE" w:rsidRDefault="006C354F" w:rsidP="006845F1">
      <w:pPr>
        <w:spacing w:before="120" w:after="120" w:line="360" w:lineRule="auto"/>
        <w:ind w:left="850" w:hanging="850"/>
        <w:rPr>
          <w:b/>
        </w:rPr>
      </w:pPr>
      <w:r>
        <w:t>c)</w:t>
      </w:r>
      <w:r>
        <w:tab/>
        <w:t xml:space="preserve">LMR zbiera się od </w:t>
      </w:r>
      <w:proofErr w:type="spellStart"/>
      <w:r>
        <w:rPr>
          <w:strike/>
        </w:rPr>
        <w:t>wszystkich</w:t>
      </w:r>
      <w:r>
        <w:rPr>
          <w:b/>
          <w:i/>
        </w:rPr>
        <w:t>maksymalnej</w:t>
      </w:r>
      <w:proofErr w:type="spellEnd"/>
      <w:r>
        <w:rPr>
          <w:b/>
          <w:i/>
        </w:rPr>
        <w:t xml:space="preserve"> liczby</w:t>
      </w:r>
      <w:r>
        <w:t xml:space="preserve"> osobników zgłoszonego materiału podstawowego</w:t>
      </w:r>
      <w:r>
        <w:rPr>
          <w:strike/>
        </w:rPr>
        <w:t>.</w:t>
      </w:r>
      <w:r>
        <w:rPr>
          <w:b/>
          <w:i/>
        </w:rPr>
        <w:t>, wystarczającej do zachowania różnorodności genetycznej gatunku;</w:t>
      </w:r>
      <w:r w:rsidR="00A77FBE">
        <w:rPr>
          <w:b/>
        </w:rPr>
        <w:t xml:space="preserve"> [</w:t>
      </w:r>
      <w:r w:rsidR="00A0113C">
        <w:rPr>
          <w:b/>
        </w:rPr>
        <w:t>Popr.</w:t>
      </w:r>
      <w:r w:rsidR="00A77FBE">
        <w:rPr>
          <w:b/>
        </w:rPr>
        <w:t> 40]</w:t>
      </w:r>
    </w:p>
    <w:p w:rsidR="006C354F" w:rsidRPr="00A77FBE" w:rsidRDefault="006C354F" w:rsidP="006845F1">
      <w:pPr>
        <w:spacing w:before="120" w:after="120" w:line="360" w:lineRule="auto"/>
        <w:ind w:left="850" w:hanging="850"/>
        <w:rPr>
          <w:b/>
        </w:rPr>
      </w:pPr>
      <w:r>
        <w:rPr>
          <w:b/>
          <w:i/>
        </w:rPr>
        <w:t>ca)</w:t>
      </w:r>
      <w:r>
        <w:tab/>
      </w:r>
      <w:r>
        <w:rPr>
          <w:b/>
          <w:i/>
        </w:rPr>
        <w:t>w przypadku gatunków, u których powszechnie stosuje się rozmnażanie wegetatywne w celu zachowania leśnych zasobów genetycznych, w celu zachowania różnorodności genetycznej należy stosować mieszankę wystarczająco zróżnicowanego zestawu klonów.</w:t>
      </w:r>
      <w:r w:rsidR="00A77FBE">
        <w:rPr>
          <w:b/>
        </w:rPr>
        <w:t xml:space="preserve"> [</w:t>
      </w:r>
      <w:r w:rsidR="00A0113C">
        <w:rPr>
          <w:b/>
        </w:rPr>
        <w:t>Popr.</w:t>
      </w:r>
      <w:r w:rsidR="00A77FBE">
        <w:rPr>
          <w:b/>
        </w:rPr>
        <w:t> 124]</w:t>
      </w:r>
    </w:p>
    <w:p w:rsidR="00A77FBE" w:rsidRDefault="00A77FBE">
      <w:pPr>
        <w:widowControl/>
      </w:pPr>
      <w:r>
        <w:br w:type="page"/>
      </w:r>
    </w:p>
    <w:p w:rsidR="006C354F" w:rsidRDefault="006C354F" w:rsidP="006845F1">
      <w:pPr>
        <w:spacing w:before="120" w:after="120" w:line="360" w:lineRule="auto"/>
        <w:jc w:val="center"/>
      </w:pPr>
      <w:r>
        <w:lastRenderedPageBreak/>
        <w:t>Artykuł 7</w:t>
      </w:r>
      <w:r>
        <w:br/>
        <w:t>Tymczasowe zezwolenie na wprowadzanie do obrotu LMR pochodzącego z materiału podstawowego niespełniającego wymogów dotyczących kategorii</w:t>
      </w:r>
    </w:p>
    <w:p w:rsidR="006C354F" w:rsidRPr="00A77FBE" w:rsidRDefault="006C354F" w:rsidP="006845F1">
      <w:pPr>
        <w:spacing w:before="120" w:after="120" w:line="360" w:lineRule="auto"/>
        <w:ind w:left="850" w:hanging="850"/>
        <w:rPr>
          <w:b/>
        </w:rPr>
      </w:pPr>
      <w:r>
        <w:t>1.</w:t>
      </w:r>
      <w:r>
        <w:tab/>
        <w:t>Właściwe organy mogą tymczasowo zezwolić na wprowadzanie do obrotu LMR pochodzącego od zatwierdzonego materiału podstawowego niespełniającego wszystkich wymogów odpowiedniej kategorii, o których mowa w art. 5 ust. 1</w:t>
      </w:r>
      <w:r>
        <w:rPr>
          <w:b/>
          <w:i/>
        </w:rPr>
        <w:t xml:space="preserve"> lit. a), b) i c)</w:t>
      </w:r>
      <w:r>
        <w:t>, w następstwie przyjęcia aktu delegowanego, o którym mowa w ust. 2.</w:t>
      </w:r>
      <w:r w:rsidR="00A77FBE">
        <w:rPr>
          <w:b/>
        </w:rPr>
        <w:t xml:space="preserve"> [</w:t>
      </w:r>
      <w:r w:rsidR="00A0113C">
        <w:rPr>
          <w:b/>
        </w:rPr>
        <w:t>Popr.</w:t>
      </w:r>
      <w:r w:rsidR="00A77FBE">
        <w:rPr>
          <w:b/>
        </w:rPr>
        <w:t> 41]</w:t>
      </w:r>
    </w:p>
    <w:p w:rsidR="006C354F" w:rsidRDefault="006C354F" w:rsidP="006845F1">
      <w:pPr>
        <w:spacing w:before="120" w:after="120" w:line="360" w:lineRule="auto"/>
        <w:ind w:left="850"/>
      </w:pPr>
      <w:r>
        <w:t>Właściwe organy odpowiedniego państwa członkowskiego powiadamiają Komisję i pozostałe państwa członkowskie o tych tymczasowych zezwoleniach i podają powody uzasadniające zatwierdzenie.</w:t>
      </w:r>
    </w:p>
    <w:p w:rsidR="006C354F" w:rsidRDefault="006C354F" w:rsidP="006845F1">
      <w:pPr>
        <w:spacing w:before="120" w:after="120" w:line="360" w:lineRule="auto"/>
        <w:ind w:left="850" w:hanging="850"/>
      </w:pPr>
      <w:r>
        <w:t>2.</w:t>
      </w:r>
      <w:r>
        <w:tab/>
        <w:t>Komisja jest uprawniona do przyjmowania, zgodnie z art. 26, aktów delegowanych uzupełniających niniejszy artykuł o określenie warunków udzielania tymczasowego zezwolenia danemu państwu członkowskiemu.</w:t>
      </w:r>
    </w:p>
    <w:p w:rsidR="006C354F" w:rsidRDefault="006C354F" w:rsidP="006845F1">
      <w:pPr>
        <w:spacing w:before="120" w:after="120" w:line="360" w:lineRule="auto"/>
        <w:ind w:left="850"/>
      </w:pPr>
      <w:r>
        <w:t>Warunki takie obejmują:</w:t>
      </w:r>
    </w:p>
    <w:p w:rsidR="006C354F" w:rsidRDefault="006C354F" w:rsidP="006845F1">
      <w:pPr>
        <w:spacing w:before="120" w:after="120" w:line="360" w:lineRule="auto"/>
        <w:ind w:left="1416" w:hanging="566"/>
      </w:pPr>
      <w:r>
        <w:t>a)</w:t>
      </w:r>
      <w:r>
        <w:tab/>
        <w:t>uzasadnienie udzielenia tego zezwolenia, aby zapewnić osiągnięcie celów niniejszego rozporządzenia;</w:t>
      </w:r>
    </w:p>
    <w:p w:rsidR="00A77FBE" w:rsidRDefault="00A77FBE">
      <w:pPr>
        <w:widowControl/>
      </w:pPr>
      <w:r>
        <w:br w:type="page"/>
      </w:r>
    </w:p>
    <w:p w:rsidR="006C354F" w:rsidRPr="00A77FBE" w:rsidRDefault="006C354F" w:rsidP="006845F1">
      <w:pPr>
        <w:spacing w:before="120" w:after="120" w:line="360" w:lineRule="auto"/>
        <w:ind w:left="1416" w:hanging="566"/>
        <w:rPr>
          <w:b/>
        </w:rPr>
      </w:pPr>
      <w:r>
        <w:lastRenderedPageBreak/>
        <w:t>b)</w:t>
      </w:r>
      <w:r>
        <w:tab/>
      </w:r>
      <w:r>
        <w:rPr>
          <w:strike/>
        </w:rPr>
        <w:t xml:space="preserve">maksymalny </w:t>
      </w:r>
      <w:proofErr w:type="spellStart"/>
      <w:r>
        <w:rPr>
          <w:strike/>
        </w:rPr>
        <w:t>okres</w:t>
      </w:r>
      <w:r>
        <w:rPr>
          <w:b/>
          <w:i/>
        </w:rPr>
        <w:t>termin</w:t>
      </w:r>
      <w:proofErr w:type="spellEnd"/>
      <w:r>
        <w:t xml:space="preserve"> ważności zezwolenia;</w:t>
      </w:r>
      <w:r w:rsidR="00A77FBE">
        <w:rPr>
          <w:b/>
        </w:rPr>
        <w:t xml:space="preserve"> [</w:t>
      </w:r>
      <w:r w:rsidR="00A0113C">
        <w:rPr>
          <w:b/>
        </w:rPr>
        <w:t>Popr.</w:t>
      </w:r>
      <w:r w:rsidR="00A77FBE">
        <w:rPr>
          <w:b/>
        </w:rPr>
        <w:t> 42]</w:t>
      </w:r>
    </w:p>
    <w:p w:rsidR="006C354F" w:rsidRPr="00A77FBE" w:rsidRDefault="006C354F" w:rsidP="006845F1">
      <w:pPr>
        <w:spacing w:before="120" w:after="120" w:line="360" w:lineRule="auto"/>
        <w:ind w:left="1416" w:hanging="566"/>
        <w:rPr>
          <w:b/>
        </w:rPr>
      </w:pPr>
      <w:r>
        <w:t>c)</w:t>
      </w:r>
      <w:r>
        <w:tab/>
      </w:r>
      <w:proofErr w:type="spellStart"/>
      <w:r>
        <w:rPr>
          <w:strike/>
        </w:rPr>
        <w:t>obowiązki</w:t>
      </w:r>
      <w:r>
        <w:rPr>
          <w:b/>
          <w:i/>
        </w:rPr>
        <w:t>wymogi</w:t>
      </w:r>
      <w:proofErr w:type="spellEnd"/>
      <w:r>
        <w:rPr>
          <w:b/>
          <w:i/>
        </w:rPr>
        <w:t xml:space="preserve"> minimalne</w:t>
      </w:r>
      <w:r>
        <w:t xml:space="preserve"> w odniesieniu do kontroli urzędowych podmiotów profesjonalnych występujących z wnioskiem o takie zezwolenie;</w:t>
      </w:r>
      <w:r w:rsidR="00A77FBE">
        <w:rPr>
          <w:b/>
        </w:rPr>
        <w:t xml:space="preserve"> [</w:t>
      </w:r>
      <w:r w:rsidR="00A0113C">
        <w:rPr>
          <w:b/>
        </w:rPr>
        <w:t>Popr.</w:t>
      </w:r>
      <w:r w:rsidR="00A77FBE">
        <w:rPr>
          <w:b/>
        </w:rPr>
        <w:t> 43]</w:t>
      </w:r>
    </w:p>
    <w:p w:rsidR="006C354F" w:rsidRDefault="006C354F" w:rsidP="006845F1">
      <w:pPr>
        <w:spacing w:before="120" w:after="120" w:line="360" w:lineRule="auto"/>
        <w:ind w:left="1416" w:hanging="566"/>
      </w:pPr>
      <w:r>
        <w:t>d)</w:t>
      </w:r>
      <w:r>
        <w:tab/>
        <w:t>treść i formę powiadomienia, o którym mowa w ust. 1.</w:t>
      </w:r>
    </w:p>
    <w:p w:rsidR="006C354F" w:rsidRDefault="006C354F" w:rsidP="006845F1">
      <w:pPr>
        <w:spacing w:before="120" w:after="120" w:line="360" w:lineRule="auto"/>
        <w:jc w:val="center"/>
      </w:pPr>
      <w:r>
        <w:t>Artykuł 8</w:t>
      </w:r>
      <w:r>
        <w:br/>
        <w:t>Szczegółowe wymogi dotyczące określonych gatunków, kategorii i rodzajów LMR</w:t>
      </w:r>
    </w:p>
    <w:p w:rsidR="006C354F" w:rsidRDefault="006C354F" w:rsidP="006845F1">
      <w:pPr>
        <w:spacing w:before="120" w:after="120" w:line="360" w:lineRule="auto"/>
      </w:pPr>
      <w:r>
        <w:t>Komisja jest uprawniona do przyjmowania, zgodnie z art. 26, aktów delegowanych uzupełniających, w razie potrzeby, niniejsze rozporządzenie, jeżeli chodzi o wymogi dotyczące każdego rodzaju, gatunku lub każdej kategorii LMR, stosownie do przypadku:</w:t>
      </w:r>
    </w:p>
    <w:p w:rsidR="006C354F" w:rsidRDefault="006C354F" w:rsidP="006845F1">
      <w:pPr>
        <w:spacing w:before="120" w:after="120" w:line="360" w:lineRule="auto"/>
        <w:ind w:left="850" w:hanging="850"/>
      </w:pPr>
      <w:r>
        <w:t>a)</w:t>
      </w:r>
      <w:r>
        <w:tab/>
        <w:t>w zakresie partii owoców i partii materiału siewnego gatunków wymienionych w załączniku I – w odniesieniu do czystości gatunków;</w:t>
      </w:r>
    </w:p>
    <w:p w:rsidR="006C354F" w:rsidRDefault="006C354F" w:rsidP="006845F1">
      <w:pPr>
        <w:spacing w:before="120" w:after="120" w:line="360" w:lineRule="auto"/>
        <w:ind w:left="850" w:hanging="850"/>
      </w:pPr>
      <w:r>
        <w:t>b)</w:t>
      </w:r>
      <w:r>
        <w:tab/>
        <w:t>w zakresie części roślin gatunków i sztucznych mieszańców wymienionych w załączniku I – w odniesieniu do jakości w stosunku do ogólnych właściwości, zdrowia i wielkości;</w:t>
      </w:r>
    </w:p>
    <w:p w:rsidR="006C354F" w:rsidRDefault="006C354F" w:rsidP="006845F1">
      <w:pPr>
        <w:spacing w:before="120" w:after="120" w:line="360" w:lineRule="auto"/>
        <w:ind w:left="850" w:hanging="850"/>
      </w:pPr>
      <w:r>
        <w:t>c)</w:t>
      </w:r>
      <w:r>
        <w:tab/>
        <w:t xml:space="preserve">w przypadku zewnętrznych norm jakości </w:t>
      </w:r>
      <w:proofErr w:type="spellStart"/>
      <w:r>
        <w:t>Populus</w:t>
      </w:r>
      <w:proofErr w:type="spellEnd"/>
      <w:r>
        <w:t xml:space="preserve"> </w:t>
      </w:r>
      <w:proofErr w:type="spellStart"/>
      <w:r>
        <w:t>spp</w:t>
      </w:r>
      <w:proofErr w:type="spellEnd"/>
      <w:r>
        <w:t>. rozmnażanego przez zrzezy pędowe lub sadzonki – w odniesieniu do wad i minimalnych wymiarów zrzezów pędowych i sadzonek;</w:t>
      </w:r>
    </w:p>
    <w:p w:rsidR="00A77FBE" w:rsidRDefault="00A77FBE">
      <w:pPr>
        <w:widowControl/>
      </w:pPr>
      <w:r>
        <w:br w:type="page"/>
      </w:r>
    </w:p>
    <w:p w:rsidR="006C354F" w:rsidRDefault="006C354F" w:rsidP="006845F1">
      <w:pPr>
        <w:spacing w:before="120" w:after="120" w:line="360" w:lineRule="auto"/>
        <w:ind w:left="850" w:hanging="850"/>
      </w:pPr>
      <w:r>
        <w:lastRenderedPageBreak/>
        <w:t>d)</w:t>
      </w:r>
      <w:r>
        <w:tab/>
        <w:t>w zakresie materiału sadzeniowego gatunków i sztucznych mieszańców wymienionych w załączniku I – w odniesieniu do jakości w stosunku do ogólnych właściwości, zdrowia, zdrowotności i stanu fizjologicznego;</w:t>
      </w:r>
    </w:p>
    <w:p w:rsidR="006C354F" w:rsidRDefault="006C354F" w:rsidP="006845F1">
      <w:pPr>
        <w:spacing w:before="120" w:after="120" w:line="360" w:lineRule="auto"/>
        <w:ind w:left="850" w:hanging="850"/>
      </w:pPr>
      <w:r>
        <w:t>e)</w:t>
      </w:r>
      <w:r>
        <w:tab/>
        <w:t>w zakresie materiału sadzeniowego, który ma być sprzedawany użytkownikom w regionach o klimacie śródziemnomorskim – w odniesieniu do wad, wielkości i wieku roślin oraz, w stosownych przypadkach, wielkości pojemnika.</w:t>
      </w:r>
    </w:p>
    <w:p w:rsidR="006C354F" w:rsidRPr="006C354F" w:rsidRDefault="006C354F" w:rsidP="006845F1">
      <w:pPr>
        <w:pStyle w:val="Applicationdirecte"/>
        <w:rPr>
          <w:lang w:val="pl-PL"/>
        </w:rPr>
      </w:pPr>
      <w:r w:rsidRPr="006C354F">
        <w:rPr>
          <w:lang w:val="pl-PL"/>
        </w:rPr>
        <w:t>Postawą tego aktu delegowanego są doświadczenia zdobyte w trakcie stosowania wymogów, w stosownych przypadkach, w odniesieniu do każdego rodzaju, gatunku lub każdej kategorii LMR, jeżeli chodzi o przepisy dotyczące inspekcji, pobierania próbek i przeprowadzania testów oraz izolacji przestrzennej. Akt ten służy dostosowaniu tych wymogów na podstawie zmian w odpowiednich normach międzynarodowych, postępu naukowego i technicznego lub zmian klimatycznych i ekologicznych.</w:t>
      </w:r>
    </w:p>
    <w:p w:rsidR="00A77FBE" w:rsidRDefault="00A77FBE">
      <w:pPr>
        <w:widowControl/>
      </w:pPr>
      <w:r>
        <w:br w:type="page"/>
      </w:r>
    </w:p>
    <w:p w:rsidR="006C354F" w:rsidRDefault="006C354F" w:rsidP="006845F1">
      <w:pPr>
        <w:spacing w:before="120" w:after="120" w:line="360" w:lineRule="auto"/>
        <w:jc w:val="center"/>
      </w:pPr>
      <w:r>
        <w:lastRenderedPageBreak/>
        <w:t>Artykuł 9</w:t>
      </w:r>
      <w:r>
        <w:br/>
        <w:t>Plan awaryjny i rejestr krajowy</w:t>
      </w:r>
    </w:p>
    <w:p w:rsidR="006C354F" w:rsidRPr="00A77FBE" w:rsidRDefault="006C354F" w:rsidP="006845F1">
      <w:pPr>
        <w:spacing w:before="120" w:after="120" w:line="360" w:lineRule="auto"/>
        <w:ind w:left="850" w:hanging="850"/>
        <w:rPr>
          <w:b/>
        </w:rPr>
      </w:pPr>
      <w:r>
        <w:t>1.</w:t>
      </w:r>
      <w:r>
        <w:tab/>
        <w:t xml:space="preserve">Każde państwo członkowskie sporządza co najmniej jeden plan awaryjny w celu zapewnienia wystarczających dostaw LMR na potrzeby ponownego zalesienia obszarów dotkniętych ekstremalnymi zdarzeniami pogodowymi, pożarami środowiskowymi, chorobami i pojawami </w:t>
      </w:r>
      <w:proofErr w:type="spellStart"/>
      <w:r>
        <w:t>agrofaga</w:t>
      </w:r>
      <w:proofErr w:type="spellEnd"/>
      <w:r>
        <w:t>, klęskami żywiołowymi lub wszelkimi innymi zdarzeniami istotnymi i zidentyfikowanymi w krajowych ocenach ryzyka zgodnie z art. 6 ust. 1 decyzji nr 1313/2013/UE</w:t>
      </w:r>
      <w:r>
        <w:rPr>
          <w:rStyle w:val="FootnoteReference"/>
        </w:rPr>
        <w:footnoteReference w:id="24"/>
      </w:r>
      <w:r>
        <w:t>.</w:t>
      </w:r>
      <w:r>
        <w:rPr>
          <w:b/>
          <w:i/>
        </w:rPr>
        <w:t xml:space="preserve"> Komisja, na wniosek państwa członkowskiego, udostępnia wsparcie techniczne w celu sporządzenia planu awaryjnego.</w:t>
      </w:r>
      <w:r w:rsidR="00A77FBE">
        <w:rPr>
          <w:b/>
        </w:rPr>
        <w:t xml:space="preserve"> [</w:t>
      </w:r>
      <w:r w:rsidR="00A0113C">
        <w:rPr>
          <w:b/>
        </w:rPr>
        <w:t>Popr.</w:t>
      </w:r>
      <w:r w:rsidR="00A77FBE">
        <w:rPr>
          <w:b/>
        </w:rPr>
        <w:t> 44]</w:t>
      </w:r>
    </w:p>
    <w:p w:rsidR="006C354F" w:rsidRPr="00A77FBE" w:rsidRDefault="006C354F" w:rsidP="006845F1">
      <w:pPr>
        <w:spacing w:before="120" w:after="120" w:line="360" w:lineRule="auto"/>
        <w:ind w:left="850"/>
        <w:rPr>
          <w:b/>
        </w:rPr>
      </w:pPr>
      <w:r>
        <w:t xml:space="preserve">Ten plan awaryjny przygotowuje się w odniesieniu do gatunków drzew i ich sztucznych mieszańców wymienionych w załączniku I, które </w:t>
      </w:r>
      <w:r>
        <w:rPr>
          <w:strike/>
        </w:rPr>
        <w:t xml:space="preserve">uznaje </w:t>
      </w:r>
      <w:proofErr w:type="spellStart"/>
      <w:r>
        <w:rPr>
          <w:strike/>
        </w:rPr>
        <w:t>się</w:t>
      </w:r>
      <w:r>
        <w:rPr>
          <w:b/>
          <w:i/>
        </w:rPr>
        <w:t>państwa</w:t>
      </w:r>
      <w:proofErr w:type="spellEnd"/>
      <w:r>
        <w:rPr>
          <w:b/>
          <w:i/>
        </w:rPr>
        <w:t xml:space="preserve"> członkowskie uznają</w:t>
      </w:r>
      <w:r>
        <w:t xml:space="preserve"> za odpowiednie z perspektywy</w:t>
      </w:r>
      <w:r>
        <w:rPr>
          <w:b/>
          <w:i/>
        </w:rPr>
        <w:t xml:space="preserve"> ich</w:t>
      </w:r>
      <w:r>
        <w:t xml:space="preserve"> obecnych i przewidywanych przyszłych warunków klimatycznych i ekologicznych</w:t>
      </w:r>
      <w:r>
        <w:rPr>
          <w:strike/>
        </w:rPr>
        <w:t xml:space="preserve"> państwa członkowskiego</w:t>
      </w:r>
      <w:r>
        <w:t>.</w:t>
      </w:r>
      <w:r w:rsidR="00A77FBE">
        <w:rPr>
          <w:b/>
        </w:rPr>
        <w:t xml:space="preserve"> [</w:t>
      </w:r>
      <w:r w:rsidR="00A0113C">
        <w:rPr>
          <w:b/>
        </w:rPr>
        <w:t>Popr.</w:t>
      </w:r>
      <w:r w:rsidR="00A77FBE">
        <w:rPr>
          <w:b/>
        </w:rPr>
        <w:t> 45]</w:t>
      </w:r>
    </w:p>
    <w:p w:rsidR="006C354F" w:rsidRDefault="006C354F" w:rsidP="006845F1">
      <w:pPr>
        <w:spacing w:before="120" w:after="120" w:line="360" w:lineRule="auto"/>
        <w:ind w:left="850"/>
      </w:pPr>
      <w:r>
        <w:t>W planie awaryjnym uwzględnia się przewidywaną przyszłą dystrybucję odnośnych gatunków drzew i ich sztucznych mieszańców na podstawie krajowych lub regionalnych symulacji modelu klimatycznego w przypadku danego państwa członkowskiego.</w:t>
      </w:r>
    </w:p>
    <w:p w:rsidR="00A77FBE" w:rsidRDefault="00A77FBE">
      <w:pPr>
        <w:widowControl/>
        <w:rPr>
          <w:b/>
          <w:i/>
        </w:rPr>
      </w:pPr>
      <w:r>
        <w:rPr>
          <w:b/>
          <w:i/>
        </w:rPr>
        <w:br w:type="page"/>
      </w:r>
    </w:p>
    <w:p w:rsidR="006C354F" w:rsidRPr="00A77FBE" w:rsidRDefault="006C354F" w:rsidP="006845F1">
      <w:pPr>
        <w:spacing w:before="120" w:after="120" w:line="360" w:lineRule="auto"/>
        <w:ind w:left="850"/>
        <w:rPr>
          <w:b/>
        </w:rPr>
      </w:pPr>
      <w:r>
        <w:rPr>
          <w:b/>
          <w:i/>
        </w:rPr>
        <w:lastRenderedPageBreak/>
        <w:t>Plan awaryjny uwzględnia potencjalne pojawienie się dotkniętych obszarów poza granicami kraju, a dane państwo członkowskie współpracuje z innymi państwami członkowskimi w celu zapewnienia wystarczających prewencyjnych dostaw LMR dla transgranicznych dotkniętych obszarów.</w:t>
      </w:r>
      <w:r w:rsidR="00A77FBE">
        <w:rPr>
          <w:b/>
        </w:rPr>
        <w:t xml:space="preserve"> [</w:t>
      </w:r>
      <w:r w:rsidR="00A0113C">
        <w:rPr>
          <w:b/>
        </w:rPr>
        <w:t>Popr.</w:t>
      </w:r>
      <w:r w:rsidR="00A77FBE">
        <w:rPr>
          <w:b/>
        </w:rPr>
        <w:t> 46]</w:t>
      </w:r>
    </w:p>
    <w:p w:rsidR="006C354F" w:rsidRDefault="006C354F" w:rsidP="006845F1">
      <w:pPr>
        <w:spacing w:before="120" w:after="120" w:line="360" w:lineRule="auto"/>
        <w:ind w:left="850" w:hanging="850"/>
      </w:pPr>
      <w:r>
        <w:t>2.</w:t>
      </w:r>
      <w:r>
        <w:tab/>
        <w:t>Na odpowiednim etapie państwa członkowskie konsultują się ze wszystkimi zainteresowanymi stronami podczas sporządzania i aktualizowania takich planów awaryjnych.</w:t>
      </w:r>
    </w:p>
    <w:p w:rsidR="006C354F" w:rsidRDefault="006C354F" w:rsidP="006845F1">
      <w:pPr>
        <w:spacing w:before="120" w:after="120" w:line="360" w:lineRule="auto"/>
        <w:ind w:left="850" w:hanging="850"/>
      </w:pPr>
      <w:r>
        <w:t>3.</w:t>
      </w:r>
      <w:r>
        <w:tab/>
        <w:t>Każdy plan awaryjny obejmuje:</w:t>
      </w:r>
    </w:p>
    <w:p w:rsidR="006C354F" w:rsidRDefault="006C354F" w:rsidP="006845F1">
      <w:pPr>
        <w:spacing w:before="120" w:after="120" w:line="360" w:lineRule="auto"/>
        <w:ind w:left="1416" w:hanging="566"/>
      </w:pPr>
      <w:r>
        <w:t>a)</w:t>
      </w:r>
      <w:r>
        <w:tab/>
        <w:t>role i obowiązki organów zaangażowanych w realizację planu awaryjnego w przypadku jakiegokolwiek zdarzenia powodującego poważne niedobory LMR, jak również strukturę dowodzenia i procedury koordynacji działań, jakie mają być podejmowane przez właściwe organy, inne organy publiczne, zaangażowane jednostki upoważnione lub osoby fizyczne, laboratoria i podmioty profesjonalne, w tym, w stosownych przypadkach, koordynacji z sąsiednimi państwami członkowskimi i sąsiednimi państwami trzecimi;</w:t>
      </w:r>
    </w:p>
    <w:p w:rsidR="006C354F" w:rsidRPr="00A77FBE" w:rsidRDefault="006C354F" w:rsidP="006845F1">
      <w:pPr>
        <w:spacing w:before="120" w:after="120" w:line="360" w:lineRule="auto"/>
        <w:ind w:left="1416" w:hanging="566"/>
        <w:rPr>
          <w:b/>
        </w:rPr>
      </w:pPr>
      <w:r>
        <w:rPr>
          <w:b/>
          <w:i/>
        </w:rPr>
        <w:t>aa)</w:t>
      </w:r>
      <w:r>
        <w:tab/>
      </w:r>
      <w:r>
        <w:rPr>
          <w:b/>
          <w:i/>
        </w:rPr>
        <w:t>identyfikację słabych punktów i środków zapobiegawczych, jak zabezpieczenie składowisk nasion i szkółek oraz zwiększenie liczby składowisk i szkółek;</w:t>
      </w:r>
      <w:r w:rsidR="00A77FBE">
        <w:rPr>
          <w:b/>
        </w:rPr>
        <w:t xml:space="preserve"> [</w:t>
      </w:r>
      <w:r w:rsidR="00A0113C">
        <w:rPr>
          <w:b/>
        </w:rPr>
        <w:t>Popr.</w:t>
      </w:r>
      <w:r w:rsidR="00A77FBE">
        <w:rPr>
          <w:b/>
        </w:rPr>
        <w:t> 47]</w:t>
      </w:r>
    </w:p>
    <w:p w:rsidR="00A77FBE" w:rsidRDefault="00A77FBE">
      <w:pPr>
        <w:widowControl/>
      </w:pPr>
      <w:r>
        <w:br w:type="page"/>
      </w:r>
    </w:p>
    <w:p w:rsidR="006C354F" w:rsidRDefault="006C354F" w:rsidP="006845F1">
      <w:pPr>
        <w:spacing w:before="120" w:after="120" w:line="360" w:lineRule="auto"/>
        <w:ind w:left="1416" w:hanging="566"/>
      </w:pPr>
      <w:r>
        <w:lastRenderedPageBreak/>
        <w:t>b)</w:t>
      </w:r>
      <w:r>
        <w:tab/>
        <w:t>dostęp właściwych organów do dostaw LMR utrzymanych na potrzeby planowania awaryjnego, obiektów należących do podmiotów profesjonalnych, w szczególności szkółek leśnych i laboratoriów, w których produkuje się LMR, innych odnośnych podmiotów i osób fizycznych;</w:t>
      </w:r>
    </w:p>
    <w:p w:rsidR="006C354F" w:rsidRDefault="006C354F" w:rsidP="006845F1">
      <w:pPr>
        <w:spacing w:before="120" w:after="120" w:line="360" w:lineRule="auto"/>
        <w:ind w:left="1416" w:hanging="566"/>
      </w:pPr>
      <w:r>
        <w:t>c)</w:t>
      </w:r>
      <w:r>
        <w:tab/>
        <w:t>dostęp właściwych organów, w stosownych przypadkach, do wyposażenia, personelu, zewnętrznej wiedzy specjalistycznej i zasobów niezbędnych do szybkiego i skutecznego uruchomienia planu awaryjnego;</w:t>
      </w:r>
    </w:p>
    <w:p w:rsidR="006C354F" w:rsidRDefault="006C354F" w:rsidP="006845F1">
      <w:pPr>
        <w:spacing w:before="120" w:after="120" w:line="360" w:lineRule="auto"/>
        <w:ind w:left="1416" w:hanging="566"/>
      </w:pPr>
      <w:r>
        <w:t>d)</w:t>
      </w:r>
      <w:r>
        <w:tab/>
        <w:t>środki dotyczące przekazywania Komisji, pozostałym państwom członkowskim, odnośnym podmiotom profesjonalnym i opinii publicznej informacji o poważnych niedoborach LMR i wprowadzonych w związku z tym środków, w przypadku podejrzenia lub urzędowego potwierdzenia poważnych niedoborów LMR;</w:t>
      </w:r>
    </w:p>
    <w:p w:rsidR="006C354F" w:rsidRDefault="006C354F" w:rsidP="006845F1">
      <w:pPr>
        <w:spacing w:before="120" w:after="120" w:line="360" w:lineRule="auto"/>
        <w:ind w:left="1416" w:hanging="566"/>
      </w:pPr>
      <w:r>
        <w:t>e)</w:t>
      </w:r>
      <w:r>
        <w:tab/>
        <w:t>mechanizmy rejestrowania ustaleń dotyczących wystąpienia poważnych niedoborów LMR;</w:t>
      </w:r>
    </w:p>
    <w:p w:rsidR="006C354F" w:rsidRDefault="006C354F" w:rsidP="006845F1">
      <w:pPr>
        <w:spacing w:before="120" w:after="120" w:line="360" w:lineRule="auto"/>
        <w:ind w:left="1416" w:hanging="566"/>
      </w:pPr>
      <w:r>
        <w:t>f)</w:t>
      </w:r>
      <w:r>
        <w:tab/>
        <w:t>dostępne oceny państwa członkowskiego dotyczące ryzyka związanego z poważnymi niedoborami LMR na jego terytorium i ich potencjalnego wpływu na zdrowie ludzi, zwierząt i roślin oraz dla środowiska;</w:t>
      </w:r>
    </w:p>
    <w:p w:rsidR="00A77FBE" w:rsidRDefault="00A77FBE">
      <w:pPr>
        <w:widowControl/>
      </w:pPr>
      <w:r>
        <w:br w:type="page"/>
      </w:r>
    </w:p>
    <w:p w:rsidR="006C354F" w:rsidRDefault="006C354F" w:rsidP="006845F1">
      <w:pPr>
        <w:spacing w:before="120" w:after="120" w:line="360" w:lineRule="auto"/>
        <w:ind w:left="1416" w:hanging="566"/>
      </w:pPr>
      <w:r>
        <w:lastRenderedPageBreak/>
        <w:t>g)</w:t>
      </w:r>
      <w:r>
        <w:tab/>
        <w:t>zasady wytyczania granic obszaru lub obszarów, na których wystąpiły poważne niedobory LMR;</w:t>
      </w:r>
    </w:p>
    <w:p w:rsidR="006C354F" w:rsidRPr="00A77FBE" w:rsidRDefault="006C354F" w:rsidP="006845F1">
      <w:pPr>
        <w:spacing w:before="120" w:after="120" w:line="360" w:lineRule="auto"/>
        <w:ind w:left="1416" w:hanging="566"/>
        <w:rPr>
          <w:b/>
        </w:rPr>
      </w:pPr>
      <w:r>
        <w:t>h)</w:t>
      </w:r>
      <w:r>
        <w:tab/>
        <w:t xml:space="preserve">zasady dotyczące szkolenia personelu właściwych organów oraz, </w:t>
      </w:r>
      <w:r>
        <w:rPr>
          <w:strike/>
        </w:rPr>
        <w:t xml:space="preserve">w stosownych </w:t>
      </w:r>
      <w:proofErr w:type="spellStart"/>
      <w:r>
        <w:rPr>
          <w:strike/>
        </w:rPr>
        <w:t>przypadkach</w:t>
      </w:r>
      <w:r>
        <w:rPr>
          <w:b/>
          <w:i/>
        </w:rPr>
        <w:t>gdy</w:t>
      </w:r>
      <w:proofErr w:type="spellEnd"/>
      <w:r>
        <w:rPr>
          <w:b/>
          <w:i/>
        </w:rPr>
        <w:t xml:space="preserve"> to możliwe i stosowne</w:t>
      </w:r>
      <w:r>
        <w:t>, organów, organów publicznych, laboratoriów, podmiotów profesjonalnych i innych osób, o których mowa w lit. a).</w:t>
      </w:r>
      <w:r w:rsidR="00A77FBE">
        <w:rPr>
          <w:b/>
        </w:rPr>
        <w:t xml:space="preserve"> [</w:t>
      </w:r>
      <w:r w:rsidR="00A0113C">
        <w:rPr>
          <w:b/>
        </w:rPr>
        <w:t>Popr.</w:t>
      </w:r>
      <w:r w:rsidR="00A77FBE">
        <w:rPr>
          <w:b/>
        </w:rPr>
        <w:t> 48]</w:t>
      </w:r>
    </w:p>
    <w:p w:rsidR="006C354F" w:rsidRDefault="006C354F" w:rsidP="006845F1">
      <w:pPr>
        <w:spacing w:before="120" w:after="120" w:line="360" w:lineRule="auto"/>
        <w:ind w:left="850"/>
      </w:pPr>
      <w:r>
        <w:t>Państwa członkowskie dokonują regularnych przeglądów oraz, w stosownych przypadkach, aktualizacji swoich planów awaryjnych w celu uwzględnienia postępu naukowego i technicznego związanego z symulacjami modelu klimatycznego dotyczącymi przewidywanej przyszłej dystrybucji odnośnych gatunków drzew i ich sztucznych mieszańców.</w:t>
      </w:r>
    </w:p>
    <w:p w:rsidR="006C354F" w:rsidRPr="00A77FBE" w:rsidRDefault="006C354F" w:rsidP="006845F1">
      <w:pPr>
        <w:spacing w:before="120" w:after="120" w:line="360" w:lineRule="auto"/>
        <w:ind w:left="850" w:hanging="850"/>
        <w:rPr>
          <w:b/>
        </w:rPr>
      </w:pPr>
      <w:r>
        <w:t>4.</w:t>
      </w:r>
      <w:r>
        <w:tab/>
        <w:t>Państwa członkowskie ustanawiają rejestr krajowy</w:t>
      </w:r>
      <w:r>
        <w:rPr>
          <w:b/>
          <w:i/>
        </w:rPr>
        <w:t>, o którym mowa w art. 12</w:t>
      </w:r>
      <w:r>
        <w:t>:</w:t>
      </w:r>
      <w:r w:rsidR="00A77FBE">
        <w:rPr>
          <w:b/>
        </w:rPr>
        <w:t xml:space="preserve"> [</w:t>
      </w:r>
      <w:r w:rsidR="00A0113C">
        <w:rPr>
          <w:b/>
        </w:rPr>
        <w:t>Popr.</w:t>
      </w:r>
      <w:r w:rsidR="00A77FBE">
        <w:rPr>
          <w:b/>
        </w:rPr>
        <w:t> 49]</w:t>
      </w:r>
    </w:p>
    <w:p w:rsidR="006C354F" w:rsidRDefault="006C354F" w:rsidP="006845F1">
      <w:pPr>
        <w:spacing w:before="120" w:after="120" w:line="360" w:lineRule="auto"/>
        <w:ind w:left="1416" w:hanging="566"/>
      </w:pPr>
      <w:r>
        <w:t>a)</w:t>
      </w:r>
      <w:r>
        <w:tab/>
        <w:t>zawierający gatunki drzew i sztuczne mieszańce wymienione w załączniku I, które są odpowiednie z perspektywy obecnych warunków klimatycznych i ekologicznych danego państwa członkowskiego;</w:t>
      </w:r>
    </w:p>
    <w:p w:rsidR="00A77FBE" w:rsidRDefault="00A77FBE">
      <w:pPr>
        <w:widowControl/>
      </w:pPr>
      <w:r>
        <w:br w:type="page"/>
      </w:r>
    </w:p>
    <w:p w:rsidR="006C354F" w:rsidRDefault="006C354F" w:rsidP="006845F1">
      <w:pPr>
        <w:spacing w:before="120" w:after="120" w:line="360" w:lineRule="auto"/>
        <w:ind w:left="1416" w:hanging="566"/>
      </w:pPr>
      <w:r>
        <w:lastRenderedPageBreak/>
        <w:t>b)</w:t>
      </w:r>
      <w:r>
        <w:tab/>
        <w:t>uwzględniający przewidywaną przyszłą dystrybucję tych gatunków drzew i ich sztucznych mieszańców.</w:t>
      </w:r>
    </w:p>
    <w:p w:rsidR="006C354F" w:rsidRDefault="006C354F" w:rsidP="006845F1">
      <w:pPr>
        <w:spacing w:before="120" w:after="120" w:line="360" w:lineRule="auto"/>
        <w:ind w:left="850"/>
      </w:pPr>
      <w:r>
        <w:t>W terminie czterech lat od daty ustanowienia rejestrów krajowych państwa członkowskie ustanawiają plany awaryjne dotyczące gatunków i sztucznych mieszańców umieszczonych w ich rejestrach.</w:t>
      </w:r>
    </w:p>
    <w:p w:rsidR="006C354F" w:rsidRDefault="006C354F" w:rsidP="006845F1">
      <w:pPr>
        <w:spacing w:before="120" w:after="120" w:line="360" w:lineRule="auto"/>
        <w:ind w:left="850" w:hanging="850"/>
      </w:pPr>
      <w:r>
        <w:t>5.</w:t>
      </w:r>
      <w:r>
        <w:tab/>
        <w:t>Państwa członkowskie współpracują ze sobą i ze wszystkimi odpowiednimi zainteresowanymi stronami na rzecz ustanowienia planów awaryjnych na podstawie wymiany najlepszych praktyk i doświadczeń zdobytych przy tworzeniu tych planów.</w:t>
      </w:r>
    </w:p>
    <w:p w:rsidR="006C354F" w:rsidRDefault="006C354F" w:rsidP="006845F1">
      <w:pPr>
        <w:spacing w:before="120" w:after="120" w:line="360" w:lineRule="auto"/>
        <w:ind w:left="850" w:hanging="850"/>
      </w:pPr>
      <w:r>
        <w:t>6.</w:t>
      </w:r>
      <w:r>
        <w:tab/>
        <w:t>Państwa członkowskie udostępniają swoje plany awaryjne Komisji, pozostałym państwom członkowskim i wszystkim zainteresowanym podmiotom profesjonalnym, publikując je w FOREMATIS.</w:t>
      </w:r>
    </w:p>
    <w:p w:rsidR="00A77FBE" w:rsidRDefault="00A77FBE">
      <w:pPr>
        <w:widowControl/>
      </w:pPr>
      <w:r>
        <w:br w:type="page"/>
      </w:r>
    </w:p>
    <w:p w:rsidR="006C354F" w:rsidRDefault="006C354F" w:rsidP="006845F1">
      <w:pPr>
        <w:spacing w:before="120" w:after="120" w:line="360" w:lineRule="auto"/>
        <w:jc w:val="center"/>
      </w:pPr>
      <w:r>
        <w:lastRenderedPageBreak/>
        <w:t xml:space="preserve">ROZDZIAŁ III </w:t>
      </w:r>
      <w:r>
        <w:br/>
        <w:t>REJESTRACJA PODMIOTÓW PROFESJONALNYCH I MATERIAŁU PODSTAWOWEGO ORAZ WYZNACZANIE REGIONÓW POCHODZENIA</w:t>
      </w:r>
    </w:p>
    <w:p w:rsidR="006C354F" w:rsidRDefault="006C354F" w:rsidP="006845F1">
      <w:pPr>
        <w:spacing w:before="120" w:after="120" w:line="360" w:lineRule="auto"/>
        <w:jc w:val="center"/>
      </w:pPr>
      <w:r>
        <w:t>Artykuł 10</w:t>
      </w:r>
      <w:r>
        <w:br/>
        <w:t>Obowiązki podmiotów profesjonalnych</w:t>
      </w:r>
    </w:p>
    <w:p w:rsidR="006C354F" w:rsidRDefault="006C354F" w:rsidP="006845F1">
      <w:pPr>
        <w:spacing w:before="120" w:after="120" w:line="360" w:lineRule="auto"/>
        <w:ind w:left="850" w:hanging="850"/>
      </w:pPr>
      <w:r>
        <w:t>1.</w:t>
      </w:r>
      <w:r>
        <w:tab/>
        <w:t>Podmioty profesjonalne są zarejestrowane w rejestrze przewidzianym w art. 65 rozporządzenia (UE) 2016/2031 zgodnie z art. 66 tego rozporządzenia.</w:t>
      </w:r>
    </w:p>
    <w:p w:rsidR="006C354F" w:rsidRPr="00A77FBE" w:rsidRDefault="006C354F" w:rsidP="006845F1">
      <w:pPr>
        <w:spacing w:before="120" w:after="120" w:line="360" w:lineRule="auto"/>
        <w:ind w:left="850"/>
        <w:rPr>
          <w:b/>
        </w:rPr>
      </w:pPr>
      <w:r>
        <w:t xml:space="preserve">Mają one siedzibę w </w:t>
      </w:r>
      <w:proofErr w:type="spellStart"/>
      <w:r>
        <w:rPr>
          <w:strike/>
        </w:rPr>
        <w:t>Unii</w:t>
      </w:r>
      <w:r>
        <w:rPr>
          <w:b/>
          <w:i/>
        </w:rPr>
        <w:t>zainteresowanym</w:t>
      </w:r>
      <w:proofErr w:type="spellEnd"/>
      <w:r>
        <w:rPr>
          <w:b/>
          <w:i/>
        </w:rPr>
        <w:t xml:space="preserve"> państwie członkowskim i uzyskały zezwolenie właściwego organu</w:t>
      </w:r>
      <w:r>
        <w:t>.</w:t>
      </w:r>
      <w:r w:rsidR="00A77FBE">
        <w:rPr>
          <w:b/>
        </w:rPr>
        <w:t xml:space="preserve"> [</w:t>
      </w:r>
      <w:r w:rsidR="00A0113C">
        <w:rPr>
          <w:b/>
        </w:rPr>
        <w:t>Popr.</w:t>
      </w:r>
      <w:r w:rsidR="00A77FBE">
        <w:rPr>
          <w:b/>
        </w:rPr>
        <w:t> 50]</w:t>
      </w:r>
    </w:p>
    <w:p w:rsidR="006C354F" w:rsidRPr="00A77FBE" w:rsidRDefault="006C354F" w:rsidP="006845F1">
      <w:pPr>
        <w:spacing w:before="120" w:after="120" w:line="360" w:lineRule="auto"/>
        <w:ind w:left="850" w:hanging="850"/>
        <w:rPr>
          <w:b/>
        </w:rPr>
      </w:pPr>
      <w:r>
        <w:t>2.</w:t>
      </w:r>
      <w:r>
        <w:tab/>
        <w:t xml:space="preserve">Podmioty profesjonalne udostępniają </w:t>
      </w:r>
      <w:r>
        <w:rPr>
          <w:b/>
          <w:i/>
        </w:rPr>
        <w:t xml:space="preserve">właściwemu organowi i </w:t>
      </w:r>
      <w:r>
        <w:t xml:space="preserve">użytkownikom swojego LMR </w:t>
      </w:r>
      <w:r>
        <w:rPr>
          <w:strike/>
        </w:rPr>
        <w:t xml:space="preserve">wszystkie </w:t>
      </w:r>
      <w:r>
        <w:t>niezbędne</w:t>
      </w:r>
      <w:r>
        <w:rPr>
          <w:b/>
          <w:i/>
        </w:rPr>
        <w:t xml:space="preserve"> informacje o tożsamości LMR oraz</w:t>
      </w:r>
      <w:r>
        <w:t xml:space="preserve"> informacje dotyczące jego odpowiedniości w odniesieniu do </w:t>
      </w:r>
      <w:r>
        <w:rPr>
          <w:strike/>
        </w:rPr>
        <w:t xml:space="preserve">obecnych i przewidywanych przyszłych </w:t>
      </w:r>
      <w:r>
        <w:t>warunków klimatycznych i ekologicznych</w:t>
      </w:r>
      <w:r>
        <w:rPr>
          <w:b/>
          <w:i/>
        </w:rPr>
        <w:t xml:space="preserve"> w oparciu o istniejącą wiedzę i dane</w:t>
      </w:r>
      <w:r>
        <w:t>. Przed przeniesieniem danego LMR informacje te</w:t>
      </w:r>
      <w:r>
        <w:rPr>
          <w:b/>
          <w:i/>
        </w:rPr>
        <w:t>, zgodnie z wytycznymi właściwego organu,</w:t>
      </w:r>
      <w:r>
        <w:t xml:space="preserve"> przekazuje się potencjalnym nabywcom za pośrednictwem stron internetowych, podręczników plantatorów i innych stosownych środków.</w:t>
      </w:r>
      <w:r w:rsidR="00A77FBE">
        <w:rPr>
          <w:b/>
        </w:rPr>
        <w:t xml:space="preserve"> [</w:t>
      </w:r>
      <w:r w:rsidR="00A0113C">
        <w:rPr>
          <w:b/>
        </w:rPr>
        <w:t>Popr.</w:t>
      </w:r>
      <w:r w:rsidR="00A77FBE">
        <w:rPr>
          <w:b/>
        </w:rPr>
        <w:t> 51]</w:t>
      </w:r>
    </w:p>
    <w:p w:rsidR="00A77FBE" w:rsidRDefault="00A77FBE">
      <w:pPr>
        <w:widowControl/>
      </w:pPr>
      <w:r>
        <w:br w:type="page"/>
      </w:r>
    </w:p>
    <w:p w:rsidR="006C354F" w:rsidRDefault="006C354F" w:rsidP="006845F1">
      <w:pPr>
        <w:spacing w:before="120" w:after="120" w:line="360" w:lineRule="auto"/>
        <w:jc w:val="center"/>
      </w:pPr>
      <w:r>
        <w:lastRenderedPageBreak/>
        <w:t>Artykuł 11</w:t>
      </w:r>
      <w:r>
        <w:br/>
        <w:t>Wyznaczanie regionów pochodzenia w przypadku określonych kategorii</w:t>
      </w:r>
    </w:p>
    <w:p w:rsidR="006C354F" w:rsidRPr="006C354F" w:rsidRDefault="006C354F" w:rsidP="006845F1">
      <w:pPr>
        <w:pStyle w:val="Applicationdirecte"/>
        <w:rPr>
          <w:lang w:val="pl-PL"/>
        </w:rPr>
      </w:pPr>
      <w:r w:rsidRPr="006C354F">
        <w:rPr>
          <w:lang w:val="pl-PL"/>
        </w:rPr>
        <w:t>W przypadku odpowiednich gatunków materiału podstawowego przeznaczonego do produkcji LMR kategorii „ze zidentyfikowanego źródła” i „wyselekcjonowany” państwa członkowskie wyznaczają regiony pochodzenia.</w:t>
      </w:r>
    </w:p>
    <w:p w:rsidR="006C354F" w:rsidRPr="006C354F" w:rsidRDefault="006C354F" w:rsidP="006845F1">
      <w:pPr>
        <w:pStyle w:val="Applicationdirecte"/>
        <w:rPr>
          <w:lang w:val="pl-PL"/>
        </w:rPr>
      </w:pPr>
      <w:r w:rsidRPr="006C354F">
        <w:rPr>
          <w:lang w:val="pl-PL"/>
        </w:rPr>
        <w:t>Właściwe organy opracowują i publikują na swojej stronie internetowej mapy pokazujące wyznaczone regiony pochodzenia. Udostępniają te mapy Komisji i pozostałym państwom członkowskim za pośrednictwem FOREMATIS.</w:t>
      </w:r>
    </w:p>
    <w:p w:rsidR="006C354F" w:rsidRDefault="006C354F" w:rsidP="006845F1">
      <w:pPr>
        <w:spacing w:before="120" w:after="120" w:line="360" w:lineRule="auto"/>
        <w:jc w:val="center"/>
      </w:pPr>
      <w:r>
        <w:t>Artykuł 12</w:t>
      </w:r>
      <w:r>
        <w:br/>
        <w:t>Rejestr krajowy i wykazy krajowe materiału podstawowego</w:t>
      </w:r>
    </w:p>
    <w:p w:rsidR="006C354F" w:rsidRDefault="006C354F" w:rsidP="006845F1">
      <w:pPr>
        <w:spacing w:before="120" w:after="120" w:line="360" w:lineRule="auto"/>
        <w:ind w:left="850" w:hanging="850"/>
      </w:pPr>
      <w:r>
        <w:t>1.</w:t>
      </w:r>
      <w:r>
        <w:tab/>
        <w:t>Każde państwo członkowskie ustanawia i publikuje w formacie elektronicznym oraz aktualizuje rejestr krajowy materiału podstawowego poszczególnych gatunków zatwierdzonych na jego terytorium na podstawie art. 4 i 19 i zgłoszonych na podstawie art. 18.</w:t>
      </w:r>
    </w:p>
    <w:p w:rsidR="006C354F" w:rsidRDefault="006C354F" w:rsidP="006845F1">
      <w:pPr>
        <w:spacing w:before="120" w:after="120" w:line="360" w:lineRule="auto"/>
        <w:ind w:left="850"/>
      </w:pPr>
      <w:r>
        <w:t>Rejestr ten zawiera wszystkie szczegółowe informacje dotyczące każdej jednostki zatwierdzenia materiału podstawowego wraz z jej niepowtarzalnym odnośnikiem w rejestrze.</w:t>
      </w:r>
    </w:p>
    <w:p w:rsidR="00A77FBE" w:rsidRDefault="00A77FBE">
      <w:pPr>
        <w:widowControl/>
      </w:pPr>
      <w:r>
        <w:br w:type="page"/>
      </w:r>
    </w:p>
    <w:p w:rsidR="006C354F" w:rsidRDefault="006C354F" w:rsidP="006845F1">
      <w:pPr>
        <w:spacing w:before="120" w:after="120" w:line="360" w:lineRule="auto"/>
        <w:ind w:left="850"/>
      </w:pPr>
      <w:r>
        <w:lastRenderedPageBreak/>
        <w:t>Na zasadzie odstępstwa od art. 4 właściwe organy bezzwłocznie rejestrują w swoich rejestrach krajowych materiał podstawowy uwzględniony przed… dniem [Dz.U., proszę wstawić datę wejścia w życie niniejszego rozporządzenia] r. w ich odpowiednich rejestrach krajowych, o których mowa w art. 10 ust. 1 dyrektywy 1999/105/WE, bez stosowania procedury rejestracji określonej w tym artykule.</w:t>
      </w:r>
    </w:p>
    <w:p w:rsidR="006C354F" w:rsidRDefault="006C354F" w:rsidP="006845F1">
      <w:pPr>
        <w:spacing w:before="120" w:after="120" w:line="360" w:lineRule="auto"/>
        <w:ind w:left="850" w:hanging="850"/>
      </w:pPr>
      <w:r>
        <w:t>2.</w:t>
      </w:r>
      <w:r>
        <w:tab/>
        <w:t>Każde państwo członkowskie ustanawia, publikuje i aktualizuje wykaz krajowy materiału podstawowego, który jest przedstawiany w formie streszczenia rejestru krajowego. Udostępnia ten wykaz w formacie elektronicznym Komisji i pozostałym państwom członkowskim za pośrednictwem FOREMATIS.</w:t>
      </w:r>
    </w:p>
    <w:p w:rsidR="006C354F" w:rsidRDefault="006C354F" w:rsidP="006845F1">
      <w:pPr>
        <w:spacing w:before="120" w:after="120" w:line="360" w:lineRule="auto"/>
        <w:ind w:left="850" w:hanging="850"/>
      </w:pPr>
      <w:r>
        <w:t>3.</w:t>
      </w:r>
      <w:r>
        <w:tab/>
        <w:t>Państwa członkowskie przedstawiają wykaz krajowy we wspólnym formacie w odniesieniu do każdej jednostki zatwierdzenia materiału podstawowego. W przypadku materiału kategorii „ze zidentyfikowanego źródła” i „wyselekcjonowany” może on zawierać wyłącznie skrótowy opis materiału podstawowego na podstawie regionów pochodzenia.</w:t>
      </w:r>
    </w:p>
    <w:p w:rsidR="006C354F" w:rsidRDefault="006C354F" w:rsidP="006845F1">
      <w:pPr>
        <w:spacing w:before="120" w:after="120" w:line="360" w:lineRule="auto"/>
        <w:ind w:left="850"/>
      </w:pPr>
      <w:r>
        <w:t>Wykaz krajowy powinien w szczególności zawierać następujące informacje:</w:t>
      </w:r>
    </w:p>
    <w:p w:rsidR="006C354F" w:rsidRDefault="006C354F" w:rsidP="006845F1">
      <w:pPr>
        <w:spacing w:before="120" w:after="120" w:line="360" w:lineRule="auto"/>
        <w:ind w:left="1416" w:hanging="566"/>
      </w:pPr>
      <w:r>
        <w:t>a)</w:t>
      </w:r>
      <w:r>
        <w:tab/>
        <w:t>nazwę botaniczną;</w:t>
      </w:r>
    </w:p>
    <w:p w:rsidR="00A77FBE" w:rsidRDefault="00A77FBE">
      <w:pPr>
        <w:widowControl/>
      </w:pPr>
      <w:r>
        <w:br w:type="page"/>
      </w:r>
    </w:p>
    <w:p w:rsidR="006C354F" w:rsidRDefault="006C354F" w:rsidP="006845F1">
      <w:pPr>
        <w:spacing w:before="120" w:after="120" w:line="360" w:lineRule="auto"/>
        <w:ind w:left="1416" w:hanging="566"/>
      </w:pPr>
      <w:r>
        <w:lastRenderedPageBreak/>
        <w:t>b)</w:t>
      </w:r>
      <w:r>
        <w:tab/>
        <w:t>kategorię;</w:t>
      </w:r>
    </w:p>
    <w:p w:rsidR="006C354F" w:rsidRPr="00A77FBE" w:rsidRDefault="006C354F" w:rsidP="006845F1">
      <w:pPr>
        <w:spacing w:before="120" w:after="120" w:line="360" w:lineRule="auto"/>
        <w:ind w:left="1416" w:hanging="566"/>
        <w:rPr>
          <w:b/>
        </w:rPr>
      </w:pPr>
      <w:r>
        <w:t>c)</w:t>
      </w:r>
      <w:r>
        <w:tab/>
      </w:r>
      <w:r>
        <w:rPr>
          <w:strike/>
        </w:rPr>
        <w:t xml:space="preserve">materiał </w:t>
      </w:r>
      <w:proofErr w:type="spellStart"/>
      <w:r>
        <w:rPr>
          <w:strike/>
        </w:rPr>
        <w:t>podstawowy</w:t>
      </w:r>
      <w:r>
        <w:rPr>
          <w:b/>
          <w:i/>
        </w:rPr>
        <w:t>rodzaj</w:t>
      </w:r>
      <w:proofErr w:type="spellEnd"/>
      <w:r>
        <w:rPr>
          <w:b/>
          <w:i/>
        </w:rPr>
        <w:t xml:space="preserve"> materiału podstawowego</w:t>
      </w:r>
      <w:r>
        <w:t>;</w:t>
      </w:r>
      <w:r w:rsidR="00A77FBE">
        <w:rPr>
          <w:b/>
        </w:rPr>
        <w:t xml:space="preserve"> [</w:t>
      </w:r>
      <w:r w:rsidR="00A0113C">
        <w:rPr>
          <w:b/>
        </w:rPr>
        <w:t>Popr.</w:t>
      </w:r>
      <w:r w:rsidR="00A77FBE">
        <w:rPr>
          <w:b/>
        </w:rPr>
        <w:t> 52]</w:t>
      </w:r>
    </w:p>
    <w:p w:rsidR="006C354F" w:rsidRDefault="006C354F" w:rsidP="006845F1">
      <w:pPr>
        <w:spacing w:before="120" w:after="120" w:line="360" w:lineRule="auto"/>
        <w:ind w:left="1416" w:hanging="566"/>
      </w:pPr>
      <w:r>
        <w:t>d)</w:t>
      </w:r>
      <w:r>
        <w:tab/>
        <w:t>odnośnik w rejestrze lub, w stosownych przypadkach, jego skrót lub kod identyfikacyjny regionu pochodzenia;</w:t>
      </w:r>
    </w:p>
    <w:p w:rsidR="006C354F" w:rsidRDefault="006C354F" w:rsidP="006845F1">
      <w:pPr>
        <w:spacing w:before="120" w:after="120" w:line="360" w:lineRule="auto"/>
        <w:ind w:left="1416" w:hanging="566"/>
      </w:pPr>
      <w:r>
        <w:t>e)</w:t>
      </w:r>
      <w:r>
        <w:tab/>
        <w:t>lokalizację materiału podstawowego: skróconą nazwę, w stosownych przypadkach, i jeden z poniższych zestawów informacji:</w:t>
      </w:r>
    </w:p>
    <w:p w:rsidR="006C354F" w:rsidRDefault="006C354F" w:rsidP="006845F1">
      <w:pPr>
        <w:spacing w:before="120" w:after="120" w:line="360" w:lineRule="auto"/>
        <w:ind w:left="1982" w:hanging="566"/>
      </w:pPr>
      <w:r>
        <w:t>(i)</w:t>
      </w:r>
      <w:r>
        <w:tab/>
        <w:t>w odniesieniu do materiałów kategorii „ze zidentyfikowanego źródła”: region pochodzenia oraz rozpiętość południkową, równoleżnikową i zakres wysokości bezwzględnej;</w:t>
      </w:r>
    </w:p>
    <w:p w:rsidR="006C354F" w:rsidRDefault="006C354F" w:rsidP="006845F1">
      <w:pPr>
        <w:spacing w:before="120" w:after="120" w:line="360" w:lineRule="auto"/>
        <w:ind w:left="1982" w:hanging="566"/>
      </w:pPr>
      <w:r>
        <w:t>(ii)</w:t>
      </w:r>
      <w:r>
        <w:tab/>
        <w:t>w odniesieniu do materiału kategorii „wyselekcjonowany”: region pochodzenia i położenie geograficzne określone za pomocą długości i szerokości geograficznej oraz wysokość bezwzględną lub rozpiętość południkową, równoleżnikową i zakres wysokości bezwzględnej;</w:t>
      </w:r>
    </w:p>
    <w:p w:rsidR="006C354F" w:rsidRDefault="006C354F" w:rsidP="006845F1">
      <w:pPr>
        <w:spacing w:before="120" w:after="120" w:line="360" w:lineRule="auto"/>
        <w:ind w:left="1982" w:hanging="566"/>
      </w:pPr>
      <w:r>
        <w:t>(iii)</w:t>
      </w:r>
      <w:r>
        <w:tab/>
        <w:t>w odniesieniu do materiału kategorii „kwalifikowany”: dokładne położenie geograficzne określone za pomocą długości i szerokości geograficznej oraz wysokość bezwzględną, w których utrzymuje się materiał podstawowy;</w:t>
      </w:r>
    </w:p>
    <w:p w:rsidR="006C354F" w:rsidRDefault="006C354F" w:rsidP="006845F1">
      <w:pPr>
        <w:spacing w:before="120" w:after="120" w:line="360" w:lineRule="auto"/>
        <w:ind w:left="1982" w:hanging="566"/>
      </w:pPr>
      <w:r>
        <w:t>(iv)</w:t>
      </w:r>
      <w:r>
        <w:tab/>
        <w:t>w odniesieniu do kategorii „przetestowany”: dokładne położenie geograficzne określone za pomocą długości i szerokości geograficznej oraz wysokości bezwzględnej, w których utrzymuje się materiał podstawowy;</w:t>
      </w:r>
    </w:p>
    <w:p w:rsidR="00A77FBE" w:rsidRDefault="00A77FBE">
      <w:pPr>
        <w:widowControl/>
      </w:pPr>
      <w:r>
        <w:br w:type="page"/>
      </w:r>
    </w:p>
    <w:p w:rsidR="006C354F" w:rsidRDefault="006C354F" w:rsidP="006845F1">
      <w:pPr>
        <w:spacing w:before="120" w:after="120" w:line="360" w:lineRule="auto"/>
        <w:ind w:left="1416" w:hanging="566"/>
      </w:pPr>
      <w:r>
        <w:lastRenderedPageBreak/>
        <w:t>f)</w:t>
      </w:r>
      <w:r>
        <w:tab/>
        <w:t>obszar: wielkość źródła (źródeł) nasion, drzewostanu (drzewostanów) lub plantacji nasiennej (nasiennych);</w:t>
      </w:r>
    </w:p>
    <w:p w:rsidR="006C354F" w:rsidRDefault="006C354F" w:rsidP="006845F1">
      <w:pPr>
        <w:spacing w:before="120" w:after="120" w:line="360" w:lineRule="auto"/>
        <w:ind w:left="1416" w:hanging="566"/>
      </w:pPr>
      <w:r>
        <w:t>g)</w:t>
      </w:r>
      <w:r>
        <w:tab/>
        <w:t>pochodzenie pierwotne:</w:t>
      </w:r>
    </w:p>
    <w:p w:rsidR="006C354F" w:rsidRDefault="006C354F" w:rsidP="006845F1">
      <w:pPr>
        <w:spacing w:before="120" w:after="120" w:line="360" w:lineRule="auto"/>
        <w:ind w:left="1982" w:hanging="566"/>
      </w:pPr>
      <w:r>
        <w:t>(i)</w:t>
      </w:r>
      <w:r>
        <w:tab/>
        <w:t>wskazanie, czy materiał podstawowy jest autochtoniczny/rodzimy, nieautochtoniczny/nierodzimy lub czy pochodzenie pierwotne jest nieznane;</w:t>
      </w:r>
    </w:p>
    <w:p w:rsidR="006C354F" w:rsidRDefault="006C354F" w:rsidP="006845F1">
      <w:pPr>
        <w:spacing w:before="120" w:after="120" w:line="360" w:lineRule="auto"/>
        <w:ind w:left="1982" w:hanging="566"/>
      </w:pPr>
      <w:r>
        <w:t>(ii)</w:t>
      </w:r>
      <w:r>
        <w:tab/>
        <w:t>w przypadku nieautochtonicznego/nierodzimego materiału podstawowego – wskazanie pochodzenia pierwotnego, jeśli jest znane;</w:t>
      </w:r>
    </w:p>
    <w:p w:rsidR="006C354F" w:rsidRDefault="006C354F" w:rsidP="006845F1">
      <w:pPr>
        <w:spacing w:before="120" w:after="120" w:line="360" w:lineRule="auto"/>
        <w:ind w:left="1416" w:hanging="566"/>
      </w:pPr>
      <w:r>
        <w:t>h)</w:t>
      </w:r>
      <w:r>
        <w:tab/>
        <w:t>cel wykorzystania LMR;</w:t>
      </w:r>
    </w:p>
    <w:p w:rsidR="006C354F" w:rsidRDefault="006C354F" w:rsidP="006845F1">
      <w:pPr>
        <w:spacing w:before="120" w:after="120" w:line="360" w:lineRule="auto"/>
        <w:ind w:left="1416" w:hanging="566"/>
      </w:pPr>
      <w:r>
        <w:t>(i)</w:t>
      </w:r>
      <w:r>
        <w:tab/>
        <w:t>w przypadku LMR kategorii „przetestowany” – wskazanie, czy jest on:</w:t>
      </w:r>
    </w:p>
    <w:p w:rsidR="006C354F" w:rsidRDefault="006C354F" w:rsidP="006845F1">
      <w:pPr>
        <w:spacing w:before="120" w:after="120" w:line="360" w:lineRule="auto"/>
        <w:ind w:left="1982" w:hanging="566"/>
      </w:pPr>
      <w:r>
        <w:t>(i)</w:t>
      </w:r>
      <w:r>
        <w:tab/>
        <w:t>zmodyfikowany genetycznie; lub</w:t>
      </w:r>
    </w:p>
    <w:p w:rsidR="006C354F" w:rsidRDefault="006C354F" w:rsidP="006845F1">
      <w:pPr>
        <w:spacing w:before="120" w:after="120" w:line="360" w:lineRule="auto"/>
        <w:ind w:left="1982" w:hanging="566"/>
      </w:pPr>
      <w:r>
        <w:t>(ii)</w:t>
      </w:r>
      <w:r>
        <w:tab/>
        <w:t>rośliną NGT;</w:t>
      </w:r>
    </w:p>
    <w:p w:rsidR="006C354F" w:rsidRPr="00A77FBE" w:rsidRDefault="006C354F" w:rsidP="006845F1">
      <w:pPr>
        <w:spacing w:before="120" w:after="120" w:line="360" w:lineRule="auto"/>
        <w:ind w:left="1416" w:hanging="566"/>
        <w:rPr>
          <w:b/>
        </w:rPr>
      </w:pPr>
      <w:r>
        <w:t>j)</w:t>
      </w:r>
      <w:r>
        <w:tab/>
        <w:t xml:space="preserve">w przypadku materiałów kategorii „kwalifikowany” i „przetestowany” – informacje dotyczące, w stosownych przypadkach, </w:t>
      </w:r>
      <w:proofErr w:type="spellStart"/>
      <w:r>
        <w:rPr>
          <w:strike/>
        </w:rPr>
        <w:t>miejsca</w:t>
      </w:r>
      <w:r>
        <w:rPr>
          <w:b/>
          <w:i/>
        </w:rPr>
        <w:t>obszaru</w:t>
      </w:r>
      <w:proofErr w:type="spellEnd"/>
      <w:r>
        <w:rPr>
          <w:b/>
          <w:i/>
        </w:rPr>
        <w:t xml:space="preserve"> zbiorów wykorzystywanego do</w:t>
      </w:r>
      <w:r>
        <w:t xml:space="preserve"> produkcji klonu lub klonów lub</w:t>
      </w:r>
      <w:r w:rsidR="00A77FBE">
        <w:t xml:space="preserve"> mieszanki lub mieszanek klonów;</w:t>
      </w:r>
      <w:r w:rsidR="00A77FBE">
        <w:rPr>
          <w:b/>
        </w:rPr>
        <w:t xml:space="preserve"> [</w:t>
      </w:r>
      <w:r w:rsidR="00A0113C">
        <w:rPr>
          <w:b/>
        </w:rPr>
        <w:t>Popr.</w:t>
      </w:r>
      <w:r w:rsidR="00A77FBE">
        <w:rPr>
          <w:b/>
        </w:rPr>
        <w:t> 53]</w:t>
      </w:r>
    </w:p>
    <w:p w:rsidR="006C354F" w:rsidRPr="00A77FBE" w:rsidRDefault="006C354F" w:rsidP="006845F1">
      <w:pPr>
        <w:spacing w:before="120" w:after="120" w:line="360" w:lineRule="auto"/>
        <w:ind w:left="1416" w:hanging="566"/>
        <w:rPr>
          <w:b/>
        </w:rPr>
      </w:pPr>
      <w:r>
        <w:rPr>
          <w:b/>
          <w:i/>
        </w:rPr>
        <w:t>ja)</w:t>
      </w:r>
      <w:r>
        <w:tab/>
      </w:r>
      <w:r>
        <w:rPr>
          <w:b/>
          <w:i/>
        </w:rPr>
        <w:t>wszelkie dodatkowe informacje, jeśli są dostępne;</w:t>
      </w:r>
      <w:r w:rsidR="00A77FBE">
        <w:rPr>
          <w:b/>
        </w:rPr>
        <w:t xml:space="preserve"> [</w:t>
      </w:r>
      <w:r w:rsidR="00A0113C">
        <w:rPr>
          <w:b/>
        </w:rPr>
        <w:t>Popr.</w:t>
      </w:r>
      <w:r w:rsidR="00A77FBE">
        <w:rPr>
          <w:b/>
        </w:rPr>
        <w:t> 54]</w:t>
      </w:r>
    </w:p>
    <w:p w:rsidR="006C354F" w:rsidRPr="00A77FBE" w:rsidRDefault="006C354F" w:rsidP="006845F1">
      <w:pPr>
        <w:spacing w:before="120" w:after="120" w:line="360" w:lineRule="auto"/>
        <w:ind w:left="1416" w:hanging="566"/>
        <w:rPr>
          <w:b/>
        </w:rPr>
      </w:pPr>
      <w:proofErr w:type="spellStart"/>
      <w:r>
        <w:rPr>
          <w:b/>
          <w:i/>
        </w:rPr>
        <w:t>jb</w:t>
      </w:r>
      <w:proofErr w:type="spellEnd"/>
      <w:r>
        <w:rPr>
          <w:b/>
          <w:i/>
        </w:rPr>
        <w:t>)</w:t>
      </w:r>
      <w:r>
        <w:tab/>
      </w:r>
      <w:r>
        <w:rPr>
          <w:b/>
          <w:i/>
        </w:rPr>
        <w:t>w stosownych przypadkach prawa własności intelektualnej istniejące w odniesieniu do LMR</w:t>
      </w:r>
      <w:r w:rsidR="00A77FBE">
        <w:rPr>
          <w:b/>
          <w:i/>
        </w:rPr>
        <w:t>.</w:t>
      </w:r>
      <w:r w:rsidR="00A77FBE">
        <w:rPr>
          <w:b/>
        </w:rPr>
        <w:t xml:space="preserve"> [</w:t>
      </w:r>
      <w:r w:rsidR="00A0113C">
        <w:rPr>
          <w:b/>
        </w:rPr>
        <w:t>Popr.</w:t>
      </w:r>
      <w:r w:rsidR="00A77FBE">
        <w:rPr>
          <w:b/>
        </w:rPr>
        <w:t> 134]</w:t>
      </w:r>
    </w:p>
    <w:p w:rsidR="00A77FBE" w:rsidRDefault="00A77FBE">
      <w:pPr>
        <w:widowControl/>
      </w:pPr>
      <w:r>
        <w:br w:type="page"/>
      </w:r>
    </w:p>
    <w:p w:rsidR="006C354F" w:rsidRDefault="006C354F" w:rsidP="006845F1">
      <w:pPr>
        <w:spacing w:before="120" w:after="120" w:line="360" w:lineRule="auto"/>
        <w:jc w:val="center"/>
      </w:pPr>
      <w:r>
        <w:lastRenderedPageBreak/>
        <w:t>Artykuł 13</w:t>
      </w:r>
      <w:r>
        <w:br/>
        <w:t>Unijny wykaz zatwierdzonego materiału podstawowego</w:t>
      </w:r>
    </w:p>
    <w:p w:rsidR="006C354F" w:rsidRDefault="006C354F" w:rsidP="006845F1">
      <w:pPr>
        <w:spacing w:before="120" w:after="120" w:line="360" w:lineRule="auto"/>
        <w:ind w:left="850" w:hanging="850"/>
      </w:pPr>
      <w:r>
        <w:t>1.</w:t>
      </w:r>
      <w:r>
        <w:tab/>
        <w:t xml:space="preserve">Na podstawie wykazów krajowych dostarczonych przez każde z państw członkowskich zgodnie z art. 12 Komisja publikuje wykaz zatytułowany „Unijny wykaz zatwierdzonego materiału podstawowego do celów produkcji leśnego materiału </w:t>
      </w:r>
      <w:proofErr w:type="spellStart"/>
      <w:r>
        <w:t>rozmnożeniowego</w:t>
      </w:r>
      <w:proofErr w:type="spellEnd"/>
      <w:r>
        <w:t>”.</w:t>
      </w:r>
    </w:p>
    <w:p w:rsidR="006C354F" w:rsidRDefault="006C354F" w:rsidP="006845F1">
      <w:pPr>
        <w:spacing w:before="120" w:after="120" w:line="360" w:lineRule="auto"/>
        <w:ind w:left="850"/>
      </w:pPr>
      <w:r>
        <w:t>Wykaz ten udostępnia się w formacie elektronicznym za pośrednictwem FOREMATIS.</w:t>
      </w:r>
    </w:p>
    <w:p w:rsidR="006C354F" w:rsidRPr="00A77FBE" w:rsidRDefault="006C354F" w:rsidP="006845F1">
      <w:pPr>
        <w:spacing w:before="120" w:after="120" w:line="360" w:lineRule="auto"/>
        <w:ind w:left="850" w:hanging="850"/>
        <w:rPr>
          <w:b/>
        </w:rPr>
      </w:pPr>
      <w:r>
        <w:t>2.</w:t>
      </w:r>
      <w:r>
        <w:tab/>
        <w:t>Wykaz ten odzwierciedla informacje podane w wykazach krajowych, o których mowa w art. 12 ust. 1</w:t>
      </w:r>
      <w:r>
        <w:rPr>
          <w:strike/>
        </w:rPr>
        <w:t>, i wskazuje obszar wykorzystania</w:t>
      </w:r>
      <w:r>
        <w:t>.</w:t>
      </w:r>
      <w:r w:rsidR="00A77FBE">
        <w:rPr>
          <w:b/>
        </w:rPr>
        <w:t xml:space="preserve"> [</w:t>
      </w:r>
      <w:r w:rsidR="00A0113C">
        <w:rPr>
          <w:b/>
        </w:rPr>
        <w:t>Popr.</w:t>
      </w:r>
      <w:r w:rsidR="00A77FBE">
        <w:rPr>
          <w:b/>
        </w:rPr>
        <w:t> 55]</w:t>
      </w:r>
    </w:p>
    <w:p w:rsidR="006C354F" w:rsidRDefault="006C354F" w:rsidP="006845F1">
      <w:pPr>
        <w:spacing w:before="120" w:after="120" w:line="360" w:lineRule="auto"/>
        <w:jc w:val="center"/>
      </w:pPr>
      <w:r>
        <w:rPr>
          <w:b/>
          <w:i/>
        </w:rPr>
        <w:t>Artykuł 13a</w:t>
      </w:r>
      <w:r>
        <w:br/>
      </w:r>
      <w:r>
        <w:rPr>
          <w:b/>
          <w:i/>
        </w:rPr>
        <w:t>Produkcja z materiału podstawowego</w:t>
      </w:r>
    </w:p>
    <w:p w:rsidR="006C354F" w:rsidRDefault="006C354F" w:rsidP="006845F1">
      <w:pPr>
        <w:spacing w:before="120" w:after="120" w:line="360" w:lineRule="auto"/>
        <w:ind w:left="850" w:hanging="850"/>
      </w:pPr>
      <w:r>
        <w:rPr>
          <w:b/>
          <w:i/>
        </w:rPr>
        <w:t>1.</w:t>
      </w:r>
      <w:r>
        <w:tab/>
      </w:r>
      <w:r>
        <w:rPr>
          <w:b/>
          <w:i/>
        </w:rPr>
        <w:t>Należy zapewnić identyfikowalność od momentu zbioru LMR do wprowadzenia do obrotu dla użytkownika końcowego.</w:t>
      </w:r>
    </w:p>
    <w:p w:rsidR="006C354F" w:rsidRDefault="006C354F" w:rsidP="006845F1">
      <w:pPr>
        <w:spacing w:before="120" w:after="120" w:line="360" w:lineRule="auto"/>
        <w:ind w:left="850" w:hanging="850"/>
      </w:pPr>
      <w:r>
        <w:rPr>
          <w:b/>
          <w:i/>
        </w:rPr>
        <w:t>2.</w:t>
      </w:r>
      <w:r>
        <w:tab/>
      </w:r>
      <w:r>
        <w:rPr>
          <w:b/>
          <w:i/>
        </w:rPr>
        <w:t xml:space="preserve">Podmioty profesjonalne powiadamiają właściwy organ o swoim zamiarze zbioru leśnego materiału </w:t>
      </w:r>
      <w:proofErr w:type="spellStart"/>
      <w:r>
        <w:rPr>
          <w:b/>
          <w:i/>
        </w:rPr>
        <w:t>rozmnożeniowego</w:t>
      </w:r>
      <w:proofErr w:type="spellEnd"/>
      <w:r>
        <w:rPr>
          <w:b/>
          <w:i/>
        </w:rPr>
        <w:t xml:space="preserve"> przed zbiorem, by umożliwić właściwemu organowi zorganizowanie kontroli.</w:t>
      </w:r>
    </w:p>
    <w:p w:rsidR="00A77FBE" w:rsidRDefault="00A77FBE">
      <w:pPr>
        <w:widowControl/>
        <w:rPr>
          <w:b/>
          <w:i/>
        </w:rPr>
      </w:pPr>
      <w:r>
        <w:rPr>
          <w:b/>
          <w:i/>
        </w:rPr>
        <w:br w:type="page"/>
      </w:r>
    </w:p>
    <w:p w:rsidR="006C354F" w:rsidRDefault="006C354F" w:rsidP="006845F1">
      <w:pPr>
        <w:spacing w:before="120" w:after="120" w:line="360" w:lineRule="auto"/>
        <w:ind w:left="850" w:hanging="850"/>
      </w:pPr>
      <w:r>
        <w:rPr>
          <w:b/>
          <w:i/>
        </w:rPr>
        <w:lastRenderedPageBreak/>
        <w:t>3.</w:t>
      </w:r>
      <w:r>
        <w:tab/>
      </w:r>
      <w:r>
        <w:rPr>
          <w:b/>
          <w:i/>
        </w:rPr>
        <w:t>Podmioty profesjonalne przekazują właściwemu organowi zapisy dokumentujące zbiór LMR.</w:t>
      </w:r>
    </w:p>
    <w:p w:rsidR="006C354F" w:rsidRDefault="006C354F" w:rsidP="006845F1">
      <w:pPr>
        <w:spacing w:before="120" w:after="120" w:line="360" w:lineRule="auto"/>
        <w:ind w:left="850" w:hanging="850"/>
      </w:pPr>
      <w:r>
        <w:rPr>
          <w:b/>
          <w:i/>
        </w:rPr>
        <w:t>4.</w:t>
      </w:r>
      <w:r>
        <w:tab/>
      </w:r>
      <w:r>
        <w:rPr>
          <w:b/>
          <w:i/>
        </w:rPr>
        <w:t>Pozyskiwanie z miejsca zbioru jest dozwolone wyłącznie na podstawie certyfikatu.</w:t>
      </w:r>
    </w:p>
    <w:p w:rsidR="006C354F" w:rsidRPr="00A77FBE" w:rsidRDefault="006C354F" w:rsidP="006845F1">
      <w:pPr>
        <w:spacing w:before="120" w:after="120" w:line="360" w:lineRule="auto"/>
        <w:ind w:left="850" w:hanging="850"/>
        <w:rPr>
          <w:b/>
        </w:rPr>
      </w:pPr>
      <w:r>
        <w:rPr>
          <w:b/>
          <w:i/>
        </w:rPr>
        <w:t>5.</w:t>
      </w:r>
      <w:r>
        <w:tab/>
      </w:r>
      <w:r>
        <w:rPr>
          <w:b/>
          <w:i/>
        </w:rPr>
        <w:t>W celu zapewnienia jak największej różnorodności genetycznej w obrębie całej partii materiału siewnego podmiot dokonujący zbioru nasion zapewni, aby przed wprowadzeniem do obrotu lub siewem partia materiału siewnego była intensywnie mieszana na wszystkich etapach procesu.</w:t>
      </w:r>
      <w:r w:rsidR="00A77FBE">
        <w:rPr>
          <w:b/>
        </w:rPr>
        <w:t xml:space="preserve"> [</w:t>
      </w:r>
      <w:r w:rsidR="00A0113C">
        <w:rPr>
          <w:b/>
        </w:rPr>
        <w:t>Popr.</w:t>
      </w:r>
      <w:r w:rsidR="00A77FBE">
        <w:rPr>
          <w:b/>
        </w:rPr>
        <w:t> 56]</w:t>
      </w:r>
    </w:p>
    <w:p w:rsidR="006C354F" w:rsidRDefault="006C354F" w:rsidP="006845F1">
      <w:pPr>
        <w:spacing w:before="120" w:after="120" w:line="360" w:lineRule="auto"/>
        <w:jc w:val="center"/>
      </w:pPr>
      <w:r>
        <w:t xml:space="preserve">ROZDZIAŁ IV </w:t>
      </w:r>
      <w:r>
        <w:br/>
        <w:t>CERTYFIKAT, ZNAKOWANIE I PAKOWANIE</w:t>
      </w:r>
    </w:p>
    <w:p w:rsidR="006C354F" w:rsidRDefault="006C354F" w:rsidP="006845F1">
      <w:pPr>
        <w:spacing w:before="120" w:after="120" w:line="360" w:lineRule="auto"/>
        <w:jc w:val="center"/>
      </w:pPr>
      <w:r>
        <w:t>Artykuł 14</w:t>
      </w:r>
      <w:r>
        <w:br/>
        <w:t>Certyfikat tożsamości</w:t>
      </w:r>
    </w:p>
    <w:p w:rsidR="006C354F" w:rsidRDefault="006C354F" w:rsidP="006845F1">
      <w:pPr>
        <w:spacing w:before="120" w:after="120" w:line="360" w:lineRule="auto"/>
        <w:ind w:left="850" w:hanging="850"/>
      </w:pPr>
      <w:r>
        <w:t>1.</w:t>
      </w:r>
      <w:r>
        <w:tab/>
        <w:t>Na wniosek podmiotu profesjonalnego i po zbiorze LMR z zatwierdzonego materiału podstawowego właściwe organy wydają certyfikat tożsamości („certyfikat”) zawierający niepowtarzalny odnośnik w rejestrze dotyczący materiału podstawowego w odniesieniu do całego zebranego LMR.</w:t>
      </w:r>
    </w:p>
    <w:p w:rsidR="00A77FBE" w:rsidRDefault="00A77FBE">
      <w:pPr>
        <w:widowControl/>
      </w:pPr>
      <w:r>
        <w:br w:type="page"/>
      </w:r>
    </w:p>
    <w:p w:rsidR="006C354F" w:rsidRPr="00A77FBE" w:rsidRDefault="006C354F" w:rsidP="006845F1">
      <w:pPr>
        <w:spacing w:before="120" w:after="120" w:line="360" w:lineRule="auto"/>
        <w:ind w:left="850"/>
        <w:rPr>
          <w:b/>
        </w:rPr>
      </w:pPr>
      <w:r>
        <w:lastRenderedPageBreak/>
        <w:t>Certyfikat jest poświadczeniem zgodności z wymogami przewidzianymi w art. 4 ust. 2</w:t>
      </w:r>
      <w:r>
        <w:rPr>
          <w:b/>
          <w:i/>
        </w:rPr>
        <w:t xml:space="preserve"> dotyczącymi tego, iż LMR pochodzi z zatwierdzonego materiału podstawowego</w:t>
      </w:r>
      <w:r>
        <w:t>.</w:t>
      </w:r>
      <w:r w:rsidR="00A77FBE">
        <w:rPr>
          <w:b/>
        </w:rPr>
        <w:t xml:space="preserve"> [</w:t>
      </w:r>
      <w:r w:rsidR="00A0113C">
        <w:rPr>
          <w:b/>
        </w:rPr>
        <w:t>Popr.</w:t>
      </w:r>
      <w:r w:rsidR="00A77FBE">
        <w:rPr>
          <w:b/>
        </w:rPr>
        <w:t> 57]</w:t>
      </w:r>
    </w:p>
    <w:p w:rsidR="006C354F" w:rsidRDefault="006C354F" w:rsidP="006845F1">
      <w:pPr>
        <w:spacing w:before="120" w:after="120" w:line="360" w:lineRule="auto"/>
        <w:ind w:left="850"/>
      </w:pPr>
      <w:r>
        <w:t>Komisja przyjmuje, w drodze aktu wykonawczego, treść i wzór certyfikatu tożsamości w odniesieniu do LMR:</w:t>
      </w:r>
    </w:p>
    <w:p w:rsidR="006C354F" w:rsidRDefault="006C354F" w:rsidP="006845F1">
      <w:pPr>
        <w:spacing w:before="120" w:after="120" w:line="360" w:lineRule="auto"/>
        <w:ind w:left="1416" w:hanging="566"/>
      </w:pPr>
      <w:r>
        <w:t>a)</w:t>
      </w:r>
      <w:r>
        <w:tab/>
        <w:t>wzór certyfikatu dotyczącego LMR, który pochodzi ze źródeł nasion i drzewostanów;</w:t>
      </w:r>
    </w:p>
    <w:p w:rsidR="006C354F" w:rsidRDefault="006C354F" w:rsidP="006845F1">
      <w:pPr>
        <w:spacing w:before="120" w:after="120" w:line="360" w:lineRule="auto"/>
        <w:ind w:left="1416" w:hanging="566"/>
      </w:pPr>
      <w:r>
        <w:t>b)</w:t>
      </w:r>
      <w:r>
        <w:tab/>
        <w:t>wzór certyfikatu dotyczącego LMR, który pochodzi z plantacji nasiennych lub drzew matecznych oraz</w:t>
      </w:r>
    </w:p>
    <w:p w:rsidR="006C354F" w:rsidRDefault="006C354F" w:rsidP="006845F1">
      <w:pPr>
        <w:spacing w:before="120" w:after="120" w:line="360" w:lineRule="auto"/>
        <w:ind w:left="1416" w:hanging="566"/>
      </w:pPr>
      <w:r>
        <w:t>c)</w:t>
      </w:r>
      <w:r>
        <w:tab/>
        <w:t>wzór certyfikatu dotyczącego LMR, który pocho</w:t>
      </w:r>
      <w:r w:rsidR="00A77FBE">
        <w:t>dzi z klonów i mieszanek klonów;</w:t>
      </w:r>
    </w:p>
    <w:p w:rsidR="006C354F" w:rsidRPr="00A77FBE" w:rsidRDefault="006C354F" w:rsidP="006845F1">
      <w:pPr>
        <w:spacing w:before="120" w:after="120" w:line="360" w:lineRule="auto"/>
        <w:ind w:left="1416" w:hanging="566"/>
        <w:rPr>
          <w:b/>
        </w:rPr>
      </w:pPr>
      <w:r>
        <w:rPr>
          <w:b/>
          <w:i/>
        </w:rPr>
        <w:t>ca)</w:t>
      </w:r>
      <w:r>
        <w:tab/>
      </w:r>
      <w:r>
        <w:rPr>
          <w:b/>
          <w:i/>
        </w:rPr>
        <w:t>wzór certyfikatu dotyczącego LMR, który pochodzi z mieszanki.</w:t>
      </w:r>
      <w:r w:rsidR="00A77FBE">
        <w:rPr>
          <w:b/>
        </w:rPr>
        <w:t xml:space="preserve"> [</w:t>
      </w:r>
      <w:r w:rsidR="00A0113C">
        <w:rPr>
          <w:b/>
        </w:rPr>
        <w:t>Popr.</w:t>
      </w:r>
      <w:r w:rsidR="00A77FBE">
        <w:rPr>
          <w:b/>
        </w:rPr>
        <w:t> 58]</w:t>
      </w:r>
    </w:p>
    <w:p w:rsidR="006C354F" w:rsidRDefault="006C354F" w:rsidP="006845F1">
      <w:pPr>
        <w:spacing w:before="120" w:after="120" w:line="360" w:lineRule="auto"/>
        <w:ind w:left="850"/>
      </w:pPr>
      <w:r>
        <w:t>Ten akt wykonawczy przyjmuje się zgodnie z procedurą sprawdzającą, o której mowa w art. 27 ust. 2.</w:t>
      </w:r>
    </w:p>
    <w:p w:rsidR="006C354F" w:rsidRDefault="006C354F" w:rsidP="006845F1">
      <w:pPr>
        <w:spacing w:before="120" w:after="120" w:line="360" w:lineRule="auto"/>
        <w:ind w:left="850" w:hanging="850"/>
      </w:pPr>
      <w:r>
        <w:t>2.</w:t>
      </w:r>
      <w:r>
        <w:tab/>
        <w:t>Jeśli zgodnie z art. 15 ust. 2 państwo członkowskie przyjmuje środki w odniesieniu do dalszego rozmnażania wegetatywnego, wydaje się nowy certyfikat.</w:t>
      </w:r>
    </w:p>
    <w:p w:rsidR="00A77FBE" w:rsidRDefault="00A77FBE">
      <w:pPr>
        <w:widowControl/>
      </w:pPr>
      <w:r>
        <w:br w:type="page"/>
      </w:r>
    </w:p>
    <w:p w:rsidR="006C354F" w:rsidRDefault="006C354F" w:rsidP="006845F1">
      <w:pPr>
        <w:spacing w:before="120" w:after="120" w:line="360" w:lineRule="auto"/>
        <w:ind w:left="850" w:hanging="850"/>
      </w:pPr>
      <w:r>
        <w:lastRenderedPageBreak/>
        <w:t>3.</w:t>
      </w:r>
      <w:r>
        <w:tab/>
        <w:t>Jeśli ma miejsce mieszanie zgodnie z art. 15 ust. 3, państwo członkowskie zapewnia, aby odnośniki w rejestrze dotyczące składników mieszanek były możliwe do zidentyfikowania i aby wystawiono nowy certyfikat lub inny dokument identyfikujący mieszankę.</w:t>
      </w:r>
    </w:p>
    <w:p w:rsidR="006C354F" w:rsidRDefault="006C354F" w:rsidP="006845F1">
      <w:pPr>
        <w:spacing w:before="120" w:after="120" w:line="360" w:lineRule="auto"/>
        <w:ind w:left="850" w:hanging="850"/>
      </w:pPr>
      <w:r>
        <w:t>4.</w:t>
      </w:r>
      <w:r>
        <w:tab/>
        <w:t>W przypadku podziału partii, o której mowa w art. 15 ust. 1, na mniejsze partie nieprzetwarzane w sposób jednolity i poddawane dalszemu rozmnażaniu wegetatywnemu wystawia się nowy certyfikat z odniesieniem do numeru poprzedniego certyfikatu.</w:t>
      </w:r>
    </w:p>
    <w:p w:rsidR="006C354F" w:rsidRPr="00A77FBE" w:rsidRDefault="006C354F" w:rsidP="006845F1">
      <w:pPr>
        <w:spacing w:before="120" w:after="120" w:line="360" w:lineRule="auto"/>
        <w:ind w:left="850" w:hanging="850"/>
        <w:rPr>
          <w:b/>
        </w:rPr>
      </w:pPr>
      <w:r>
        <w:rPr>
          <w:b/>
          <w:i/>
        </w:rPr>
        <w:t>4a.</w:t>
      </w:r>
      <w:r>
        <w:tab/>
      </w:r>
      <w:r>
        <w:rPr>
          <w:b/>
          <w:i/>
        </w:rPr>
        <w:t>W przypadku mieszanki podmiot profesjonalny z wyprzedzeniem powiadamia właściwy organ o mieszaniu, aby umożliwić właściwemu organowi nadzorowanie procesu mieszania.</w:t>
      </w:r>
      <w:r w:rsidR="00A77FBE">
        <w:rPr>
          <w:b/>
        </w:rPr>
        <w:t xml:space="preserve"> [</w:t>
      </w:r>
      <w:r w:rsidR="00A0113C">
        <w:rPr>
          <w:b/>
        </w:rPr>
        <w:t>Popr.</w:t>
      </w:r>
      <w:r w:rsidR="00A77FBE">
        <w:rPr>
          <w:b/>
        </w:rPr>
        <w:t> 59]</w:t>
      </w:r>
    </w:p>
    <w:p w:rsidR="006C354F" w:rsidRDefault="006C354F" w:rsidP="006845F1">
      <w:pPr>
        <w:spacing w:before="120" w:after="120" w:line="360" w:lineRule="auto"/>
        <w:ind w:left="850" w:hanging="850"/>
      </w:pPr>
      <w:r>
        <w:t>5.</w:t>
      </w:r>
      <w:r>
        <w:tab/>
        <w:t>Certyfikat można również wydać w formie elektronicznej („certyfikat elektroniczny”).</w:t>
      </w:r>
    </w:p>
    <w:p w:rsidR="00A77FBE" w:rsidRDefault="00A77FBE">
      <w:pPr>
        <w:widowControl/>
      </w:pPr>
      <w:r>
        <w:br w:type="page"/>
      </w:r>
    </w:p>
    <w:p w:rsidR="006C354F" w:rsidRDefault="006C354F" w:rsidP="006845F1">
      <w:pPr>
        <w:spacing w:before="120" w:after="120" w:line="360" w:lineRule="auto"/>
        <w:ind w:left="850"/>
      </w:pPr>
      <w:r>
        <w:lastRenderedPageBreak/>
        <w:t>Komisja może, w drodze aktów wykonawczych, określić rozwiązania techniczne dotyczące wydawania certyfikatów elektronicznych, aby zapewnić ich zgodność z niniejszym artykułem oraz odpowiedni, wiarygodny i skuteczny sposób wydawania certyfikatów elektronicznych. Te akty wykonawcze przyjmuje się zgodnie z procedurą sprawdzającą, o której mowa w art. 27 ust. 2.</w:t>
      </w:r>
    </w:p>
    <w:p w:rsidR="006C354F" w:rsidRDefault="006C354F" w:rsidP="006845F1">
      <w:pPr>
        <w:spacing w:before="120" w:after="120" w:line="360" w:lineRule="auto"/>
        <w:ind w:left="850" w:hanging="850"/>
      </w:pPr>
      <w:r>
        <w:t>6.</w:t>
      </w:r>
      <w:r>
        <w:tab/>
        <w:t>Komisja jest uprawniona do przyjmowania, zgodnie z art. 26, aktów delegowanych w celu uzupełnienia niniejszego artykułu o przepisy dotyczące:</w:t>
      </w:r>
    </w:p>
    <w:p w:rsidR="006C354F" w:rsidRDefault="006C354F" w:rsidP="006845F1">
      <w:pPr>
        <w:spacing w:before="120" w:after="120" w:line="360" w:lineRule="auto"/>
        <w:ind w:left="1416" w:hanging="566"/>
      </w:pPr>
      <w:r>
        <w:t>a)</w:t>
      </w:r>
      <w:r>
        <w:tab/>
        <w:t>cyfrowego rejestrowania wszystkich działań podejmowanych przez podmiot profesjonalny i właściwe organy w celu wydania certyfikatu oraz</w:t>
      </w:r>
    </w:p>
    <w:p w:rsidR="006C354F" w:rsidRDefault="006C354F" w:rsidP="006845F1">
      <w:pPr>
        <w:spacing w:before="120" w:after="120" w:line="360" w:lineRule="auto"/>
        <w:ind w:left="1416" w:hanging="566"/>
      </w:pPr>
      <w:r>
        <w:t>b)</w:t>
      </w:r>
      <w:r>
        <w:tab/>
        <w:t>ustanowienia scentralizowanej platformy łączącej wszystkie państwa członkowskie i Komisję w celu ułatwienia przetwarzania tych rejestrów, korzystania z nich i dostępu do nich;</w:t>
      </w:r>
    </w:p>
    <w:p w:rsidR="006C354F" w:rsidRPr="00A77FBE" w:rsidRDefault="006C354F" w:rsidP="006845F1">
      <w:pPr>
        <w:spacing w:before="120" w:after="120" w:line="360" w:lineRule="auto"/>
        <w:ind w:left="850" w:hanging="850"/>
        <w:rPr>
          <w:b/>
        </w:rPr>
      </w:pPr>
      <w:r>
        <w:rPr>
          <w:b/>
          <w:i/>
        </w:rPr>
        <w:t>6a.</w:t>
      </w:r>
      <w:r>
        <w:tab/>
      </w:r>
      <w:r>
        <w:rPr>
          <w:b/>
          <w:i/>
        </w:rPr>
        <w:t>Każde państwo członkowskie ustanawia i aktualizuje krajowy wykaz wydanych certyfikatów oraz udostępnia ten wykaz Komisji i właściwym organom.</w:t>
      </w:r>
      <w:r w:rsidR="00A77FBE">
        <w:rPr>
          <w:b/>
        </w:rPr>
        <w:t xml:space="preserve"> [</w:t>
      </w:r>
      <w:r w:rsidR="00A0113C">
        <w:rPr>
          <w:b/>
        </w:rPr>
        <w:t>Popr.</w:t>
      </w:r>
      <w:r w:rsidR="00A77FBE">
        <w:rPr>
          <w:b/>
        </w:rPr>
        <w:t> 60]</w:t>
      </w:r>
    </w:p>
    <w:p w:rsidR="00A77FBE" w:rsidRDefault="00A77FBE">
      <w:pPr>
        <w:widowControl/>
      </w:pPr>
      <w:r>
        <w:br w:type="page"/>
      </w:r>
    </w:p>
    <w:p w:rsidR="006C354F" w:rsidRDefault="006C354F" w:rsidP="006845F1">
      <w:pPr>
        <w:spacing w:before="120" w:after="120" w:line="360" w:lineRule="auto"/>
        <w:jc w:val="center"/>
      </w:pPr>
      <w:r>
        <w:lastRenderedPageBreak/>
        <w:t>Artykuł 15</w:t>
      </w:r>
      <w:r>
        <w:br/>
        <w:t>Partie</w:t>
      </w:r>
    </w:p>
    <w:p w:rsidR="006C354F" w:rsidRPr="00A77FBE" w:rsidRDefault="006C354F" w:rsidP="006845F1">
      <w:pPr>
        <w:spacing w:before="120" w:after="120" w:line="360" w:lineRule="auto"/>
        <w:ind w:left="850" w:hanging="850"/>
        <w:rPr>
          <w:b/>
        </w:rPr>
      </w:pPr>
      <w:r>
        <w:t>1.</w:t>
      </w:r>
      <w:r>
        <w:tab/>
        <w:t>Na wszystkich etapach produkcji LMR jest przechowywany oddzielnie według poszczególnych jednostek zatwierdzenia materiału podstawowego</w:t>
      </w:r>
      <w:r>
        <w:rPr>
          <w:b/>
          <w:i/>
        </w:rPr>
        <w:t xml:space="preserve"> i według certyfikatu, jeśli taki został wydany</w:t>
      </w:r>
      <w:r>
        <w:t>, aby zapewnić identyfikowalność LMR z zatwierdzonym materiałem podstawowym, z którego został zebrany. LMR zbiera się z tych poszczególnych jednostek zatwierdzenia i wprowadza się go do obrotu w partiach, które są wystarczająco jednorodne i zostały zidentyfikowane jako różniące się od innych partii LMR.</w:t>
      </w:r>
      <w:r w:rsidR="00A77FBE">
        <w:rPr>
          <w:b/>
        </w:rPr>
        <w:t xml:space="preserve"> [</w:t>
      </w:r>
      <w:r w:rsidR="00A0113C">
        <w:rPr>
          <w:b/>
        </w:rPr>
        <w:t>Popr.</w:t>
      </w:r>
      <w:r w:rsidR="00A77FBE">
        <w:rPr>
          <w:b/>
        </w:rPr>
        <w:t> 61]</w:t>
      </w:r>
    </w:p>
    <w:p w:rsidR="006C354F" w:rsidRDefault="006C354F" w:rsidP="006845F1">
      <w:pPr>
        <w:spacing w:before="120" w:after="120" w:line="360" w:lineRule="auto"/>
        <w:ind w:left="850"/>
      </w:pPr>
      <w:r>
        <w:t>Każdą partię LMR identyfikuje się na podstawie:</w:t>
      </w:r>
    </w:p>
    <w:p w:rsidR="006C354F" w:rsidRPr="00A77FBE" w:rsidRDefault="006C354F" w:rsidP="006845F1">
      <w:pPr>
        <w:spacing w:before="120" w:after="120" w:line="360" w:lineRule="auto"/>
        <w:ind w:left="1416" w:hanging="566"/>
        <w:rPr>
          <w:b/>
        </w:rPr>
      </w:pPr>
      <w:r>
        <w:t>a)</w:t>
      </w:r>
      <w:r>
        <w:tab/>
      </w:r>
      <w:proofErr w:type="spellStart"/>
      <w:r>
        <w:rPr>
          <w:strike/>
        </w:rPr>
        <w:t>numeru</w:t>
      </w:r>
      <w:r>
        <w:rPr>
          <w:b/>
          <w:i/>
        </w:rPr>
        <w:t>kodu</w:t>
      </w:r>
      <w:proofErr w:type="spellEnd"/>
      <w:r>
        <w:t xml:space="preserve"> partii;</w:t>
      </w:r>
      <w:r w:rsidR="00A77FBE">
        <w:rPr>
          <w:b/>
        </w:rPr>
        <w:t xml:space="preserve"> [</w:t>
      </w:r>
      <w:r w:rsidR="00A0113C">
        <w:rPr>
          <w:b/>
        </w:rPr>
        <w:t>Popr.</w:t>
      </w:r>
      <w:r w:rsidR="00A77FBE">
        <w:rPr>
          <w:b/>
        </w:rPr>
        <w:t> 62]</w:t>
      </w:r>
    </w:p>
    <w:p w:rsidR="006C354F" w:rsidRPr="00A77FBE" w:rsidRDefault="006C354F" w:rsidP="006845F1">
      <w:pPr>
        <w:spacing w:before="120" w:after="120" w:line="360" w:lineRule="auto"/>
        <w:ind w:left="1416" w:hanging="566"/>
        <w:rPr>
          <w:b/>
        </w:rPr>
      </w:pPr>
      <w:r>
        <w:rPr>
          <w:b/>
          <w:i/>
        </w:rPr>
        <w:t>aa)</w:t>
      </w:r>
      <w:r>
        <w:tab/>
      </w:r>
      <w:r>
        <w:rPr>
          <w:b/>
          <w:i/>
        </w:rPr>
        <w:t>celu;</w:t>
      </w:r>
      <w:r w:rsidR="00A77FBE">
        <w:rPr>
          <w:b/>
        </w:rPr>
        <w:t xml:space="preserve"> [</w:t>
      </w:r>
      <w:r w:rsidR="00A0113C">
        <w:rPr>
          <w:b/>
        </w:rPr>
        <w:t>Popr.</w:t>
      </w:r>
      <w:r w:rsidR="00A77FBE">
        <w:rPr>
          <w:b/>
        </w:rPr>
        <w:t> 63]</w:t>
      </w:r>
    </w:p>
    <w:p w:rsidR="006C354F" w:rsidRDefault="006C354F" w:rsidP="006845F1">
      <w:pPr>
        <w:spacing w:before="120" w:after="120" w:line="360" w:lineRule="auto"/>
        <w:ind w:left="1416" w:hanging="566"/>
      </w:pPr>
      <w:r>
        <w:t>b)</w:t>
      </w:r>
      <w:r>
        <w:tab/>
        <w:t>kodu i numeru certyfikatu;</w:t>
      </w:r>
    </w:p>
    <w:p w:rsidR="006C354F" w:rsidRDefault="006C354F" w:rsidP="006845F1">
      <w:pPr>
        <w:spacing w:before="120" w:after="120" w:line="360" w:lineRule="auto"/>
        <w:ind w:left="1416" w:hanging="566"/>
      </w:pPr>
      <w:r>
        <w:t>c)</w:t>
      </w:r>
      <w:r>
        <w:tab/>
        <w:t>nazwy botanicznej;</w:t>
      </w:r>
    </w:p>
    <w:p w:rsidR="006C354F" w:rsidRDefault="006C354F" w:rsidP="006845F1">
      <w:pPr>
        <w:spacing w:before="120" w:after="120" w:line="360" w:lineRule="auto"/>
        <w:ind w:left="1416" w:hanging="566"/>
      </w:pPr>
      <w:r>
        <w:t>d)</w:t>
      </w:r>
      <w:r>
        <w:tab/>
        <w:t>kategorii LMR;</w:t>
      </w:r>
    </w:p>
    <w:p w:rsidR="00A77FBE" w:rsidRDefault="00A77FBE">
      <w:pPr>
        <w:widowControl/>
      </w:pPr>
      <w:r>
        <w:br w:type="page"/>
      </w:r>
    </w:p>
    <w:p w:rsidR="006C354F" w:rsidRPr="00A77FBE" w:rsidRDefault="006C354F" w:rsidP="006845F1">
      <w:pPr>
        <w:spacing w:before="120" w:after="120" w:line="360" w:lineRule="auto"/>
        <w:ind w:left="1416" w:hanging="566"/>
        <w:rPr>
          <w:b/>
        </w:rPr>
      </w:pPr>
      <w:r>
        <w:lastRenderedPageBreak/>
        <w:t>e)</w:t>
      </w:r>
      <w:r>
        <w:tab/>
      </w:r>
      <w:r>
        <w:rPr>
          <w:b/>
          <w:i/>
        </w:rPr>
        <w:t xml:space="preserve">rodzaju </w:t>
      </w:r>
      <w:r>
        <w:t>materiału podstawowego;</w:t>
      </w:r>
      <w:r w:rsidR="00A77FBE">
        <w:rPr>
          <w:b/>
        </w:rPr>
        <w:t xml:space="preserve"> [</w:t>
      </w:r>
      <w:r w:rsidR="00A0113C">
        <w:rPr>
          <w:b/>
        </w:rPr>
        <w:t>Popr.</w:t>
      </w:r>
      <w:r w:rsidR="00A77FBE">
        <w:rPr>
          <w:b/>
        </w:rPr>
        <w:t> 64]</w:t>
      </w:r>
    </w:p>
    <w:p w:rsidR="006C354F" w:rsidRDefault="006C354F" w:rsidP="006845F1">
      <w:pPr>
        <w:spacing w:before="120" w:after="120" w:line="360" w:lineRule="auto"/>
        <w:ind w:left="1416" w:hanging="566"/>
      </w:pPr>
      <w:r>
        <w:t>f)</w:t>
      </w:r>
      <w:r>
        <w:tab/>
        <w:t>odnośnika w rejestrze lub kodu identyfikacyjnego regionu pochodzenia;</w:t>
      </w:r>
    </w:p>
    <w:p w:rsidR="006C354F" w:rsidRDefault="006C354F" w:rsidP="006845F1">
      <w:pPr>
        <w:spacing w:before="120" w:after="120" w:line="360" w:lineRule="auto"/>
        <w:ind w:left="1416" w:hanging="566"/>
      </w:pPr>
      <w:r>
        <w:t>g)</w:t>
      </w:r>
      <w:r>
        <w:tab/>
        <w:t>regionu pochodzenia w przypadku LMR kategorii „ze zidentyfikowanego źródła” i „wyselekcjonowany” lub, w stosownych przypadkach, w odniesieniu do innego LMR;</w:t>
      </w:r>
    </w:p>
    <w:p w:rsidR="006C354F" w:rsidRDefault="006C354F" w:rsidP="006845F1">
      <w:pPr>
        <w:spacing w:before="120" w:after="120" w:line="360" w:lineRule="auto"/>
        <w:ind w:left="1416" w:hanging="566"/>
      </w:pPr>
      <w:r>
        <w:t>h)</w:t>
      </w:r>
      <w:r>
        <w:tab/>
        <w:t>w stosownych przypadkach tego, czy pochodzenie pierwotne materiału podstawowego jest autochtoniczne lub rodzime, nieautochtoniczne lub nierodzime czy nieznane;</w:t>
      </w:r>
    </w:p>
    <w:p w:rsidR="006C354F" w:rsidRPr="00A77FBE" w:rsidRDefault="006C354F" w:rsidP="006845F1">
      <w:pPr>
        <w:spacing w:before="120" w:after="120" w:line="360" w:lineRule="auto"/>
        <w:ind w:left="1416" w:hanging="566"/>
        <w:rPr>
          <w:b/>
        </w:rPr>
      </w:pPr>
      <w:r>
        <w:t>i)</w:t>
      </w:r>
      <w:r>
        <w:tab/>
        <w:t>w przypadku jednostek nasiennych – roku dojrzewania</w:t>
      </w:r>
      <w:r>
        <w:rPr>
          <w:b/>
          <w:i/>
        </w:rPr>
        <w:t>, czystości, zdolności kiełkowania czystych nasion, masy 1000 czystych nasion i liczby zdolnych do kiełkowania nasion w kilogramie oraz nazwy stacji badania materiału siewnego</w:t>
      </w:r>
      <w:r>
        <w:t>;</w:t>
      </w:r>
      <w:r w:rsidR="00A77FBE">
        <w:rPr>
          <w:b/>
        </w:rPr>
        <w:t xml:space="preserve"> [</w:t>
      </w:r>
      <w:r w:rsidR="00A0113C">
        <w:rPr>
          <w:b/>
        </w:rPr>
        <w:t>Popr.</w:t>
      </w:r>
      <w:r w:rsidR="00A77FBE">
        <w:rPr>
          <w:b/>
        </w:rPr>
        <w:t> 65]</w:t>
      </w:r>
    </w:p>
    <w:p w:rsidR="006C354F" w:rsidRDefault="006C354F" w:rsidP="006845F1">
      <w:pPr>
        <w:spacing w:before="120" w:after="120" w:line="360" w:lineRule="auto"/>
        <w:ind w:left="1416" w:hanging="566"/>
      </w:pPr>
      <w:r>
        <w:t>j)</w:t>
      </w:r>
      <w:r>
        <w:tab/>
        <w:t>wieku i rodzaju materiału sadzeniowego z siewek lub zrzezów; czy są to podcięcia, transplanty, czy materiał konteneryzowany;</w:t>
      </w:r>
    </w:p>
    <w:p w:rsidR="006C354F" w:rsidRDefault="006C354F" w:rsidP="006845F1">
      <w:pPr>
        <w:spacing w:before="120" w:after="120" w:line="360" w:lineRule="auto"/>
        <w:ind w:left="1416" w:hanging="566"/>
      </w:pPr>
      <w:r>
        <w:t>k)</w:t>
      </w:r>
      <w:r>
        <w:tab/>
        <w:t>w przypadku materiału kategorii „przetestowany” – tego, czy jest on:</w:t>
      </w:r>
    </w:p>
    <w:p w:rsidR="006C354F" w:rsidRDefault="006C354F" w:rsidP="006845F1">
      <w:pPr>
        <w:spacing w:before="120" w:after="120" w:line="360" w:lineRule="auto"/>
        <w:ind w:left="1982" w:hanging="566"/>
      </w:pPr>
      <w:r>
        <w:t>(i)</w:t>
      </w:r>
      <w:r>
        <w:tab/>
        <w:t>zmodyfikowany genetycznie;</w:t>
      </w:r>
    </w:p>
    <w:p w:rsidR="00A77FBE" w:rsidRDefault="00A77FBE">
      <w:pPr>
        <w:widowControl/>
      </w:pPr>
      <w:r>
        <w:br w:type="page"/>
      </w:r>
    </w:p>
    <w:p w:rsidR="006C354F" w:rsidRDefault="00A77FBE" w:rsidP="006845F1">
      <w:pPr>
        <w:spacing w:before="120" w:after="120" w:line="360" w:lineRule="auto"/>
        <w:ind w:left="1982" w:hanging="566"/>
      </w:pPr>
      <w:r>
        <w:lastRenderedPageBreak/>
        <w:t>(ii)</w:t>
      </w:r>
      <w:r>
        <w:tab/>
        <w:t>rośliną NGT;</w:t>
      </w:r>
    </w:p>
    <w:p w:rsidR="006C354F" w:rsidRPr="00A77FBE" w:rsidRDefault="006C354F" w:rsidP="006845F1">
      <w:pPr>
        <w:spacing w:before="120" w:after="120" w:line="360" w:lineRule="auto"/>
        <w:ind w:left="1416" w:hanging="566"/>
        <w:rPr>
          <w:b/>
        </w:rPr>
      </w:pPr>
      <w:r>
        <w:rPr>
          <w:b/>
          <w:i/>
        </w:rPr>
        <w:t>ka)</w:t>
      </w:r>
      <w:r>
        <w:tab/>
      </w:r>
      <w:r>
        <w:rPr>
          <w:b/>
          <w:i/>
        </w:rPr>
        <w:t>w stosownych przypadkach prawa własności intelektualnej istniejące w odniesieniu do LMR.</w:t>
      </w:r>
      <w:r w:rsidR="00A77FBE">
        <w:rPr>
          <w:b/>
        </w:rPr>
        <w:t xml:space="preserve"> [</w:t>
      </w:r>
      <w:r w:rsidR="00A0113C">
        <w:rPr>
          <w:b/>
        </w:rPr>
        <w:t>Popr.</w:t>
      </w:r>
      <w:r w:rsidR="00A77FBE">
        <w:rPr>
          <w:b/>
        </w:rPr>
        <w:t> 135]</w:t>
      </w:r>
    </w:p>
    <w:p w:rsidR="006C354F" w:rsidRDefault="006C354F" w:rsidP="006845F1">
      <w:pPr>
        <w:spacing w:before="120" w:after="120" w:line="360" w:lineRule="auto"/>
        <w:ind w:left="850" w:hanging="850"/>
      </w:pPr>
      <w:r>
        <w:t>2.</w:t>
      </w:r>
      <w:r>
        <w:tab/>
        <w:t>Bez uszczerbku dla ust. 1 niniejszego artykułu i art. 5 ust. 1 lit. c) państwa członkowskie przechowują oddzielnie LMR, który podlega dalszemu rozmnażaniu wegetatywnemu, i identyfikują go jako taki. Taki LMR musi zostać zebrany z jednej jednostki zatwierdzenia w ramach kategorii „wyselekcjonowany”, „kwalifikowany” i „przetestowany”. W takich przypadkach wyprodukowany LMR otrzymuje tę samą kategorię co oryginalny LMR.</w:t>
      </w:r>
    </w:p>
    <w:p w:rsidR="006C354F" w:rsidRDefault="006C354F" w:rsidP="006845F1">
      <w:pPr>
        <w:spacing w:before="120" w:after="120" w:line="360" w:lineRule="auto"/>
        <w:ind w:left="850" w:hanging="850"/>
      </w:pPr>
      <w:r>
        <w:t>3.</w:t>
      </w:r>
      <w:r>
        <w:tab/>
        <w:t>Bez uszczerbku dla ust. 1 mieszanie LMR podlega następującym warunkom, w stosownych przypadkach:</w:t>
      </w:r>
    </w:p>
    <w:p w:rsidR="006C354F" w:rsidRDefault="006C354F" w:rsidP="006845F1">
      <w:pPr>
        <w:spacing w:before="120" w:after="120" w:line="360" w:lineRule="auto"/>
        <w:ind w:left="1416" w:hanging="566"/>
      </w:pPr>
      <w:r>
        <w:t>a)</w:t>
      </w:r>
      <w:r>
        <w:tab/>
        <w:t>w kategorii „ze zidentyfikowanego źródła” lub „wyselekcjonowany” mieszanie dotyczy LMR pochodzącego z przynajmniej dwóch jednostek zatwierdzenia w jednym regionie pochodzenia;</w:t>
      </w:r>
    </w:p>
    <w:p w:rsidR="006C354F" w:rsidRDefault="006C354F" w:rsidP="006845F1">
      <w:pPr>
        <w:spacing w:before="120" w:after="120" w:line="360" w:lineRule="auto"/>
        <w:ind w:left="1416" w:hanging="566"/>
      </w:pPr>
      <w:r>
        <w:t>b)</w:t>
      </w:r>
      <w:r>
        <w:tab/>
        <w:t>w przypadku mieszania LMR w ramach jednego regionu pochodzenia, pochodzącego ze źródeł nasion i drzewostanów w kategorii „ze zidentyfikowanego źródła” nową, mieszaną partię certyfikuje się jako „LMR pochodzący ze źródła nasion”;</w:t>
      </w:r>
    </w:p>
    <w:p w:rsidR="00A77FBE" w:rsidRDefault="00A77FBE">
      <w:pPr>
        <w:widowControl/>
      </w:pPr>
      <w:r>
        <w:br w:type="page"/>
      </w:r>
    </w:p>
    <w:p w:rsidR="006C354F" w:rsidRDefault="006C354F" w:rsidP="006845F1">
      <w:pPr>
        <w:spacing w:before="120" w:after="120" w:line="360" w:lineRule="auto"/>
        <w:ind w:left="1416" w:hanging="566"/>
      </w:pPr>
      <w:r>
        <w:lastRenderedPageBreak/>
        <w:t>c)</w:t>
      </w:r>
      <w:r>
        <w:tab/>
        <w:t>w przypadku mieszania LMR pochodzącego z nieautochtonicznego lub nierodzimego materiału podstawowego z LMR pochodzącym z materiału podstawowego o nieznanym pochodzeniu pierwotnym nową, mieszaną partię certyfikuje się jako materiał „nieznanego pochodzenia pierwotnego”;</w:t>
      </w:r>
    </w:p>
    <w:p w:rsidR="006C354F" w:rsidRDefault="006C354F" w:rsidP="006845F1">
      <w:pPr>
        <w:spacing w:before="120" w:after="120" w:line="360" w:lineRule="auto"/>
        <w:ind w:left="1416" w:hanging="566"/>
      </w:pPr>
      <w:r>
        <w:t>d)</w:t>
      </w:r>
      <w:r>
        <w:tab/>
        <w:t>w przypadku mieszania LMR pochodzącego z jednej jednostki zatwierdzenia z różnych lat dojrzewania rejestruje się rzeczywiste lata dojrzewania i proporcje LMR z każdego roku.</w:t>
      </w:r>
    </w:p>
    <w:p w:rsidR="006C354F" w:rsidRDefault="006C354F" w:rsidP="006845F1">
      <w:pPr>
        <w:spacing w:before="120" w:after="120" w:line="360" w:lineRule="auto"/>
        <w:ind w:left="850"/>
      </w:pPr>
      <w:r>
        <w:t>W przypadku mieszania zgodnie z akapitem pierwszym lit. a), b) lub c) kod identyfikacyjny regionu pochodzenia można zastąpić odnośnikiem w rejestrze, jak w ust. 1 lit. f).</w:t>
      </w:r>
    </w:p>
    <w:p w:rsidR="006C354F" w:rsidRDefault="006C354F" w:rsidP="006845F1">
      <w:pPr>
        <w:spacing w:before="120" w:after="120" w:line="360" w:lineRule="auto"/>
        <w:jc w:val="center"/>
      </w:pPr>
      <w:r>
        <w:t>Artykuł 16</w:t>
      </w:r>
      <w:r>
        <w:br/>
        <w:t>Etykieta urzędowa</w:t>
      </w:r>
    </w:p>
    <w:p w:rsidR="006C354F" w:rsidRPr="00A77FBE" w:rsidRDefault="006C354F" w:rsidP="006845F1">
      <w:pPr>
        <w:spacing w:before="120" w:after="120" w:line="360" w:lineRule="auto"/>
        <w:ind w:left="850" w:hanging="850"/>
        <w:rPr>
          <w:b/>
        </w:rPr>
      </w:pPr>
      <w:r>
        <w:t>1.</w:t>
      </w:r>
      <w:r>
        <w:tab/>
        <w:t>Etykietę urzędową wydaje właściwy organ</w:t>
      </w:r>
      <w:r>
        <w:rPr>
          <w:b/>
          <w:i/>
        </w:rPr>
        <w:t xml:space="preserve"> lub podmiot profesjonalny pod nadzorem urzędowym właściwego organu</w:t>
      </w:r>
      <w:r>
        <w:t xml:space="preserve"> dla każdej partii LMR i etykieta ta stanowi poświadczenie zgodności tego LMR z </w:t>
      </w:r>
      <w:r>
        <w:rPr>
          <w:strike/>
        </w:rPr>
        <w:t xml:space="preserve">wymogami, o których mowa w </w:t>
      </w:r>
      <w:r>
        <w:t>art. 5.</w:t>
      </w:r>
      <w:r w:rsidR="00A77FBE">
        <w:rPr>
          <w:b/>
        </w:rPr>
        <w:t xml:space="preserve"> [</w:t>
      </w:r>
      <w:r w:rsidR="00A0113C">
        <w:rPr>
          <w:b/>
        </w:rPr>
        <w:t>Popr.</w:t>
      </w:r>
      <w:r w:rsidR="00A77FBE">
        <w:rPr>
          <w:b/>
        </w:rPr>
        <w:t> 66]</w:t>
      </w:r>
    </w:p>
    <w:p w:rsidR="00A77FBE" w:rsidRDefault="00A77FBE">
      <w:pPr>
        <w:widowControl/>
        <w:rPr>
          <w:b/>
          <w:i/>
        </w:rPr>
      </w:pPr>
      <w:r>
        <w:rPr>
          <w:b/>
          <w:i/>
        </w:rPr>
        <w:br w:type="page"/>
      </w:r>
    </w:p>
    <w:p w:rsidR="006C354F" w:rsidRDefault="006C354F" w:rsidP="006845F1">
      <w:pPr>
        <w:spacing w:before="120" w:after="120" w:line="360" w:lineRule="auto"/>
        <w:ind w:left="850" w:hanging="850"/>
      </w:pPr>
      <w:r>
        <w:rPr>
          <w:b/>
          <w:i/>
        </w:rPr>
        <w:lastRenderedPageBreak/>
        <w:t>1a.</w:t>
      </w:r>
      <w:r>
        <w:tab/>
      </w:r>
      <w:r>
        <w:rPr>
          <w:b/>
          <w:i/>
        </w:rPr>
        <w:t>Etykietę urzędową drukuje:</w:t>
      </w:r>
    </w:p>
    <w:p w:rsidR="006C354F" w:rsidRDefault="006C354F" w:rsidP="006845F1">
      <w:pPr>
        <w:spacing w:before="120" w:after="120" w:line="360" w:lineRule="auto"/>
        <w:ind w:left="1416" w:hanging="566"/>
      </w:pPr>
      <w:r>
        <w:rPr>
          <w:b/>
          <w:i/>
        </w:rPr>
        <w:t>a)</w:t>
      </w:r>
      <w:r>
        <w:tab/>
      </w:r>
      <w:r>
        <w:rPr>
          <w:b/>
          <w:i/>
        </w:rPr>
        <w:t>właściwy organ na wniosek podmiotu profesjonalnego; lub</w:t>
      </w:r>
    </w:p>
    <w:p w:rsidR="006C354F" w:rsidRPr="00A77FBE" w:rsidRDefault="006C354F" w:rsidP="006845F1">
      <w:pPr>
        <w:spacing w:before="120" w:after="120" w:line="360" w:lineRule="auto"/>
        <w:ind w:left="1416" w:hanging="566"/>
        <w:rPr>
          <w:b/>
        </w:rPr>
      </w:pPr>
      <w:r>
        <w:rPr>
          <w:b/>
          <w:i/>
        </w:rPr>
        <w:t>b)</w:t>
      </w:r>
      <w:r>
        <w:tab/>
      </w:r>
      <w:r>
        <w:rPr>
          <w:b/>
          <w:i/>
        </w:rPr>
        <w:t>podmiot profesjonalny pod nadzorem urzędowym właściwego organu.</w:t>
      </w:r>
      <w:r w:rsidR="00A77FBE">
        <w:rPr>
          <w:b/>
        </w:rPr>
        <w:t xml:space="preserve"> [</w:t>
      </w:r>
      <w:r w:rsidR="00A0113C">
        <w:rPr>
          <w:b/>
        </w:rPr>
        <w:t>Popr.</w:t>
      </w:r>
      <w:r w:rsidR="00A77FBE">
        <w:rPr>
          <w:b/>
        </w:rPr>
        <w:t> 67]</w:t>
      </w:r>
    </w:p>
    <w:p w:rsidR="006C354F" w:rsidRPr="00A77FBE" w:rsidRDefault="006C354F" w:rsidP="006845F1">
      <w:pPr>
        <w:spacing w:before="120" w:after="120" w:line="360" w:lineRule="auto"/>
        <w:ind w:left="850" w:hanging="850"/>
        <w:rPr>
          <w:b/>
        </w:rPr>
      </w:pPr>
      <w:r>
        <w:t>2.</w:t>
      </w:r>
      <w:r>
        <w:tab/>
      </w:r>
      <w:r>
        <w:rPr>
          <w:strike/>
        </w:rPr>
        <w:t xml:space="preserve">Właściwe organy zezwalają podmiotowi profesjonalnemu na wydrukowanie etykiety urzędowej po poświadczeniu przez właściwy zgodności tego LMR z wymogami, o których mowa w art. 5. </w:t>
      </w:r>
      <w:r>
        <w:t xml:space="preserve">Podmiotowi profesjonalnemu zezwala się na </w:t>
      </w:r>
      <w:r>
        <w:rPr>
          <w:b/>
          <w:i/>
        </w:rPr>
        <w:t xml:space="preserve">wydanie oraz/lub </w:t>
      </w:r>
      <w:r>
        <w:t xml:space="preserve">wydrukowanie </w:t>
      </w:r>
      <w:r>
        <w:rPr>
          <w:strike/>
        </w:rPr>
        <w:t xml:space="preserve">tej </w:t>
      </w:r>
      <w:r>
        <w:t>etykiety</w:t>
      </w:r>
      <w:r>
        <w:rPr>
          <w:b/>
          <w:i/>
        </w:rPr>
        <w:t xml:space="preserve"> urzędowej</w:t>
      </w:r>
      <w:r>
        <w:t xml:space="preserve">, jeżeli na podstawie audytu właściwy organ stwierdził, że podmiot posiada </w:t>
      </w:r>
      <w:r>
        <w:rPr>
          <w:b/>
          <w:i/>
        </w:rPr>
        <w:t xml:space="preserve">wystarczające kompetencje, </w:t>
      </w:r>
      <w:r>
        <w:t>infrastrukturę i zasoby</w:t>
      </w:r>
      <w:r>
        <w:rPr>
          <w:strike/>
        </w:rPr>
        <w:t xml:space="preserve"> do wydrukowania etykiety urzędowej</w:t>
      </w:r>
      <w:r>
        <w:t>.</w:t>
      </w:r>
      <w:r w:rsidR="00A77FBE">
        <w:rPr>
          <w:b/>
        </w:rPr>
        <w:t xml:space="preserve"> [</w:t>
      </w:r>
      <w:r w:rsidR="00A0113C">
        <w:rPr>
          <w:b/>
        </w:rPr>
        <w:t>Popr.</w:t>
      </w:r>
      <w:r w:rsidR="00A77FBE">
        <w:rPr>
          <w:b/>
        </w:rPr>
        <w:t> 68]</w:t>
      </w:r>
    </w:p>
    <w:p w:rsidR="006C354F" w:rsidRDefault="006C354F" w:rsidP="006845F1">
      <w:pPr>
        <w:spacing w:before="120" w:after="120" w:line="360" w:lineRule="auto"/>
        <w:ind w:left="850" w:hanging="850"/>
      </w:pPr>
      <w:r>
        <w:t>3.</w:t>
      </w:r>
      <w:r>
        <w:tab/>
        <w:t>Właściwy organ regularnie przeprowadza kontrolę w celu sprawdzenia, czy podmiot profesjonalny spełnia wymogi, o których mowa w ust. 2.</w:t>
      </w:r>
    </w:p>
    <w:p w:rsidR="006C354F" w:rsidRDefault="006C354F" w:rsidP="006845F1">
      <w:pPr>
        <w:spacing w:before="120" w:after="120" w:line="360" w:lineRule="auto"/>
        <w:ind w:left="850"/>
      </w:pPr>
      <w:r>
        <w:t>Jeżeli po udzieleniu zezwolenia, o którym mowa w ust. 2, właściwy organ ustali, że podmiot profesjonalny nie spełnia wymogów, o których mowa w tym ustępie, bezzwłocznie cofa lub stosownie zmienia zezwolenie.</w:t>
      </w:r>
    </w:p>
    <w:p w:rsidR="00A77FBE" w:rsidRDefault="00A77FBE">
      <w:pPr>
        <w:widowControl/>
      </w:pPr>
      <w:r>
        <w:br w:type="page"/>
      </w:r>
    </w:p>
    <w:p w:rsidR="006C354F" w:rsidRPr="00A77FBE" w:rsidRDefault="006C354F" w:rsidP="006845F1">
      <w:pPr>
        <w:spacing w:before="120" w:after="120" w:line="360" w:lineRule="auto"/>
        <w:ind w:left="850" w:hanging="850"/>
        <w:rPr>
          <w:b/>
        </w:rPr>
      </w:pPr>
      <w:r>
        <w:lastRenderedPageBreak/>
        <w:t>4.</w:t>
      </w:r>
      <w:r>
        <w:tab/>
        <w:t xml:space="preserve">Oprócz informacji wymaganych na podstawie art. 15 ust. 1 etykieta urzędowa </w:t>
      </w:r>
      <w:proofErr w:type="spellStart"/>
      <w:r>
        <w:rPr>
          <w:strike/>
        </w:rPr>
        <w:t>zawiera</w:t>
      </w:r>
      <w:r>
        <w:rPr>
          <w:b/>
          <w:i/>
        </w:rPr>
        <w:t>lub</w:t>
      </w:r>
      <w:proofErr w:type="spellEnd"/>
      <w:r>
        <w:rPr>
          <w:b/>
          <w:i/>
        </w:rPr>
        <w:t xml:space="preserve"> inny pochodzący od dostawcy dokument z informacjami wymaganymi na mocy wspomnianego artykułu zawierają</w:t>
      </w:r>
      <w:r>
        <w:t xml:space="preserve"> wszystkie następujące informacje:</w:t>
      </w:r>
      <w:r w:rsidR="00A77FBE">
        <w:rPr>
          <w:b/>
        </w:rPr>
        <w:t xml:space="preserve"> [</w:t>
      </w:r>
      <w:r w:rsidR="00A0113C">
        <w:rPr>
          <w:b/>
        </w:rPr>
        <w:t>Popr.</w:t>
      </w:r>
      <w:r w:rsidR="00A77FBE">
        <w:rPr>
          <w:b/>
        </w:rPr>
        <w:t> 69]</w:t>
      </w:r>
    </w:p>
    <w:p w:rsidR="006C354F" w:rsidRDefault="006C354F" w:rsidP="006845F1">
      <w:pPr>
        <w:spacing w:before="120" w:after="120" w:line="360" w:lineRule="auto"/>
        <w:ind w:left="1416" w:hanging="566"/>
      </w:pPr>
      <w:r>
        <w:t>a)</w:t>
      </w:r>
      <w:r>
        <w:tab/>
        <w:t>numer lub numery certyfikatu wydanego zgodnie z art. 14 lub odnośnik do innego dostępnego dokumentu identyfikującego mieszankę, zgodnie z art. 14 ust. 3;</w:t>
      </w:r>
    </w:p>
    <w:p w:rsidR="006C354F" w:rsidRPr="00A77FBE" w:rsidRDefault="006C354F" w:rsidP="006845F1">
      <w:pPr>
        <w:spacing w:before="120" w:after="120" w:line="360" w:lineRule="auto"/>
        <w:ind w:left="1416" w:hanging="566"/>
        <w:rPr>
          <w:b/>
        </w:rPr>
      </w:pPr>
      <w:r>
        <w:t>b)</w:t>
      </w:r>
      <w:r>
        <w:tab/>
      </w:r>
      <w:r>
        <w:rPr>
          <w:strike/>
        </w:rPr>
        <w:t xml:space="preserve">nazwę podmiotu </w:t>
      </w:r>
      <w:proofErr w:type="spellStart"/>
      <w:r>
        <w:rPr>
          <w:strike/>
        </w:rPr>
        <w:t>profesjonalnego</w:t>
      </w:r>
      <w:r>
        <w:rPr>
          <w:b/>
          <w:i/>
        </w:rPr>
        <w:t>nazwy</w:t>
      </w:r>
      <w:proofErr w:type="spellEnd"/>
      <w:r>
        <w:rPr>
          <w:b/>
          <w:i/>
        </w:rPr>
        <w:t xml:space="preserve"> dostarczających podmiotów profesjonalnych, w tym ich adresy i numery rejestracyjne oraz nazwy odbiorców, w tym ich adresy</w:t>
      </w:r>
      <w:r>
        <w:t>;</w:t>
      </w:r>
      <w:r w:rsidR="00A77FBE">
        <w:rPr>
          <w:b/>
        </w:rPr>
        <w:t xml:space="preserve"> [</w:t>
      </w:r>
      <w:r w:rsidR="00A0113C">
        <w:rPr>
          <w:b/>
        </w:rPr>
        <w:t>Popr.</w:t>
      </w:r>
      <w:r w:rsidR="00A77FBE">
        <w:rPr>
          <w:b/>
        </w:rPr>
        <w:t> 70]</w:t>
      </w:r>
    </w:p>
    <w:p w:rsidR="006C354F" w:rsidRDefault="006C354F" w:rsidP="006845F1">
      <w:pPr>
        <w:spacing w:before="120" w:after="120" w:line="360" w:lineRule="auto"/>
        <w:ind w:left="1416" w:hanging="566"/>
      </w:pPr>
      <w:r>
        <w:t>c)</w:t>
      </w:r>
      <w:r>
        <w:tab/>
        <w:t>dostarczoną ilość;</w:t>
      </w:r>
    </w:p>
    <w:p w:rsidR="006C354F" w:rsidRDefault="006C354F" w:rsidP="006845F1">
      <w:pPr>
        <w:spacing w:before="120" w:after="120" w:line="360" w:lineRule="auto"/>
        <w:ind w:left="1416" w:hanging="566"/>
      </w:pPr>
      <w:r>
        <w:t>d)</w:t>
      </w:r>
      <w:r>
        <w:tab/>
        <w:t>w przypadku LMR kategorii „przetestowany”, którego materiał podstawowy został zatwierdzony na podstawie art. 4, słowa „tymczasowo zatwierdzony”;</w:t>
      </w:r>
    </w:p>
    <w:p w:rsidR="006C354F" w:rsidRDefault="006C354F" w:rsidP="006845F1">
      <w:pPr>
        <w:spacing w:before="120" w:after="120" w:line="360" w:lineRule="auto"/>
        <w:ind w:left="1416" w:hanging="566"/>
      </w:pPr>
      <w:r>
        <w:t>e)</w:t>
      </w:r>
      <w:r>
        <w:tab/>
        <w:t xml:space="preserve">czy </w:t>
      </w:r>
      <w:r w:rsidR="00A77FBE">
        <w:t>LMR był rozmnażany wegetatywnie;</w:t>
      </w:r>
    </w:p>
    <w:p w:rsidR="006C354F" w:rsidRPr="00A77FBE" w:rsidRDefault="006C354F" w:rsidP="006845F1">
      <w:pPr>
        <w:spacing w:before="120" w:after="120" w:line="360" w:lineRule="auto"/>
        <w:ind w:left="1416" w:hanging="566"/>
        <w:rPr>
          <w:b/>
        </w:rPr>
      </w:pPr>
      <w:proofErr w:type="spellStart"/>
      <w:r>
        <w:rPr>
          <w:b/>
          <w:i/>
        </w:rPr>
        <w:t>ea</w:t>
      </w:r>
      <w:proofErr w:type="spellEnd"/>
      <w:r>
        <w:rPr>
          <w:b/>
          <w:i/>
        </w:rPr>
        <w:t>)</w:t>
      </w:r>
      <w:r>
        <w:tab/>
      </w:r>
      <w:r>
        <w:rPr>
          <w:b/>
          <w:i/>
        </w:rPr>
        <w:t>kod QR z instrukcjami dotyczącymi sposobu obchodzenia się z LMR oraz jego przechowywania i sadzenia.</w:t>
      </w:r>
      <w:r w:rsidR="00A77FBE">
        <w:rPr>
          <w:b/>
        </w:rPr>
        <w:t xml:space="preserve"> [</w:t>
      </w:r>
      <w:r w:rsidR="00A0113C">
        <w:rPr>
          <w:b/>
        </w:rPr>
        <w:t>Popr.</w:t>
      </w:r>
      <w:r w:rsidR="00A77FBE">
        <w:rPr>
          <w:b/>
        </w:rPr>
        <w:t> 71]</w:t>
      </w:r>
    </w:p>
    <w:p w:rsidR="00A77FBE" w:rsidRDefault="00A77FBE">
      <w:pPr>
        <w:widowControl/>
      </w:pPr>
      <w:r>
        <w:br w:type="page"/>
      </w:r>
    </w:p>
    <w:p w:rsidR="006C354F" w:rsidRDefault="006C354F" w:rsidP="006845F1">
      <w:pPr>
        <w:spacing w:before="120" w:after="120" w:line="360" w:lineRule="auto"/>
        <w:ind w:left="850" w:hanging="850"/>
      </w:pPr>
      <w:r>
        <w:lastRenderedPageBreak/>
        <w:t>5.</w:t>
      </w:r>
      <w:r>
        <w:tab/>
        <w:t>Komisja określa, w drodze aktów wykonawczych, poniższe elementy dotyczące etykiety urzędowej:</w:t>
      </w:r>
    </w:p>
    <w:p w:rsidR="006C354F" w:rsidRDefault="006C354F" w:rsidP="006845F1">
      <w:pPr>
        <w:spacing w:before="120" w:after="120" w:line="360" w:lineRule="auto"/>
        <w:ind w:left="1416" w:hanging="566"/>
      </w:pPr>
      <w:r>
        <w:t>a)</w:t>
      </w:r>
      <w:r>
        <w:tab/>
        <w:t>treść etykiety urzędowej;</w:t>
      </w:r>
    </w:p>
    <w:p w:rsidR="006C354F" w:rsidRDefault="006C354F" w:rsidP="006845F1">
      <w:pPr>
        <w:spacing w:before="120" w:after="120" w:line="360" w:lineRule="auto"/>
        <w:ind w:left="1416" w:hanging="566"/>
      </w:pPr>
      <w:r>
        <w:t>b)</w:t>
      </w:r>
      <w:r>
        <w:tab/>
        <w:t>informacje dodatkowe w przypadku nasion i małych ilości nasion;</w:t>
      </w:r>
    </w:p>
    <w:p w:rsidR="006C354F" w:rsidRPr="00A77FBE" w:rsidRDefault="006C354F" w:rsidP="006845F1">
      <w:pPr>
        <w:spacing w:before="120" w:after="120" w:line="360" w:lineRule="auto"/>
        <w:ind w:left="1416" w:hanging="566"/>
        <w:rPr>
          <w:b/>
        </w:rPr>
      </w:pPr>
      <w:r>
        <w:rPr>
          <w:strike/>
        </w:rPr>
        <w:t>c)</w:t>
      </w:r>
      <w:r>
        <w:tab/>
      </w:r>
      <w:r>
        <w:rPr>
          <w:strike/>
        </w:rPr>
        <w:t>kolor etykiety dla szczególnych kategorii lub innych rodzajów LMR;</w:t>
      </w:r>
      <w:r w:rsidR="00A77FBE">
        <w:rPr>
          <w:b/>
          <w:strike/>
        </w:rPr>
        <w:t xml:space="preserve"> </w:t>
      </w:r>
      <w:r w:rsidR="00A77FBE" w:rsidRPr="00A77FBE">
        <w:rPr>
          <w:b/>
        </w:rPr>
        <w:t>[</w:t>
      </w:r>
      <w:r w:rsidR="00A0113C">
        <w:rPr>
          <w:b/>
        </w:rPr>
        <w:t>Popr.</w:t>
      </w:r>
      <w:r w:rsidR="00A77FBE" w:rsidRPr="00A77FBE">
        <w:rPr>
          <w:b/>
        </w:rPr>
        <w:t> 72</w:t>
      </w:r>
      <w:r w:rsidR="00A77FBE">
        <w:rPr>
          <w:b/>
          <w:strike/>
        </w:rPr>
        <w:t>]</w:t>
      </w:r>
    </w:p>
    <w:p w:rsidR="006C354F" w:rsidRDefault="006C354F" w:rsidP="006845F1">
      <w:pPr>
        <w:spacing w:before="120" w:after="120" w:line="360" w:lineRule="auto"/>
        <w:ind w:left="1416" w:hanging="566"/>
      </w:pPr>
      <w:r>
        <w:t>d)</w:t>
      </w:r>
      <w:r>
        <w:tab/>
        <w:t>informacje dodatkowe w przypadku poszc</w:t>
      </w:r>
      <w:r w:rsidR="00A77FBE">
        <w:t>zególnych rodzajów lub gatunków;</w:t>
      </w:r>
    </w:p>
    <w:p w:rsidR="006C354F" w:rsidRPr="00A77FBE" w:rsidRDefault="006C354F" w:rsidP="006845F1">
      <w:pPr>
        <w:spacing w:before="120" w:after="120" w:line="360" w:lineRule="auto"/>
        <w:ind w:left="1416" w:hanging="566"/>
        <w:rPr>
          <w:b/>
        </w:rPr>
      </w:pPr>
      <w:r>
        <w:rPr>
          <w:b/>
          <w:i/>
        </w:rPr>
        <w:t>da)</w:t>
      </w:r>
      <w:r>
        <w:tab/>
      </w:r>
      <w:r>
        <w:rPr>
          <w:b/>
          <w:i/>
        </w:rPr>
        <w:t>wskazanie, czy materiał jest produktem modyfikacji genetycznej zgodnie z dyrektywą 2001/18/WE.</w:t>
      </w:r>
      <w:r w:rsidR="00A77FBE">
        <w:rPr>
          <w:b/>
        </w:rPr>
        <w:t xml:space="preserve"> [</w:t>
      </w:r>
      <w:r w:rsidR="00A0113C">
        <w:rPr>
          <w:b/>
        </w:rPr>
        <w:t>Popr.</w:t>
      </w:r>
      <w:r w:rsidR="00A77FBE">
        <w:rPr>
          <w:b/>
        </w:rPr>
        <w:t> 136]</w:t>
      </w:r>
    </w:p>
    <w:p w:rsidR="006C354F" w:rsidRDefault="006C354F" w:rsidP="006845F1">
      <w:pPr>
        <w:spacing w:before="120" w:after="120" w:line="360" w:lineRule="auto"/>
        <w:ind w:left="850"/>
      </w:pPr>
      <w:r>
        <w:t>Te akty wykonawcze przyjmuje się zgodnie z procedurą sprawdzającą, o której mowa w art. 27 ust. 2.</w:t>
      </w:r>
    </w:p>
    <w:p w:rsidR="006C354F" w:rsidRPr="00A77FBE" w:rsidRDefault="006C354F" w:rsidP="006845F1">
      <w:pPr>
        <w:spacing w:before="120" w:after="120" w:line="360" w:lineRule="auto"/>
        <w:ind w:left="850" w:hanging="850"/>
        <w:rPr>
          <w:b/>
        </w:rPr>
      </w:pPr>
      <w:r>
        <w:rPr>
          <w:b/>
          <w:i/>
        </w:rPr>
        <w:t>5a.</w:t>
      </w:r>
      <w:r>
        <w:tab/>
      </w:r>
      <w:r>
        <w:rPr>
          <w:b/>
          <w:i/>
        </w:rPr>
        <w:t>Jeżeli podmiot profesjonalny stosuje kolorową etykietę lub kolorowy dokument w odniesieniu do dowolnej kategorii LMR, kolor etykiety lub dokumentu dostawcy musi odpowiadać kolorowi wskazanemu w załączniku VI.</w:t>
      </w:r>
      <w:r w:rsidR="00A77FBE">
        <w:rPr>
          <w:b/>
        </w:rPr>
        <w:t xml:space="preserve"> [</w:t>
      </w:r>
      <w:r w:rsidR="00A0113C">
        <w:rPr>
          <w:b/>
        </w:rPr>
        <w:t>Popr.</w:t>
      </w:r>
      <w:r w:rsidR="00A77FBE">
        <w:rPr>
          <w:b/>
        </w:rPr>
        <w:t> 73]</w:t>
      </w:r>
    </w:p>
    <w:p w:rsidR="00A77FBE" w:rsidRDefault="00A77FBE">
      <w:pPr>
        <w:widowControl/>
      </w:pPr>
      <w:r>
        <w:br w:type="page"/>
      </w:r>
    </w:p>
    <w:p w:rsidR="006C354F" w:rsidRDefault="006C354F" w:rsidP="006845F1">
      <w:pPr>
        <w:spacing w:before="120" w:after="120" w:line="360" w:lineRule="auto"/>
        <w:ind w:left="850" w:hanging="850"/>
      </w:pPr>
      <w:r>
        <w:lastRenderedPageBreak/>
        <w:t>6.</w:t>
      </w:r>
      <w:r>
        <w:tab/>
        <w:t>Etykietę urzędową można również wydać w formie elektronicznej („elektroniczna etykieta urzędowa”).</w:t>
      </w:r>
    </w:p>
    <w:p w:rsidR="006C354F" w:rsidRDefault="006C354F" w:rsidP="006845F1">
      <w:pPr>
        <w:spacing w:before="120" w:after="120" w:line="360" w:lineRule="auto"/>
        <w:ind w:left="850"/>
      </w:pPr>
      <w:r>
        <w:t>Komisja może, w drodze aktów wykonawczych, określić rozwiązania techniczne dotyczące wydawania elektronicznych etykiet urzędowych, aby zapewnić ich zgodność z niniejszym artykułem oraz odpowiedni, wiarygodny i skuteczny sposób wydawania tych etykiet urzędowych. Te akty wykonawcze przyjmuje się zgodnie z procedurą sprawdzającą, o której mowa w art. 27 ust. 2.</w:t>
      </w:r>
    </w:p>
    <w:p w:rsidR="006C354F" w:rsidRDefault="006C354F" w:rsidP="006845F1">
      <w:pPr>
        <w:spacing w:before="120" w:after="120" w:line="360" w:lineRule="auto"/>
        <w:ind w:left="850" w:hanging="850"/>
      </w:pPr>
      <w:r>
        <w:t>7.</w:t>
      </w:r>
      <w:r>
        <w:tab/>
        <w:t>Komisja jest uprawniona do przyjmowania, zgodnie z art. 26, aktów delegowanych w celu uzupełnienia niniejszego artykułu o przepisy dotyczące:</w:t>
      </w:r>
    </w:p>
    <w:p w:rsidR="006C354F" w:rsidRDefault="006C354F" w:rsidP="006845F1">
      <w:pPr>
        <w:spacing w:before="120" w:after="120" w:line="360" w:lineRule="auto"/>
        <w:ind w:left="1416" w:hanging="566"/>
      </w:pPr>
      <w:r>
        <w:t>a)</w:t>
      </w:r>
      <w:r>
        <w:tab/>
        <w:t>cyfrowego rejestrowania wszystkich działań podejmowanych przez podmioty profesjonalne i właściwe organy w celu wydania etykiet urzędowych;</w:t>
      </w:r>
    </w:p>
    <w:p w:rsidR="006C354F" w:rsidRDefault="006C354F" w:rsidP="006845F1">
      <w:pPr>
        <w:spacing w:before="120" w:after="120" w:line="360" w:lineRule="auto"/>
        <w:ind w:left="1416" w:hanging="566"/>
      </w:pPr>
      <w:r>
        <w:t>b)</w:t>
      </w:r>
      <w:r>
        <w:tab/>
        <w:t>ustanowienia scentralizowanej platformy łączącej państwa członkowskie i Komisję w celu ułatwienia przetwarzania tych rejestrów, korzystania z nich i dostępu do nich.</w:t>
      </w:r>
    </w:p>
    <w:p w:rsidR="00A77FBE" w:rsidRDefault="00A77FBE">
      <w:pPr>
        <w:widowControl/>
      </w:pPr>
      <w:r>
        <w:br w:type="page"/>
      </w:r>
    </w:p>
    <w:p w:rsidR="006C354F" w:rsidRDefault="006C354F" w:rsidP="006845F1">
      <w:pPr>
        <w:spacing w:before="120" w:after="120" w:line="360" w:lineRule="auto"/>
        <w:jc w:val="center"/>
      </w:pPr>
      <w:r>
        <w:lastRenderedPageBreak/>
        <w:t>Artykuł 17</w:t>
      </w:r>
      <w:r>
        <w:br/>
        <w:t>Opakowania jednostek nasiennych</w:t>
      </w:r>
    </w:p>
    <w:p w:rsidR="006C354F" w:rsidRPr="00A77FBE" w:rsidRDefault="006C354F" w:rsidP="006845F1">
      <w:pPr>
        <w:pStyle w:val="Applicationdirecte"/>
        <w:rPr>
          <w:b/>
          <w:lang w:val="pl-PL"/>
        </w:rPr>
      </w:pPr>
      <w:r w:rsidRPr="006C354F">
        <w:rPr>
          <w:lang w:val="pl-PL"/>
        </w:rPr>
        <w:t>Jednostki nasienne można wprowadzać do obrotu wyłącznie w zapieczętowanych opakowaniach, które po otwarciu stają się niezdatne do użytku.</w:t>
      </w:r>
      <w:r w:rsidRPr="006C354F">
        <w:rPr>
          <w:b/>
          <w:i/>
          <w:lang w:val="pl-PL"/>
        </w:rPr>
        <w:t xml:space="preserve"> Aby zapobiec gniciu LMR, sposób pakowania zapieczętowanego opakowania można dostosować do potrzeb danego LMR.</w:t>
      </w:r>
      <w:r w:rsidR="00A77FBE">
        <w:rPr>
          <w:b/>
          <w:lang w:val="pl-PL"/>
        </w:rPr>
        <w:t xml:space="preserve"> [</w:t>
      </w:r>
      <w:r w:rsidR="00A0113C">
        <w:rPr>
          <w:b/>
          <w:lang w:val="pl-PL"/>
        </w:rPr>
        <w:t>Popr.</w:t>
      </w:r>
      <w:r w:rsidR="00A77FBE">
        <w:rPr>
          <w:b/>
          <w:lang w:val="pl-PL"/>
        </w:rPr>
        <w:t> 74]</w:t>
      </w:r>
    </w:p>
    <w:p w:rsidR="006C354F" w:rsidRDefault="006C354F" w:rsidP="006845F1">
      <w:pPr>
        <w:spacing w:before="120" w:after="120" w:line="360" w:lineRule="auto"/>
        <w:jc w:val="center"/>
      </w:pPr>
      <w:r>
        <w:t xml:space="preserve">ROZDZIAŁ V </w:t>
      </w:r>
      <w:r>
        <w:br/>
        <w:t>ODSTĘPSTWA OD ART. 4</w:t>
      </w:r>
    </w:p>
    <w:p w:rsidR="006C354F" w:rsidRDefault="006C354F" w:rsidP="006845F1">
      <w:pPr>
        <w:spacing w:before="120" w:after="120" w:line="360" w:lineRule="auto"/>
        <w:jc w:val="center"/>
      </w:pPr>
      <w:r>
        <w:t>Artykuł 18</w:t>
      </w:r>
      <w:r>
        <w:br/>
        <w:t xml:space="preserve">Odstępstwo od obowiązku zatwierdzenia materiału </w:t>
      </w:r>
      <w:proofErr w:type="spellStart"/>
      <w:r>
        <w:t>podstawowegoprzeznaczonego</w:t>
      </w:r>
      <w:proofErr w:type="spellEnd"/>
      <w:r>
        <w:t xml:space="preserve"> do celów ochrony leśnych zasobów genetycznych</w:t>
      </w:r>
    </w:p>
    <w:p w:rsidR="006C354F" w:rsidRDefault="006C354F" w:rsidP="006845F1">
      <w:pPr>
        <w:spacing w:before="120" w:after="120" w:line="360" w:lineRule="auto"/>
        <w:ind w:left="850" w:hanging="850"/>
      </w:pPr>
      <w:r>
        <w:t>1.</w:t>
      </w:r>
      <w:r>
        <w:tab/>
        <w:t>Na zasadzie odstępstwa od art. 4 ust. 1 i 2 rejestracja w rejestrze krajowym materiału podstawowego przeznaczonego do celów ochrony leśnych zasobów genetycznych nie podlega zatwierdzeniu przez właściwe organy.</w:t>
      </w:r>
    </w:p>
    <w:p w:rsidR="006C354F" w:rsidRDefault="006C354F" w:rsidP="006845F1">
      <w:pPr>
        <w:spacing w:before="120" w:after="120" w:line="360" w:lineRule="auto"/>
        <w:ind w:left="850" w:hanging="850"/>
      </w:pPr>
      <w:r>
        <w:t>2.</w:t>
      </w:r>
      <w:r>
        <w:tab/>
        <w:t>Każdy podmiot profesjonalny rejestrujący materiał podstawowy do celów ochrony leśnych zasobów genetycznych stosowanych w leśnictwie powiadamia o tym materiale podstawowym właściwy organ w danym państwie członkowskim.</w:t>
      </w:r>
    </w:p>
    <w:p w:rsidR="00A77FBE" w:rsidRDefault="00A77FBE">
      <w:pPr>
        <w:widowControl/>
      </w:pPr>
      <w:r>
        <w:br w:type="page"/>
      </w:r>
    </w:p>
    <w:p w:rsidR="006C354F" w:rsidRDefault="006C354F" w:rsidP="006845F1">
      <w:pPr>
        <w:spacing w:before="120" w:after="120" w:line="360" w:lineRule="auto"/>
        <w:ind w:left="850" w:hanging="850"/>
      </w:pPr>
      <w:r>
        <w:lastRenderedPageBreak/>
        <w:t>3.</w:t>
      </w:r>
      <w:r>
        <w:tab/>
        <w:t>O materiale podstawowym, o którym mowa w ust. 1, powiadamia się właściwe organy zgodnie z formatem FOREMATIS.</w:t>
      </w:r>
    </w:p>
    <w:p w:rsidR="006C354F" w:rsidRDefault="006C354F" w:rsidP="006845F1">
      <w:pPr>
        <w:spacing w:before="120" w:after="120" w:line="360" w:lineRule="auto"/>
        <w:ind w:left="850"/>
      </w:pPr>
      <w:r>
        <w:t>Powiadomienie dotyczące materiału podstawowego musi odnosić się do jednostki zgłoszenia.</w:t>
      </w:r>
    </w:p>
    <w:p w:rsidR="006C354F" w:rsidRDefault="006C354F" w:rsidP="006845F1">
      <w:pPr>
        <w:spacing w:before="120" w:after="120" w:line="360" w:lineRule="auto"/>
        <w:ind w:left="850"/>
      </w:pPr>
      <w:r>
        <w:t>Każdą jednostkę zgłoszenia identyfikuje się za pomocą niepowtarzalnego odnośnika w rejestrze krajowym.</w:t>
      </w:r>
    </w:p>
    <w:p w:rsidR="006C354F" w:rsidRDefault="006C354F" w:rsidP="006845F1">
      <w:pPr>
        <w:spacing w:before="120" w:after="120" w:line="360" w:lineRule="auto"/>
        <w:ind w:left="850"/>
      </w:pPr>
      <w:r>
        <w:t xml:space="preserve">Powiadomienie zawiera </w:t>
      </w:r>
      <w:r>
        <w:rPr>
          <w:strike/>
        </w:rPr>
        <w:t xml:space="preserve">następujące </w:t>
      </w:r>
      <w:r>
        <w:t>informacje</w:t>
      </w:r>
      <w:r>
        <w:rPr>
          <w:strike/>
        </w:rPr>
        <w:t>:</w:t>
      </w:r>
      <w:r>
        <w:rPr>
          <w:b/>
          <w:i/>
        </w:rPr>
        <w:t>, o których mowa w art. 12 ust. 3.</w:t>
      </w:r>
    </w:p>
    <w:p w:rsidR="006C354F" w:rsidRDefault="006C354F" w:rsidP="006845F1">
      <w:pPr>
        <w:spacing w:before="120" w:after="120" w:line="360" w:lineRule="auto"/>
        <w:ind w:left="1416" w:hanging="566"/>
      </w:pPr>
      <w:r>
        <w:rPr>
          <w:strike/>
        </w:rPr>
        <w:t>a)</w:t>
      </w:r>
      <w:r>
        <w:tab/>
      </w:r>
      <w:r>
        <w:rPr>
          <w:strike/>
        </w:rPr>
        <w:t>nazwę botaniczną;</w:t>
      </w:r>
    </w:p>
    <w:p w:rsidR="006C354F" w:rsidRDefault="006C354F" w:rsidP="006845F1">
      <w:pPr>
        <w:spacing w:before="120" w:after="120" w:line="360" w:lineRule="auto"/>
        <w:ind w:left="1416" w:hanging="566"/>
      </w:pPr>
      <w:r>
        <w:rPr>
          <w:strike/>
        </w:rPr>
        <w:t>b)</w:t>
      </w:r>
      <w:r>
        <w:tab/>
      </w:r>
      <w:r>
        <w:rPr>
          <w:strike/>
        </w:rPr>
        <w:t>kategorię;</w:t>
      </w:r>
    </w:p>
    <w:p w:rsidR="006C354F" w:rsidRDefault="006C354F" w:rsidP="006845F1">
      <w:pPr>
        <w:spacing w:before="120" w:after="120" w:line="360" w:lineRule="auto"/>
        <w:ind w:left="1416" w:hanging="566"/>
      </w:pPr>
      <w:r>
        <w:rPr>
          <w:strike/>
        </w:rPr>
        <w:t>c)</w:t>
      </w:r>
      <w:r>
        <w:tab/>
      </w:r>
      <w:r>
        <w:rPr>
          <w:strike/>
        </w:rPr>
        <w:t>materiał podstawowy;</w:t>
      </w:r>
    </w:p>
    <w:p w:rsidR="006C354F" w:rsidRDefault="006C354F" w:rsidP="006845F1">
      <w:pPr>
        <w:spacing w:before="120" w:after="120" w:line="360" w:lineRule="auto"/>
        <w:ind w:left="1416" w:hanging="566"/>
      </w:pPr>
      <w:r>
        <w:rPr>
          <w:strike/>
        </w:rPr>
        <w:t>d)</w:t>
      </w:r>
      <w:r>
        <w:tab/>
      </w:r>
      <w:r>
        <w:rPr>
          <w:strike/>
        </w:rPr>
        <w:t>odnośnik w rejestrze lub, w stosownych przypadkach, jego skrót lub kod identyfikacyjny regionu pochodzenia;</w:t>
      </w:r>
    </w:p>
    <w:p w:rsidR="00A77FBE" w:rsidRDefault="00A77FBE">
      <w:pPr>
        <w:widowControl/>
        <w:rPr>
          <w:strike/>
        </w:rPr>
      </w:pPr>
      <w:r>
        <w:rPr>
          <w:strike/>
        </w:rPr>
        <w:br w:type="page"/>
      </w:r>
    </w:p>
    <w:p w:rsidR="006C354F" w:rsidRDefault="006C354F" w:rsidP="006845F1">
      <w:pPr>
        <w:spacing w:before="120" w:after="120" w:line="360" w:lineRule="auto"/>
        <w:ind w:left="1416" w:hanging="566"/>
      </w:pPr>
      <w:r>
        <w:rPr>
          <w:strike/>
        </w:rPr>
        <w:lastRenderedPageBreak/>
        <w:t>e)</w:t>
      </w:r>
      <w:r>
        <w:tab/>
      </w:r>
      <w:r>
        <w:rPr>
          <w:strike/>
        </w:rPr>
        <w:t>lokalizację: skróconą nazwę, w stosownych przypadkach, i region pochodzenia oraz rozpiętość południkową i równoleżnikową oraz zakres wysokości bezwzględnej;</w:t>
      </w:r>
    </w:p>
    <w:p w:rsidR="006C354F" w:rsidRDefault="006C354F" w:rsidP="006845F1">
      <w:pPr>
        <w:spacing w:before="120" w:after="120" w:line="360" w:lineRule="auto"/>
        <w:ind w:left="1416" w:hanging="566"/>
      </w:pPr>
      <w:r>
        <w:rPr>
          <w:strike/>
        </w:rPr>
        <w:t>f)</w:t>
      </w:r>
      <w:r>
        <w:tab/>
      </w:r>
      <w:r>
        <w:rPr>
          <w:strike/>
        </w:rPr>
        <w:t>obszar: wielkość źródła (źródeł) nasion lub drzewostanu (drzewostanów);</w:t>
      </w:r>
    </w:p>
    <w:p w:rsidR="006C354F" w:rsidRDefault="006C354F" w:rsidP="006845F1">
      <w:pPr>
        <w:spacing w:before="120" w:after="120" w:line="360" w:lineRule="auto"/>
        <w:ind w:left="1416" w:hanging="566"/>
      </w:pPr>
      <w:r>
        <w:rPr>
          <w:strike/>
        </w:rPr>
        <w:t>g)</w:t>
      </w:r>
      <w:r>
        <w:tab/>
      </w:r>
      <w:r>
        <w:rPr>
          <w:strike/>
        </w:rPr>
        <w:t>pochodzenie pierwotne: wskazanie, czy materiał podstawowy jest autochtoniczny/rodzimy, nieautochtoniczny/nierodzimy lub czy pochodzenie pierwotne jest nieznane. W przypadku nieautochtonicznego/nierodzimego materiału podstawowego podaje się pochodzenie pierwotne, jeśli jest znane;</w:t>
      </w:r>
    </w:p>
    <w:p w:rsidR="006C354F" w:rsidRPr="00A77FBE" w:rsidRDefault="006C354F" w:rsidP="006845F1">
      <w:pPr>
        <w:spacing w:before="120" w:after="120" w:line="360" w:lineRule="auto"/>
        <w:ind w:left="1416" w:hanging="566"/>
        <w:rPr>
          <w:b/>
        </w:rPr>
      </w:pPr>
      <w:r>
        <w:rPr>
          <w:strike/>
        </w:rPr>
        <w:t>h)</w:t>
      </w:r>
      <w:r>
        <w:tab/>
      </w:r>
      <w:r>
        <w:rPr>
          <w:strike/>
        </w:rPr>
        <w:t>cel: ochrona i zrównoważone użytkowanie zasobów genetycznych.</w:t>
      </w:r>
      <w:r w:rsidR="00A77FBE">
        <w:rPr>
          <w:b/>
          <w:strike/>
        </w:rPr>
        <w:t xml:space="preserve"> </w:t>
      </w:r>
      <w:r w:rsidR="00A77FBE" w:rsidRPr="00A77FBE">
        <w:rPr>
          <w:b/>
        </w:rPr>
        <w:t>[</w:t>
      </w:r>
      <w:r w:rsidR="00A0113C">
        <w:rPr>
          <w:b/>
        </w:rPr>
        <w:t>Popr.</w:t>
      </w:r>
      <w:r w:rsidR="00A77FBE" w:rsidRPr="00A77FBE">
        <w:rPr>
          <w:b/>
        </w:rPr>
        <w:t> 75]</w:t>
      </w:r>
    </w:p>
    <w:p w:rsidR="006C354F" w:rsidRDefault="006C354F" w:rsidP="006845F1">
      <w:pPr>
        <w:spacing w:before="120" w:after="120" w:line="360" w:lineRule="auto"/>
        <w:ind w:left="850" w:hanging="850"/>
      </w:pPr>
      <w:r>
        <w:t>4.</w:t>
      </w:r>
      <w:r>
        <w:tab/>
        <w:t>Komisja może, w drodze aktów wykonawczych, określić szczegółowe warunki w odniesieniu do wymogów dotyczących takiego powiadomienia i w odniesieniu do jego treści. W takich aktach wykonawczych bierze się pod uwagę rozwój mających zastosowanie norm międzynarodowych i przyjmuje się je zgodnie z procedurą sprawdzającą, o której mowa w art. 27 ust. 2.</w:t>
      </w:r>
    </w:p>
    <w:p w:rsidR="00A77FBE" w:rsidRDefault="00A77FBE">
      <w:pPr>
        <w:widowControl/>
      </w:pPr>
      <w:r>
        <w:br w:type="page"/>
      </w:r>
    </w:p>
    <w:p w:rsidR="006C354F" w:rsidRDefault="006C354F" w:rsidP="006845F1">
      <w:pPr>
        <w:spacing w:before="120" w:after="120" w:line="360" w:lineRule="auto"/>
        <w:jc w:val="center"/>
      </w:pPr>
      <w:r>
        <w:lastRenderedPageBreak/>
        <w:t>Artykuł 19</w:t>
      </w:r>
      <w:r>
        <w:br/>
        <w:t>Zatwierdzanie przez podmioty profesjonalne materiału podstawowego przeznaczonego do produkcji LMR kategorii „ze zidentyfikowanego źródła”</w:t>
      </w:r>
    </w:p>
    <w:p w:rsidR="006C354F" w:rsidRDefault="006C354F" w:rsidP="006845F1">
      <w:pPr>
        <w:spacing w:before="120" w:after="120" w:line="360" w:lineRule="auto"/>
      </w:pPr>
      <w:r>
        <w:t>Na zasadzie odstępstwa od art. 4 ust. 1 i 2 w przypadku określonych gatunków państwa członkowskie mogą upoważnić podmioty profesjonalne do zatwierdzenia materiału podstawowego przeznaczonego do produkcji LMR kategorii „ze zidentyfikowanego źródła”, jeżeli spełnione są następujące warunki:</w:t>
      </w:r>
    </w:p>
    <w:p w:rsidR="006C354F" w:rsidRDefault="006C354F" w:rsidP="006845F1">
      <w:pPr>
        <w:spacing w:before="120" w:after="120" w:line="360" w:lineRule="auto"/>
        <w:ind w:left="850" w:hanging="850"/>
      </w:pPr>
      <w:r>
        <w:t>a)</w:t>
      </w:r>
      <w:r>
        <w:tab/>
        <w:t>w regionie pochodzenia, w którym znajduje się dany materiał podstawowy, panują ekstremalne warunki pogodowe oraz</w:t>
      </w:r>
    </w:p>
    <w:p w:rsidR="006C354F" w:rsidRDefault="006C354F" w:rsidP="006845F1">
      <w:pPr>
        <w:spacing w:before="120" w:after="120" w:line="360" w:lineRule="auto"/>
        <w:ind w:left="850" w:hanging="850"/>
      </w:pPr>
      <w:r>
        <w:t>b)</w:t>
      </w:r>
      <w:r>
        <w:tab/>
        <w:t>takie warunki pogodowe wpływają na cykl reprodukcji materiału podstawowego i sprawiają, że LMR rzadziej pozyskuje się z tego materiału podstawowego.</w:t>
      </w:r>
    </w:p>
    <w:p w:rsidR="006C354F" w:rsidRPr="00A77FBE" w:rsidRDefault="006C354F" w:rsidP="006845F1">
      <w:pPr>
        <w:pStyle w:val="Applicationdirecte"/>
        <w:rPr>
          <w:b/>
          <w:lang w:val="pl-PL"/>
        </w:rPr>
      </w:pPr>
      <w:r w:rsidRPr="006C354F">
        <w:rPr>
          <w:strike/>
          <w:lang w:val="pl-PL"/>
        </w:rPr>
        <w:t xml:space="preserve">Upoważnienie to podlega zatwierdzeniu przez </w:t>
      </w:r>
      <w:proofErr w:type="spellStart"/>
      <w:r w:rsidRPr="006C354F">
        <w:rPr>
          <w:strike/>
          <w:lang w:val="pl-PL"/>
        </w:rPr>
        <w:t>Komisję</w:t>
      </w:r>
      <w:r w:rsidRPr="006C354F">
        <w:rPr>
          <w:b/>
          <w:i/>
          <w:lang w:val="pl-PL"/>
        </w:rPr>
        <w:t>Komisja</w:t>
      </w:r>
      <w:proofErr w:type="spellEnd"/>
      <w:r w:rsidRPr="006C354F">
        <w:rPr>
          <w:b/>
          <w:i/>
          <w:lang w:val="pl-PL"/>
        </w:rPr>
        <w:t xml:space="preserve"> powiadamiana jest o tym upoważnieniu</w:t>
      </w:r>
      <w:r w:rsidRPr="006C354F">
        <w:rPr>
          <w:lang w:val="pl-PL"/>
        </w:rPr>
        <w:t>.</w:t>
      </w:r>
      <w:r w:rsidR="00A77FBE">
        <w:rPr>
          <w:b/>
          <w:lang w:val="pl-PL"/>
        </w:rPr>
        <w:t xml:space="preserve"> [</w:t>
      </w:r>
      <w:r w:rsidR="00A0113C">
        <w:rPr>
          <w:b/>
          <w:lang w:val="pl-PL"/>
        </w:rPr>
        <w:t>Popr.</w:t>
      </w:r>
      <w:r w:rsidR="00A77FBE">
        <w:rPr>
          <w:b/>
          <w:lang w:val="pl-PL"/>
        </w:rPr>
        <w:t> 76]</w:t>
      </w:r>
    </w:p>
    <w:p w:rsidR="00A77FBE" w:rsidRDefault="00A77FBE">
      <w:pPr>
        <w:widowControl/>
      </w:pPr>
      <w:r>
        <w:br w:type="page"/>
      </w:r>
    </w:p>
    <w:p w:rsidR="006C354F" w:rsidRDefault="006C354F" w:rsidP="006845F1">
      <w:pPr>
        <w:spacing w:before="120" w:after="120" w:line="360" w:lineRule="auto"/>
        <w:jc w:val="center"/>
      </w:pPr>
      <w:r>
        <w:lastRenderedPageBreak/>
        <w:t>Artykuł 20</w:t>
      </w:r>
      <w:r>
        <w:br/>
        <w:t>Tymczasowe zatwierdzanie materiału podstawowego przeznaczonego do produkcji LMR kategorii „przetestowany”</w:t>
      </w:r>
    </w:p>
    <w:p w:rsidR="006C354F" w:rsidRPr="006C354F" w:rsidRDefault="006C354F" w:rsidP="006845F1">
      <w:pPr>
        <w:pStyle w:val="Applicationdirecte"/>
        <w:rPr>
          <w:lang w:val="pl-PL"/>
        </w:rPr>
      </w:pPr>
      <w:r w:rsidRPr="006C354F">
        <w:rPr>
          <w:lang w:val="pl-PL"/>
        </w:rPr>
        <w:t>Na zasadzie odstępstwa od art. 4 ust. 2 państwa członkowskie mogą umożliwić zatwierdzanie – na całym swoim obszarze lub jego części na okres nie dłuższy niż 10 lat – materiału podstawowego przeznaczonego do produkcji LMR kategorii „przetestowany”, jeżeli na podstawie wstępnych wyników oceny genetycznej lub testów porównawczych, o których mowa w załączniku V, można stwierdzić, że materiał podstawowy po zakończeniu testów spełni wymagania niezbędne do zatwierdzenia zgodnie z niniejszym rozporządzeniem.</w:t>
      </w:r>
    </w:p>
    <w:p w:rsidR="006C354F" w:rsidRDefault="006C354F" w:rsidP="006845F1">
      <w:pPr>
        <w:spacing w:before="120" w:after="120" w:line="360" w:lineRule="auto"/>
        <w:jc w:val="center"/>
      </w:pPr>
      <w:r>
        <w:t>Artykuł 21</w:t>
      </w:r>
      <w:r>
        <w:br/>
        <w:t>Przejściowe trudności z zaopatrzeniem</w:t>
      </w:r>
    </w:p>
    <w:p w:rsidR="006C354F" w:rsidRDefault="006C354F" w:rsidP="006845F1">
      <w:pPr>
        <w:spacing w:before="120" w:after="120" w:line="360" w:lineRule="auto"/>
        <w:ind w:left="850" w:hanging="850"/>
      </w:pPr>
      <w:r>
        <w:t>1.</w:t>
      </w:r>
      <w:r>
        <w:tab/>
        <w:t>W celu wykluczenia przejściowych trudności z zaopatrzeniem w LMR występujących w co najmniej jednym państwie członkowskim Komisja – na żądanie co najmniej jednego państwa członkowskiego dotkniętego tą sytuacją – może tymczasowo zezwolić państwom członkowskim, w drodze aktu wykonawczego, na zatwierdzenie do celów wprowadzenia do obrotu co najmniej jednego gatunku LMR pochodzącego z materiału podstawowego, który spełnia mniej rygorystyczne wymogi niż wymogi określone w art. 4 ust. 1 i 2.</w:t>
      </w:r>
    </w:p>
    <w:p w:rsidR="00A77FBE" w:rsidRDefault="00A77FBE">
      <w:pPr>
        <w:widowControl/>
      </w:pPr>
      <w:r>
        <w:br w:type="page"/>
      </w:r>
    </w:p>
    <w:p w:rsidR="006C354F" w:rsidRDefault="006C354F" w:rsidP="006845F1">
      <w:pPr>
        <w:spacing w:before="120" w:after="120" w:line="360" w:lineRule="auto"/>
        <w:ind w:left="850" w:hanging="850"/>
      </w:pPr>
      <w:r>
        <w:lastRenderedPageBreak/>
        <w:t>2.</w:t>
      </w:r>
      <w:r>
        <w:tab/>
        <w:t>Jeżeli Komisja podejmuje działanie zgodnie z ust. 1, etykieta urzędowa wydana na podstawie art. 16 ust. 1 zawiera adnotację, że dane LMR pozyskano z materiału podstawowego, który spełnia mniej rygorystyczne wymogi niż wymogi określone w art. 4 ust. 1 i 2.</w:t>
      </w:r>
    </w:p>
    <w:p w:rsidR="006C354F" w:rsidRDefault="006C354F" w:rsidP="006845F1">
      <w:pPr>
        <w:spacing w:before="120" w:after="120" w:line="360" w:lineRule="auto"/>
        <w:ind w:left="850" w:hanging="850"/>
      </w:pPr>
      <w:r>
        <w:t>3.</w:t>
      </w:r>
      <w:r>
        <w:tab/>
        <w:t>Akt wykonawczy, o którym mowa w ust. 1, przyjmuje się zgodnie z procedurą sprawdzającą, o której mowa w art. 27 ust. 2.</w:t>
      </w:r>
    </w:p>
    <w:p w:rsidR="006C354F" w:rsidRDefault="006C354F" w:rsidP="006845F1">
      <w:pPr>
        <w:spacing w:before="120" w:after="120" w:line="360" w:lineRule="auto"/>
        <w:jc w:val="center"/>
      </w:pPr>
      <w:r>
        <w:t>Artykuł 22</w:t>
      </w:r>
      <w:r>
        <w:br/>
        <w:t>Tymczasowe eksperymenty w celu poszukiwania lepszych rozwiązań, alternatywnych wobec przepisów niniejszego rozporządzenia</w:t>
      </w:r>
    </w:p>
    <w:p w:rsidR="006C354F" w:rsidRDefault="006C354F" w:rsidP="006845F1">
      <w:pPr>
        <w:spacing w:before="120" w:after="120" w:line="360" w:lineRule="auto"/>
        <w:ind w:left="850" w:hanging="850"/>
      </w:pPr>
      <w:r>
        <w:t>1.</w:t>
      </w:r>
      <w:r>
        <w:tab/>
        <w:t>Na zasadzie odstępstwa od art. 1, 4 i 5 Komisja może, w drodze aktów wykonawczych, zdecydować o organizacji tymczasowych eksperymentów w celu poszukiwania lepszych rozwiązań alternatywnych wobec przepisów niniejszego rozporządzenia, dotyczących gatunków lub sztucznych mieszańców, do których ma ono zastosowanie, wymogów związanych z zatwierdzeniem materiału podstawowego oraz produkcji i wprowadzania do obrotu LMR.</w:t>
      </w:r>
    </w:p>
    <w:p w:rsidR="006C354F" w:rsidRDefault="006C354F" w:rsidP="006845F1">
      <w:pPr>
        <w:spacing w:before="120" w:after="120" w:line="360" w:lineRule="auto"/>
        <w:ind w:left="850"/>
      </w:pPr>
      <w:r>
        <w:t>Eksperymenty te mogą mieć formę technicznych lub naukowych testów wykonalności i adekwatności nowych wymogów w porównaniu z wymogami określonymi w art. 1, 4 i 5 niniejszego rozporządzenia.</w:t>
      </w:r>
    </w:p>
    <w:p w:rsidR="00A77FBE" w:rsidRDefault="00A77FBE">
      <w:pPr>
        <w:widowControl/>
      </w:pPr>
      <w:r>
        <w:br w:type="page"/>
      </w:r>
    </w:p>
    <w:p w:rsidR="006C354F" w:rsidRDefault="006C354F" w:rsidP="006845F1">
      <w:pPr>
        <w:spacing w:before="120" w:after="120" w:line="360" w:lineRule="auto"/>
        <w:ind w:left="850" w:hanging="850"/>
      </w:pPr>
      <w:r>
        <w:lastRenderedPageBreak/>
        <w:t>2.</w:t>
      </w:r>
      <w:r>
        <w:tab/>
        <w:t>Akty wykonawcze, o których mowa w ust. 1, przyjmuje się zgodnie z procedurą sprawdzającą, o której mowa w art. 27 ust. 2, i określa się w nich co najmniej jeden spośród następujących elementów:</w:t>
      </w:r>
    </w:p>
    <w:p w:rsidR="006C354F" w:rsidRDefault="006C354F" w:rsidP="006845F1">
      <w:pPr>
        <w:spacing w:before="120" w:after="120" w:line="360" w:lineRule="auto"/>
        <w:ind w:left="1416" w:hanging="566"/>
      </w:pPr>
      <w:r>
        <w:t>a)</w:t>
      </w:r>
      <w:r>
        <w:tab/>
        <w:t>dane gatunki lub sztuczne mieszańce;</w:t>
      </w:r>
    </w:p>
    <w:p w:rsidR="006C354F" w:rsidRDefault="006C354F" w:rsidP="006845F1">
      <w:pPr>
        <w:spacing w:before="120" w:after="120" w:line="360" w:lineRule="auto"/>
        <w:ind w:left="1416" w:hanging="566"/>
      </w:pPr>
      <w:r>
        <w:t>b)</w:t>
      </w:r>
      <w:r>
        <w:tab/>
        <w:t>warunki przeprowadzania eksperymentów w przypadku poszczególnych gatunków lub sztucznych mieszańców;</w:t>
      </w:r>
    </w:p>
    <w:p w:rsidR="006C354F" w:rsidRDefault="006C354F" w:rsidP="006845F1">
      <w:pPr>
        <w:spacing w:before="120" w:after="120" w:line="360" w:lineRule="auto"/>
        <w:ind w:left="1416" w:hanging="566"/>
      </w:pPr>
      <w:r>
        <w:t>c)</w:t>
      </w:r>
      <w:r>
        <w:tab/>
        <w:t>czas trwania eksperymentu;</w:t>
      </w:r>
    </w:p>
    <w:p w:rsidR="006C354F" w:rsidRDefault="006C354F" w:rsidP="006845F1">
      <w:pPr>
        <w:spacing w:before="120" w:after="120" w:line="360" w:lineRule="auto"/>
        <w:ind w:left="1416" w:hanging="566"/>
      </w:pPr>
      <w:r>
        <w:t>d)</w:t>
      </w:r>
      <w:r>
        <w:tab/>
        <w:t>obowiązki w zakresie monitorowania i sprawozdawczości uczestniczących państw członkowskich.</w:t>
      </w:r>
    </w:p>
    <w:p w:rsidR="006C354F" w:rsidRDefault="006C354F" w:rsidP="006845F1">
      <w:pPr>
        <w:spacing w:before="120" w:after="120" w:line="360" w:lineRule="auto"/>
        <w:ind w:left="850"/>
      </w:pPr>
      <w:r>
        <w:t>W tych aktach delegowanych uwzględnia się rozwój:</w:t>
      </w:r>
    </w:p>
    <w:p w:rsidR="006C354F" w:rsidRDefault="006C354F" w:rsidP="006845F1">
      <w:pPr>
        <w:spacing w:before="120" w:after="120" w:line="360" w:lineRule="auto"/>
        <w:ind w:left="1416" w:hanging="566"/>
      </w:pPr>
      <w:r>
        <w:t>a)</w:t>
      </w:r>
      <w:r>
        <w:tab/>
        <w:t xml:space="preserve">metod określania pochodzenia pierwotnego materiału podstawowego, w tym stosowanie technik </w:t>
      </w:r>
      <w:proofErr w:type="spellStart"/>
      <w:r>
        <w:t>biomolekularnych</w:t>
      </w:r>
      <w:proofErr w:type="spellEnd"/>
      <w:r>
        <w:t>;</w:t>
      </w:r>
    </w:p>
    <w:p w:rsidR="006C354F" w:rsidRDefault="006C354F" w:rsidP="006845F1">
      <w:pPr>
        <w:spacing w:before="120" w:after="120" w:line="360" w:lineRule="auto"/>
        <w:ind w:left="1416" w:hanging="566"/>
      </w:pPr>
      <w:r>
        <w:t>b)</w:t>
      </w:r>
      <w:r>
        <w:tab/>
        <w:t>metod ochrony i zrównoważonego użytkowania leśnych zasobów genetycznych z uwzględnieniem mających zastosowanie norm międzynarodowych;</w:t>
      </w:r>
    </w:p>
    <w:p w:rsidR="006C354F" w:rsidRDefault="006C354F" w:rsidP="006845F1">
      <w:pPr>
        <w:spacing w:before="120" w:after="120" w:line="360" w:lineRule="auto"/>
        <w:ind w:left="1416" w:hanging="566"/>
      </w:pPr>
      <w:r>
        <w:t>c)</w:t>
      </w:r>
      <w:r>
        <w:tab/>
        <w:t>metod reprodukcji, produkcji z uwzględnieniem innowacyjnych procesów produkcji;</w:t>
      </w:r>
    </w:p>
    <w:p w:rsidR="00A77FBE" w:rsidRDefault="00A77FBE">
      <w:pPr>
        <w:widowControl/>
      </w:pPr>
      <w:r>
        <w:br w:type="page"/>
      </w:r>
    </w:p>
    <w:p w:rsidR="006C354F" w:rsidRDefault="006C354F" w:rsidP="006845F1">
      <w:pPr>
        <w:spacing w:before="120" w:after="120" w:line="360" w:lineRule="auto"/>
        <w:ind w:left="1416" w:hanging="566"/>
      </w:pPr>
      <w:r>
        <w:lastRenderedPageBreak/>
        <w:t>d)</w:t>
      </w:r>
      <w:r>
        <w:tab/>
        <w:t>metod projektowania schematów krzyżowania składników materiału podstawowego;</w:t>
      </w:r>
    </w:p>
    <w:p w:rsidR="006C354F" w:rsidRDefault="006C354F" w:rsidP="006845F1">
      <w:pPr>
        <w:spacing w:before="120" w:after="120" w:line="360" w:lineRule="auto"/>
        <w:ind w:left="1416" w:hanging="566"/>
      </w:pPr>
      <w:r>
        <w:t>e)</w:t>
      </w:r>
      <w:r>
        <w:tab/>
        <w:t>metod oceny właściwości materiału podstawowego i LMR;</w:t>
      </w:r>
    </w:p>
    <w:p w:rsidR="006C354F" w:rsidRDefault="006C354F" w:rsidP="006845F1">
      <w:pPr>
        <w:spacing w:before="120" w:after="120" w:line="360" w:lineRule="auto"/>
        <w:ind w:left="1416" w:hanging="566"/>
      </w:pPr>
      <w:r>
        <w:t>f)</w:t>
      </w:r>
      <w:r>
        <w:tab/>
        <w:t>metod kontroli danego LMR.</w:t>
      </w:r>
    </w:p>
    <w:p w:rsidR="006C354F" w:rsidRDefault="006C354F" w:rsidP="006845F1">
      <w:pPr>
        <w:spacing w:before="120" w:after="120" w:line="360" w:lineRule="auto"/>
        <w:ind w:left="850"/>
      </w:pPr>
      <w:r>
        <w:t>Akty te dostosowuje się do rozwoju technik produkcji danego LMR, na podstawie wszelkich testów porównawczych i badań przeprowadzonych przez państwa członkowskie.</w:t>
      </w:r>
    </w:p>
    <w:p w:rsidR="006C354F" w:rsidRDefault="006C354F" w:rsidP="006845F1">
      <w:pPr>
        <w:spacing w:before="120" w:after="120" w:line="360" w:lineRule="auto"/>
        <w:ind w:left="850" w:hanging="850"/>
      </w:pPr>
      <w:r>
        <w:t>3.</w:t>
      </w:r>
      <w:r>
        <w:tab/>
        <w:t>Komisja dokonuje oceny wyników tych eksperymentów i podsumowuje je w sprawozdaniu z uwzględnieniem, w razie potrzeby, konieczności zmiany art. 1, 4 lub 5.</w:t>
      </w:r>
    </w:p>
    <w:p w:rsidR="00A77FBE" w:rsidRDefault="00A77FBE">
      <w:pPr>
        <w:widowControl/>
      </w:pPr>
      <w:r>
        <w:br w:type="page"/>
      </w:r>
    </w:p>
    <w:p w:rsidR="006C354F" w:rsidRDefault="006C354F" w:rsidP="006845F1">
      <w:pPr>
        <w:spacing w:before="120" w:after="120" w:line="360" w:lineRule="auto"/>
        <w:jc w:val="center"/>
      </w:pPr>
      <w:r>
        <w:lastRenderedPageBreak/>
        <w:t>Artykuł 23</w:t>
      </w:r>
      <w:r>
        <w:br/>
        <w:t>Zezwolenie na przyjęcie bardziej rygorystycznych wymogów</w:t>
      </w:r>
    </w:p>
    <w:p w:rsidR="006C354F" w:rsidRPr="00A77FBE" w:rsidRDefault="006C354F" w:rsidP="006845F1">
      <w:pPr>
        <w:spacing w:before="120" w:after="120" w:line="360" w:lineRule="auto"/>
        <w:ind w:left="850" w:hanging="850"/>
        <w:rPr>
          <w:b/>
        </w:rPr>
      </w:pPr>
      <w:r>
        <w:t>1.</w:t>
      </w:r>
      <w:r>
        <w:tab/>
        <w:t>Na zasadzie odstępstwa od art. 4 Komisja może, w drodze aktów wykonawczych, zezwolić państwom członkowskim na przyjęcie – w odniesieniu do wymogów dotyczących zatwierdzania materiału podstawowego i produkcji LMR – bardziej restrykcyjnych wymogów dotyczących produkcji niż wymogi, o których mowa w tym artykule, na całości lub części terytorium danego państwa członkowskiego</w:t>
      </w:r>
      <w:r>
        <w:rPr>
          <w:b/>
          <w:i/>
        </w:rPr>
        <w:t>, pod warunkiem że wymogi te nie zakazują, nie utrudniają ani nie ograniczają swobodnego przepływu LMR, który jest zgodny z niniejszym rozporządzeniem</w:t>
      </w:r>
      <w:r>
        <w:t>. Te akty wykonawcze przyjmuje się zgodnie z procedurą sprawdzającą, o której mowa w art. 27 ust. 2.</w:t>
      </w:r>
      <w:r w:rsidR="00A77FBE">
        <w:rPr>
          <w:b/>
        </w:rPr>
        <w:t xml:space="preserve"> [</w:t>
      </w:r>
      <w:r w:rsidR="00A0113C">
        <w:rPr>
          <w:b/>
        </w:rPr>
        <w:t>Popr.</w:t>
      </w:r>
      <w:r w:rsidR="00A77FBE">
        <w:rPr>
          <w:b/>
        </w:rPr>
        <w:t> 77]</w:t>
      </w:r>
    </w:p>
    <w:p w:rsidR="006C354F" w:rsidRDefault="006C354F" w:rsidP="006845F1">
      <w:pPr>
        <w:spacing w:before="120" w:after="120" w:line="360" w:lineRule="auto"/>
        <w:ind w:left="850" w:hanging="850"/>
      </w:pPr>
      <w:r>
        <w:t>2.</w:t>
      </w:r>
      <w:r>
        <w:tab/>
        <w:t>W celu uzyskania zezwolenia, o którym mowa w ust. 1, państwa członkowskie przedkładają Komisji wniosek, w którym przedstawiono:</w:t>
      </w:r>
    </w:p>
    <w:p w:rsidR="006C354F" w:rsidRDefault="006C354F" w:rsidP="006845F1">
      <w:pPr>
        <w:spacing w:before="120" w:after="120" w:line="360" w:lineRule="auto"/>
        <w:ind w:left="1416" w:hanging="566"/>
      </w:pPr>
      <w:r>
        <w:t>a)</w:t>
      </w:r>
      <w:r>
        <w:tab/>
        <w:t>projekt przepisów zawierający proponowane wymogi;</w:t>
      </w:r>
    </w:p>
    <w:p w:rsidR="006C354F" w:rsidRDefault="006C354F" w:rsidP="006845F1">
      <w:pPr>
        <w:spacing w:before="120" w:after="120" w:line="360" w:lineRule="auto"/>
        <w:ind w:left="1416" w:hanging="566"/>
      </w:pPr>
      <w:r>
        <w:t>b)</w:t>
      </w:r>
      <w:r>
        <w:tab/>
        <w:t>uzasadnienie konieczności i proporcjonalności takich wymogów.</w:t>
      </w:r>
    </w:p>
    <w:p w:rsidR="00A77FBE" w:rsidRDefault="00A77FBE">
      <w:pPr>
        <w:widowControl/>
      </w:pPr>
      <w:r>
        <w:br w:type="page"/>
      </w:r>
    </w:p>
    <w:p w:rsidR="006C354F" w:rsidRDefault="006C354F" w:rsidP="006845F1">
      <w:pPr>
        <w:spacing w:before="120" w:after="120" w:line="360" w:lineRule="auto"/>
        <w:ind w:left="850" w:hanging="850"/>
      </w:pPr>
      <w:r>
        <w:lastRenderedPageBreak/>
        <w:t>3.</w:t>
      </w:r>
      <w:r>
        <w:tab/>
        <w:t>Zezwolenia, o którym mowa w ust. 1, udziela się wyłącznie wtedy, gdy spełnione są wszystkie następujące warunki:</w:t>
      </w:r>
    </w:p>
    <w:p w:rsidR="006C354F" w:rsidRDefault="006C354F" w:rsidP="006845F1">
      <w:pPr>
        <w:spacing w:before="120" w:after="120" w:line="360" w:lineRule="auto"/>
        <w:ind w:left="1416" w:hanging="566"/>
      </w:pPr>
      <w:r>
        <w:t>a)</w:t>
      </w:r>
      <w:r>
        <w:tab/>
        <w:t>wnioskowane środki umożliwiają spełnienie co najmniej jednego z następujących celów:</w:t>
      </w:r>
    </w:p>
    <w:p w:rsidR="006C354F" w:rsidRDefault="006C354F" w:rsidP="006845F1">
      <w:pPr>
        <w:spacing w:before="120" w:after="120" w:line="360" w:lineRule="auto"/>
        <w:ind w:left="1982" w:hanging="566"/>
      </w:pPr>
      <w:r>
        <w:t>(i)</w:t>
      </w:r>
      <w:r>
        <w:tab/>
        <w:t>poprawy jakości danego LMR;</w:t>
      </w:r>
    </w:p>
    <w:p w:rsidR="006C354F" w:rsidRPr="00A77FBE" w:rsidRDefault="006C354F" w:rsidP="006845F1">
      <w:pPr>
        <w:spacing w:before="120" w:after="120" w:line="360" w:lineRule="auto"/>
        <w:ind w:left="1982" w:hanging="566"/>
        <w:rPr>
          <w:b/>
        </w:rPr>
      </w:pPr>
      <w:r>
        <w:t>(ii)</w:t>
      </w:r>
      <w:r>
        <w:tab/>
        <w:t>ochrony środowiska naturalnego: przystosowania się do zmiany klimatu</w:t>
      </w:r>
      <w:r>
        <w:rPr>
          <w:b/>
          <w:i/>
        </w:rPr>
        <w:t>, wzmocnienia różnorodności biologicznej</w:t>
      </w:r>
      <w:r>
        <w:t xml:space="preserve"> lub</w:t>
      </w:r>
      <w:r>
        <w:rPr>
          <w:strike/>
        </w:rPr>
        <w:t xml:space="preserve"> wkładu w ochronę bioróżnorodności,</w:t>
      </w:r>
      <w:r>
        <w:t xml:space="preserve"> odbudowy ekosystemów leśnych</w:t>
      </w:r>
      <w:r>
        <w:rPr>
          <w:b/>
          <w:i/>
        </w:rPr>
        <w:t xml:space="preserve"> oraz wspierania ich funkcjonowania</w:t>
      </w:r>
      <w:r>
        <w:t>;</w:t>
      </w:r>
      <w:r w:rsidR="00A77FBE">
        <w:rPr>
          <w:b/>
        </w:rPr>
        <w:t xml:space="preserve"> [</w:t>
      </w:r>
      <w:r w:rsidR="00A0113C">
        <w:rPr>
          <w:b/>
        </w:rPr>
        <w:t>Popr.</w:t>
      </w:r>
      <w:r w:rsidR="00A77FBE">
        <w:rPr>
          <w:b/>
        </w:rPr>
        <w:t> 78]</w:t>
      </w:r>
    </w:p>
    <w:p w:rsidR="006C354F" w:rsidRDefault="006C354F" w:rsidP="006845F1">
      <w:pPr>
        <w:spacing w:before="120" w:after="120" w:line="360" w:lineRule="auto"/>
        <w:ind w:left="1416" w:hanging="566"/>
      </w:pPr>
      <w:r>
        <w:t>b)</w:t>
      </w:r>
      <w:r>
        <w:tab/>
        <w:t>wnioskowane środki są konieczne i proporcjonalne do zamierzonego celu określonego w lit. a) oraz</w:t>
      </w:r>
    </w:p>
    <w:p w:rsidR="006C354F" w:rsidRDefault="006C354F" w:rsidP="006845F1">
      <w:pPr>
        <w:spacing w:before="120" w:after="120" w:line="360" w:lineRule="auto"/>
        <w:ind w:left="1416" w:hanging="566"/>
      </w:pPr>
      <w:r>
        <w:t>c)</w:t>
      </w:r>
      <w:r>
        <w:tab/>
        <w:t>środki te są uzasadnione na podstawie szczególnych warunków klimatycznych i ekologicznych panujących w danym państwie członkowskim.</w:t>
      </w:r>
    </w:p>
    <w:p w:rsidR="00A77FBE" w:rsidRDefault="00A77FBE">
      <w:pPr>
        <w:widowControl/>
      </w:pPr>
      <w:r>
        <w:br w:type="page"/>
      </w:r>
    </w:p>
    <w:p w:rsidR="006C354F" w:rsidRDefault="006C354F" w:rsidP="006845F1">
      <w:pPr>
        <w:spacing w:before="120" w:after="120" w:line="360" w:lineRule="auto"/>
        <w:ind w:left="850" w:hanging="850"/>
      </w:pPr>
      <w:r>
        <w:lastRenderedPageBreak/>
        <w:t>4.</w:t>
      </w:r>
      <w:r>
        <w:tab/>
        <w:t>Jeżeli państwa członkowskie przyjęły dodatkowe lub bardziej rygorystyczne wymogi na podstawie art. 7 dyrektywy 1999/105/WE, dane państwa członkowskie do dnia ... [jeden rok po dacie rozpoczęcia stosowania niniejszego rozporządzenia] r. przeprowadzą przegląd tych środków i je uchylą albo zmienią tak, aby zapewnić zgodność z niniejszym rozporządzeniem.</w:t>
      </w:r>
    </w:p>
    <w:p w:rsidR="006C354F" w:rsidRDefault="006C354F" w:rsidP="006845F1">
      <w:pPr>
        <w:spacing w:before="120" w:after="120" w:line="360" w:lineRule="auto"/>
        <w:ind w:left="850"/>
      </w:pPr>
      <w:r>
        <w:t>Zainteresowane państwa członkowskie powiadamiają Komisję i pozostałe państwa członkowskie o tych działaniach.</w:t>
      </w:r>
    </w:p>
    <w:p w:rsidR="006C354F" w:rsidRDefault="006C354F" w:rsidP="006845F1">
      <w:pPr>
        <w:spacing w:before="120" w:after="120" w:line="360" w:lineRule="auto"/>
        <w:jc w:val="center"/>
      </w:pPr>
      <w:r>
        <w:t xml:space="preserve">ROZDZIAŁ VI </w:t>
      </w:r>
      <w:r>
        <w:br/>
        <w:t>PRZYWÓZ LMR</w:t>
      </w:r>
    </w:p>
    <w:p w:rsidR="006C354F" w:rsidRDefault="006C354F" w:rsidP="006845F1">
      <w:pPr>
        <w:spacing w:before="120" w:after="120" w:line="360" w:lineRule="auto"/>
        <w:jc w:val="center"/>
      </w:pPr>
      <w:r>
        <w:t>Artykuł 24</w:t>
      </w:r>
      <w:r>
        <w:br/>
        <w:t>Przywóz na podstawie równoważności unijnej</w:t>
      </w:r>
    </w:p>
    <w:p w:rsidR="006C354F" w:rsidRPr="00A77FBE" w:rsidRDefault="006C354F" w:rsidP="006845F1">
      <w:pPr>
        <w:spacing w:before="120" w:after="120" w:line="360" w:lineRule="auto"/>
        <w:ind w:left="850" w:hanging="850"/>
        <w:rPr>
          <w:b/>
        </w:rPr>
      </w:pPr>
      <w:r>
        <w:t>1.</w:t>
      </w:r>
      <w:r>
        <w:tab/>
        <w:t>LMR można przywozić z państw trzecich do Unii wyłącznie w przypadku, gdy na podstawie ust. 2 ustalono, że spełnia on wymogi równoważne z wymogami mającymi zastosowanie do LMR produkowanego i wprowadzanego do obrotu w Unii.</w:t>
      </w:r>
      <w:r>
        <w:rPr>
          <w:b/>
          <w:i/>
        </w:rPr>
        <w:t xml:space="preserve"> Proces oceny i ustalania równoważności opiera się na szczegółowym badaniu standardów tożsamości i jakości oraz innych wymogach mających zastosowanie do LMR.</w:t>
      </w:r>
      <w:r w:rsidR="00A77FBE">
        <w:rPr>
          <w:b/>
        </w:rPr>
        <w:t xml:space="preserve"> [</w:t>
      </w:r>
      <w:r w:rsidR="00A0113C">
        <w:rPr>
          <w:b/>
        </w:rPr>
        <w:t>Popr.</w:t>
      </w:r>
      <w:r w:rsidR="00A77FBE">
        <w:rPr>
          <w:b/>
        </w:rPr>
        <w:t> 79]</w:t>
      </w:r>
    </w:p>
    <w:p w:rsidR="00A77FBE" w:rsidRDefault="00A77FBE">
      <w:pPr>
        <w:widowControl/>
      </w:pPr>
      <w:r>
        <w:br w:type="page"/>
      </w:r>
    </w:p>
    <w:p w:rsidR="006C354F" w:rsidRDefault="006C354F" w:rsidP="006845F1">
      <w:pPr>
        <w:spacing w:before="120" w:after="120" w:line="360" w:lineRule="auto"/>
        <w:ind w:left="850" w:hanging="850"/>
      </w:pPr>
      <w:r>
        <w:lastRenderedPageBreak/>
        <w:t>2.</w:t>
      </w:r>
      <w:r>
        <w:tab/>
        <w:t>Komisja może, w drodze aktów wykonawczych, zdecydować, czy LMR określonych rodzajów, gatunków lub kategorii produkowany w państwie trzecim spełnia wymogi równoważne z wymogami mającymi zastosowanie do LMR produkowanego i wprowadzanego do obrotu w Unii, na podstawie wszystkich następujących elementów:</w:t>
      </w:r>
    </w:p>
    <w:p w:rsidR="006C354F" w:rsidRDefault="006C354F" w:rsidP="006845F1">
      <w:pPr>
        <w:spacing w:before="120" w:after="120" w:line="360" w:lineRule="auto"/>
        <w:ind w:left="1416" w:hanging="566"/>
      </w:pPr>
      <w:r>
        <w:t>a)</w:t>
      </w:r>
      <w:r>
        <w:tab/>
        <w:t>dogłębnej analizy informacji i danych dostarczonych przez dane państwo trzecie; oraz</w:t>
      </w:r>
    </w:p>
    <w:p w:rsidR="006C354F" w:rsidRDefault="006C354F" w:rsidP="006845F1">
      <w:pPr>
        <w:spacing w:before="120" w:after="120" w:line="360" w:lineRule="auto"/>
        <w:ind w:left="1416" w:hanging="566"/>
      </w:pPr>
      <w:r>
        <w:t>b)</w:t>
      </w:r>
      <w:r>
        <w:tab/>
        <w:t>zadowalających wyników audytu przeprowadzonego przez Komisję w danym państwie trzecim, jeżeli Komisja uznała, że przeprowadzenie audytu jest konieczne;</w:t>
      </w:r>
    </w:p>
    <w:p w:rsidR="006C354F" w:rsidRDefault="006C354F" w:rsidP="006845F1">
      <w:pPr>
        <w:spacing w:before="120" w:after="120" w:line="360" w:lineRule="auto"/>
        <w:ind w:left="1416" w:hanging="566"/>
      </w:pPr>
      <w:r>
        <w:t>c)</w:t>
      </w:r>
      <w:r>
        <w:tab/>
        <w:t xml:space="preserve">udziału danego państwa trzeciego w systemie certyfikacji leśnego materiału </w:t>
      </w:r>
      <w:proofErr w:type="spellStart"/>
      <w:r>
        <w:t>rozmnożeniowego</w:t>
      </w:r>
      <w:proofErr w:type="spellEnd"/>
      <w:r>
        <w:t xml:space="preserve"> przemieszczanego w handlu międzynarodowym.</w:t>
      </w:r>
    </w:p>
    <w:p w:rsidR="006C354F" w:rsidRDefault="006C354F" w:rsidP="006845F1">
      <w:pPr>
        <w:spacing w:before="120" w:after="120" w:line="360" w:lineRule="auto"/>
        <w:ind w:left="850"/>
      </w:pPr>
      <w:r>
        <w:t>Te akty wykonawcze przyjmuje się zgodnie z procedurą sprawdzającą, o której mowa w art. 27 ust. 2.</w:t>
      </w:r>
    </w:p>
    <w:p w:rsidR="00A77FBE" w:rsidRDefault="00A77FBE">
      <w:pPr>
        <w:widowControl/>
      </w:pPr>
      <w:r>
        <w:br w:type="page"/>
      </w:r>
    </w:p>
    <w:p w:rsidR="006C354F" w:rsidRDefault="006C354F" w:rsidP="006845F1">
      <w:pPr>
        <w:spacing w:before="120" w:after="120" w:line="360" w:lineRule="auto"/>
        <w:ind w:left="850" w:hanging="850"/>
      </w:pPr>
      <w:r>
        <w:lastRenderedPageBreak/>
        <w:t>3.</w:t>
      </w:r>
      <w:r>
        <w:tab/>
        <w:t>Przyjmując decyzje, o których mowa w ust. 1, Komisja bierze pod uwagę kwestię, czy systemy zatwierdzania i rejestracji materiału podstawowego oraz dalsza produkcja LMR z tego materiału podstawowego stosowane w danym państwie trzecim dają taką samą pewność jak systemy przewidziane w art. 4 i 5 i, w stosownych przypadkach, w art. 11 w odniesieniu do kategorii „ze zidentyfikowanego źródła”, „wyselekcjonowany”, „kwalifikowany” i „przetestowany”.</w:t>
      </w:r>
    </w:p>
    <w:p w:rsidR="006C354F" w:rsidRDefault="006C354F" w:rsidP="006845F1">
      <w:pPr>
        <w:spacing w:before="120" w:after="120" w:line="360" w:lineRule="auto"/>
        <w:jc w:val="center"/>
      </w:pPr>
      <w:r>
        <w:t>Artykuł 25</w:t>
      </w:r>
      <w:r>
        <w:br/>
        <w:t>Powiadamianie o przywożonych LMR i ich certyfikacja</w:t>
      </w:r>
    </w:p>
    <w:p w:rsidR="006C354F" w:rsidRDefault="006C354F" w:rsidP="006845F1">
      <w:pPr>
        <w:spacing w:before="120" w:after="120" w:line="360" w:lineRule="auto"/>
        <w:ind w:left="850" w:hanging="850"/>
      </w:pPr>
      <w:r>
        <w:t>1.</w:t>
      </w:r>
      <w:r>
        <w:tab/>
        <w:t>Podmioty profesjonalne przywożące LMR do Unii powiadamiają z wyprzedzeniem o takim przywozie właściwy organ za pośrednictwem systemu zarządzania informacjami w zakresie kontroli urzędowych (IMSOC), o którym mowa w art. 131 rozporządzenia (UE) 2017/625.</w:t>
      </w:r>
    </w:p>
    <w:p w:rsidR="006C354F" w:rsidRDefault="006C354F" w:rsidP="006845F1">
      <w:pPr>
        <w:spacing w:before="120" w:after="120" w:line="360" w:lineRule="auto"/>
        <w:ind w:left="850" w:hanging="850"/>
      </w:pPr>
      <w:r>
        <w:t>2.</w:t>
      </w:r>
      <w:r>
        <w:tab/>
        <w:t>Przywożonemu LMR towarzyszą wszystkie poniższe elementy:</w:t>
      </w:r>
    </w:p>
    <w:p w:rsidR="006C354F" w:rsidRDefault="006C354F" w:rsidP="006845F1">
      <w:pPr>
        <w:spacing w:before="120" w:after="120" w:line="360" w:lineRule="auto"/>
        <w:ind w:left="1416" w:hanging="566"/>
      </w:pPr>
      <w:r>
        <w:t>a)</w:t>
      </w:r>
      <w:r>
        <w:tab/>
        <w:t>certyfikat lub inne świadectwo urzędowe wystawione przez państwo trzecie pochodzenia pierwotnego;</w:t>
      </w:r>
    </w:p>
    <w:p w:rsidR="00A77FBE" w:rsidRDefault="00A77FBE">
      <w:pPr>
        <w:widowControl/>
      </w:pPr>
      <w:r>
        <w:br w:type="page"/>
      </w:r>
    </w:p>
    <w:p w:rsidR="006C354F" w:rsidRDefault="006C354F" w:rsidP="006845F1">
      <w:pPr>
        <w:spacing w:before="120" w:after="120" w:line="360" w:lineRule="auto"/>
        <w:ind w:left="1416" w:hanging="566"/>
      </w:pPr>
      <w:r>
        <w:lastRenderedPageBreak/>
        <w:t>b)</w:t>
      </w:r>
      <w:r>
        <w:tab/>
        <w:t>etykieta urzędowa oraz</w:t>
      </w:r>
    </w:p>
    <w:p w:rsidR="006C354F" w:rsidRDefault="006C354F" w:rsidP="006845F1">
      <w:pPr>
        <w:spacing w:before="120" w:after="120" w:line="360" w:lineRule="auto"/>
        <w:ind w:left="1416" w:hanging="566"/>
      </w:pPr>
      <w:r>
        <w:t>c)</w:t>
      </w:r>
      <w:r>
        <w:tab/>
        <w:t>dokumentacja zawierająca szczegółowe informacje na temat tego LMR dostarczona przez podmiot profe</w:t>
      </w:r>
      <w:r w:rsidR="00A77FBE">
        <w:t>sjonalny w tym państwie trzecim;</w:t>
      </w:r>
    </w:p>
    <w:p w:rsidR="006C354F" w:rsidRPr="00A77FBE" w:rsidRDefault="006C354F" w:rsidP="006845F1">
      <w:pPr>
        <w:spacing w:before="120" w:after="120" w:line="360" w:lineRule="auto"/>
        <w:ind w:left="1416" w:hanging="566"/>
        <w:rPr>
          <w:b/>
        </w:rPr>
      </w:pPr>
      <w:r>
        <w:rPr>
          <w:b/>
          <w:i/>
        </w:rPr>
        <w:t>ca)</w:t>
      </w:r>
      <w:r>
        <w:tab/>
      </w:r>
      <w:r>
        <w:rPr>
          <w:b/>
          <w:i/>
        </w:rPr>
        <w:t>nowy certyfikat wydany przez właściwy organ państwa członkowskiego przywozu, który po przywozie zastępuje certyfikat lub świadectwo urzędowe, o których mowa w lit. a), lub certyfikat potwierdzający istnienie tego nowego certyfikatu.</w:t>
      </w:r>
      <w:r w:rsidR="00A77FBE">
        <w:rPr>
          <w:b/>
        </w:rPr>
        <w:t xml:space="preserve"> [</w:t>
      </w:r>
      <w:r w:rsidR="00A0113C">
        <w:rPr>
          <w:b/>
        </w:rPr>
        <w:t>Popr.</w:t>
      </w:r>
      <w:r w:rsidR="00A77FBE">
        <w:rPr>
          <w:b/>
        </w:rPr>
        <w:t> 80]</w:t>
      </w:r>
    </w:p>
    <w:p w:rsidR="006C354F" w:rsidRDefault="006C354F" w:rsidP="006845F1">
      <w:pPr>
        <w:spacing w:before="120" w:after="120" w:line="360" w:lineRule="auto"/>
        <w:ind w:left="850" w:hanging="850"/>
      </w:pPr>
      <w:r>
        <w:t>3.</w:t>
      </w:r>
      <w:r>
        <w:tab/>
        <w:t>Po przywozie, o którym mowa w ust. 1, właściwy organ w danym państwie członkowskim zastępuje:</w:t>
      </w:r>
    </w:p>
    <w:p w:rsidR="006C354F" w:rsidRDefault="006C354F" w:rsidP="006845F1">
      <w:pPr>
        <w:spacing w:before="120" w:after="120" w:line="360" w:lineRule="auto"/>
        <w:ind w:left="1416" w:hanging="566"/>
      </w:pPr>
      <w:r>
        <w:t>a)</w:t>
      </w:r>
      <w:r>
        <w:tab/>
        <w:t>certyfikat lub świadectwo urzędowe, o których mowa w ust. 2 lit. a), nowym certyfikatem wydanym w danym państwie członkowskim oraz</w:t>
      </w:r>
    </w:p>
    <w:p w:rsidR="006C354F" w:rsidRDefault="006C354F" w:rsidP="006845F1">
      <w:pPr>
        <w:spacing w:before="120" w:after="120" w:line="360" w:lineRule="auto"/>
        <w:ind w:left="1416" w:hanging="566"/>
      </w:pPr>
      <w:r>
        <w:t>b)</w:t>
      </w:r>
      <w:r>
        <w:tab/>
        <w:t>etykietę urzędową, o której mowa w ust. 2 lit. b), nową etykietą urzędową wydaną w danym państwie członkowskim.</w:t>
      </w:r>
    </w:p>
    <w:p w:rsidR="00A77FBE" w:rsidRDefault="00A77FBE">
      <w:pPr>
        <w:widowControl/>
      </w:pPr>
      <w:r>
        <w:br w:type="page"/>
      </w:r>
    </w:p>
    <w:p w:rsidR="006C354F" w:rsidRDefault="006C354F" w:rsidP="006845F1">
      <w:pPr>
        <w:spacing w:before="120" w:after="120" w:line="360" w:lineRule="auto"/>
        <w:jc w:val="center"/>
      </w:pPr>
      <w:r>
        <w:lastRenderedPageBreak/>
        <w:t xml:space="preserve">ROZDZIAŁ VII </w:t>
      </w:r>
      <w:r>
        <w:br/>
        <w:t>PRZEPISY PROCEDURALNE</w:t>
      </w:r>
    </w:p>
    <w:p w:rsidR="006C354F" w:rsidRDefault="006C354F" w:rsidP="006845F1">
      <w:pPr>
        <w:spacing w:before="120" w:after="120" w:line="360" w:lineRule="auto"/>
        <w:jc w:val="center"/>
      </w:pPr>
      <w:r>
        <w:t>Artykuł 26</w:t>
      </w:r>
      <w:r>
        <w:br/>
        <w:t>Wykonywanie przekazanych uprawnień</w:t>
      </w:r>
    </w:p>
    <w:p w:rsidR="006C354F" w:rsidRDefault="006C354F" w:rsidP="006845F1">
      <w:pPr>
        <w:spacing w:before="120" w:after="120" w:line="360" w:lineRule="auto"/>
        <w:ind w:left="850" w:hanging="850"/>
      </w:pPr>
      <w:r>
        <w:t>1.</w:t>
      </w:r>
      <w:r>
        <w:tab/>
        <w:t>Powierzenie Komisji uprawnień do przyjmowania aktów delegowanych podlega warunkom określonym w niniejszym artykule.</w:t>
      </w:r>
    </w:p>
    <w:p w:rsidR="006C354F" w:rsidRDefault="006C354F" w:rsidP="006845F1">
      <w:pPr>
        <w:spacing w:before="120" w:after="120" w:line="360" w:lineRule="auto"/>
        <w:ind w:left="850" w:hanging="850"/>
      </w:pPr>
      <w:r>
        <w:t>2.</w:t>
      </w:r>
      <w:r>
        <w:tab/>
        <w:t>Uprawnienia do przyjmowania aktów delegowanych, o których mowa w art. 2 ust. 2, art. 4 ust. 2 i 6, art. 5 ust. 3, art. 7 ust. 2, art. 8 ust. 1, art. 14 ust. 6 i art. 16 ust. 7, powierza się Komisji na okres pięciu lat od dnia [data wejścia w życie niniejszego rozporządzenia] r. Komisja sporządza sprawozdanie dotyczące przekazania uprawnień nie później niż dziewięć miesięcy przed końcem okresu pięciu lat. Przekazanie uprawnień zostaje automatycznie przedłużone na takie same okresy, chyba że Parlament Europejski lub Rada sprzeciwią się takiemu przedłużeniu nie później niż trzy miesiące przed końcem każdego okresu.</w:t>
      </w:r>
    </w:p>
    <w:p w:rsidR="00A77FBE" w:rsidRDefault="00A77FBE">
      <w:pPr>
        <w:widowControl/>
      </w:pPr>
      <w:r>
        <w:br w:type="page"/>
      </w:r>
    </w:p>
    <w:p w:rsidR="006C354F" w:rsidRDefault="006C354F" w:rsidP="006845F1">
      <w:pPr>
        <w:spacing w:before="120" w:after="120" w:line="360" w:lineRule="auto"/>
        <w:ind w:left="850" w:hanging="850"/>
      </w:pPr>
      <w:r>
        <w:lastRenderedPageBreak/>
        <w:t>3.</w:t>
      </w:r>
      <w:r>
        <w:tab/>
        <w:t xml:space="preserve">Przekazanie uprawnień, o którym mowa w art. 2 ust. 2, art. 4 ust. 2 i 6, art. 5 ust. 3, art. 7 ust. 2, art. 8 ust. 1, art. 14 ust. 6 i art. 16 ust. 7, może zostać w dowolnym momencie odwołane przez Parlament Europejski lub przez Radę. Decyzja o odwołaniu kończy przekazanie określonych w niej uprawnień. Decyzja o odwołaniu staje się skuteczna następnego dnia po jej opublikowaniu w </w:t>
      </w:r>
      <w:r w:rsidRPr="00754132">
        <w:rPr>
          <w:i/>
        </w:rPr>
        <w:t>Dzienniku Urzędowym Unii Europejskiej</w:t>
      </w:r>
      <w:r>
        <w:t xml:space="preserve"> lub w późniejszym terminie określonym w tej decyzji. Nie wpływa ona na ważność już obowiązujących aktów delegowanych.</w:t>
      </w:r>
    </w:p>
    <w:p w:rsidR="006C354F" w:rsidRDefault="006C354F" w:rsidP="006845F1">
      <w:pPr>
        <w:spacing w:before="120" w:after="120" w:line="360" w:lineRule="auto"/>
        <w:ind w:left="850" w:hanging="850"/>
      </w:pPr>
      <w:r>
        <w:t>4.</w:t>
      </w:r>
      <w:r>
        <w:tab/>
        <w:t>Przed przyjęciem aktu delegowanego Komisja konsultuje się z ekspertami wyznaczonymi przez każde państwo członkowskie zgodnie z zasadami określonymi w Porozumieniu międzyinstytucjonalnym z dnia 13 kwietnia 2016 r. w sprawie lepszego stanowienia prawa.</w:t>
      </w:r>
    </w:p>
    <w:p w:rsidR="006C354F" w:rsidRPr="00A77FBE" w:rsidRDefault="006C354F" w:rsidP="006845F1">
      <w:pPr>
        <w:spacing w:before="120" w:after="120" w:line="360" w:lineRule="auto"/>
        <w:ind w:left="850" w:hanging="850"/>
        <w:rPr>
          <w:b/>
        </w:rPr>
      </w:pPr>
      <w:r>
        <w:t>5.</w:t>
      </w:r>
      <w:r>
        <w:tab/>
        <w:t>Niezwłocznie po przyjęciu aktu delegowanego Komisja przekazuje go równocześnie Parlamentowi Europejskiemu i Radzie.</w:t>
      </w:r>
      <w:r>
        <w:rPr>
          <w:b/>
          <w:i/>
        </w:rPr>
        <w:t xml:space="preserve"> Udział ekspertów wyznaczonych przez państwa członkowskie oznacza, że można przedstawić szeroki zakres wiedzy fachowej i perspektyw na poziomie krajowym, a tym samym przyczynić się do świadomego i zrównoważonego podejmowania decyzji w odniesieniu do aktów delegowanych.</w:t>
      </w:r>
      <w:r w:rsidR="00A77FBE">
        <w:rPr>
          <w:b/>
        </w:rPr>
        <w:t xml:space="preserve"> [</w:t>
      </w:r>
      <w:r w:rsidR="00A0113C">
        <w:rPr>
          <w:b/>
        </w:rPr>
        <w:t>Popr.</w:t>
      </w:r>
      <w:r w:rsidR="00A77FBE">
        <w:rPr>
          <w:b/>
        </w:rPr>
        <w:t> 81]</w:t>
      </w:r>
    </w:p>
    <w:p w:rsidR="00A77FBE" w:rsidRDefault="00A77FBE">
      <w:pPr>
        <w:widowControl/>
      </w:pPr>
      <w:r>
        <w:br w:type="page"/>
      </w:r>
    </w:p>
    <w:p w:rsidR="006C354F" w:rsidRDefault="006C354F" w:rsidP="006845F1">
      <w:pPr>
        <w:spacing w:before="120" w:after="120" w:line="360" w:lineRule="auto"/>
        <w:ind w:left="850" w:hanging="850"/>
      </w:pPr>
      <w:r>
        <w:lastRenderedPageBreak/>
        <w:t>6.</w:t>
      </w:r>
      <w:r>
        <w:tab/>
        <w:t>Akt delegowany przyjęty na podstawie art. 2 ust. 2, art. 4 ust. 2 i 6, art. 5 ust. 3, art. 7 ust. 2, art. 8 ust. 1, art. 14 ust. 6 i art. 16 ust. 7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p>
    <w:p w:rsidR="006C354F" w:rsidRDefault="006C354F" w:rsidP="006845F1">
      <w:pPr>
        <w:spacing w:before="120" w:after="120" w:line="360" w:lineRule="auto"/>
        <w:jc w:val="center"/>
      </w:pPr>
      <w:r>
        <w:t>Artykuł 27</w:t>
      </w:r>
      <w:r>
        <w:br/>
        <w:t>Procedura komitetowa</w:t>
      </w:r>
    </w:p>
    <w:p w:rsidR="006C354F" w:rsidRDefault="006C354F" w:rsidP="006845F1">
      <w:pPr>
        <w:spacing w:before="120" w:after="120" w:line="360" w:lineRule="auto"/>
        <w:ind w:left="850" w:hanging="850"/>
      </w:pPr>
      <w:r>
        <w:t>1.</w:t>
      </w:r>
      <w:r>
        <w:tab/>
        <w:t>Komisję wspomaga Stały Komitet ds. Roślin, Zwierząt, Żywności i Pasz ustanowiony na mocy art. 58 ust. 1 rozporządzenia (WE) nr 178/2002 Parlamentu Europejskiego i Rady</w:t>
      </w:r>
      <w:r>
        <w:rPr>
          <w:rStyle w:val="FootnoteReference"/>
        </w:rPr>
        <w:footnoteReference w:id="25"/>
      </w:r>
      <w:r>
        <w:t>. Komitet ten jest komitetem w rozumieniu rozporządzenia (UE) nr 182/2011</w:t>
      </w:r>
      <w:r>
        <w:rPr>
          <w:rStyle w:val="FootnoteReference"/>
        </w:rPr>
        <w:footnoteReference w:id="26"/>
      </w:r>
      <w:r>
        <w:t>.</w:t>
      </w:r>
    </w:p>
    <w:p w:rsidR="006C354F" w:rsidRDefault="006C354F" w:rsidP="006845F1">
      <w:pPr>
        <w:spacing w:before="120" w:after="120" w:line="360" w:lineRule="auto"/>
        <w:ind w:left="850" w:hanging="850"/>
      </w:pPr>
      <w:r>
        <w:t>2.</w:t>
      </w:r>
      <w:r>
        <w:tab/>
        <w:t>W przypadku odesłania do niniejszego ustępu stosuje się art. 5 rozporządzenia (UE) nr 182/2011.</w:t>
      </w:r>
    </w:p>
    <w:p w:rsidR="00A77FBE" w:rsidRDefault="00A77FBE">
      <w:pPr>
        <w:widowControl/>
      </w:pPr>
      <w:r>
        <w:br w:type="page"/>
      </w:r>
    </w:p>
    <w:p w:rsidR="006C354F" w:rsidRDefault="006C354F" w:rsidP="006845F1">
      <w:pPr>
        <w:spacing w:before="120" w:after="120" w:line="360" w:lineRule="auto"/>
        <w:ind w:left="850"/>
      </w:pPr>
      <w:r>
        <w:lastRenderedPageBreak/>
        <w:t>W przypadku gdy opinia komitetu ma być uzyskana w drodze procedury pisemnej, procedura ta kończy się bez osiągnięcia rezultatu gdy – przed upływem terminu na wydanie opinii – zdecyduje o tym przewodniczący komitetu lub wniesie o to zwykła większość członków komitetu.</w:t>
      </w:r>
    </w:p>
    <w:p w:rsidR="006C354F" w:rsidRDefault="006C354F" w:rsidP="006845F1">
      <w:pPr>
        <w:spacing w:before="120" w:after="120" w:line="360" w:lineRule="auto"/>
        <w:ind w:left="850" w:hanging="850"/>
      </w:pPr>
      <w:r>
        <w:t>3.</w:t>
      </w:r>
      <w:r>
        <w:tab/>
        <w:t>W przypadku odesłania do niniejszego ustępu stosuje się art. 8 rozporządzenia (UE) nr 182/2011 w związku z jego art. 5.</w:t>
      </w:r>
    </w:p>
    <w:p w:rsidR="006C354F" w:rsidRDefault="006C354F" w:rsidP="006845F1">
      <w:pPr>
        <w:spacing w:before="120" w:after="120" w:line="360" w:lineRule="auto"/>
        <w:jc w:val="center"/>
      </w:pPr>
      <w:r>
        <w:t xml:space="preserve">ROZDZIAŁ VIII </w:t>
      </w:r>
      <w:r>
        <w:br/>
        <w:t>Sprawozdawczość, sankcje i zmiany rozporządzeń (UE) 2016/2031 i 2017/625</w:t>
      </w:r>
    </w:p>
    <w:p w:rsidR="006C354F" w:rsidRDefault="006C354F" w:rsidP="006845F1">
      <w:pPr>
        <w:spacing w:before="120" w:after="120" w:line="360" w:lineRule="auto"/>
        <w:jc w:val="center"/>
      </w:pPr>
      <w:r>
        <w:t>Artykuł 28</w:t>
      </w:r>
      <w:r>
        <w:br/>
        <w:t>Sprawozdawczość</w:t>
      </w:r>
    </w:p>
    <w:p w:rsidR="006C354F" w:rsidRDefault="006C354F" w:rsidP="006845F1">
      <w:pPr>
        <w:spacing w:before="120" w:after="120" w:line="360" w:lineRule="auto"/>
      </w:pPr>
      <w:r>
        <w:t>Do dnia … [Urząd Publikacji, proszę wstawić datę – pięć lat od daty rozpoczęcia stosowania niniejszego rozporządzenia] r., a następnie co pięć lat, państwa członkowskie przekazują Komisji sprawozdanie w sprawie:</w:t>
      </w:r>
    </w:p>
    <w:p w:rsidR="006C354F" w:rsidRPr="00A77FBE" w:rsidRDefault="006C354F" w:rsidP="006845F1">
      <w:pPr>
        <w:spacing w:before="120" w:after="120" w:line="360" w:lineRule="auto"/>
        <w:ind w:left="850" w:hanging="850"/>
        <w:rPr>
          <w:b/>
        </w:rPr>
      </w:pPr>
      <w:r>
        <w:t>a)</w:t>
      </w:r>
      <w:r>
        <w:tab/>
        <w:t>ilości</w:t>
      </w:r>
      <w:r>
        <w:rPr>
          <w:strike/>
        </w:rPr>
        <w:t xml:space="preserve"> certyfikowanego</w:t>
      </w:r>
      <w:r>
        <w:t xml:space="preserve"> LMR rocznie</w:t>
      </w:r>
      <w:r>
        <w:rPr>
          <w:b/>
          <w:i/>
        </w:rPr>
        <w:t>, w przypadku gdy wydano certyfikat</w:t>
      </w:r>
      <w:r>
        <w:t>;</w:t>
      </w:r>
      <w:r w:rsidR="00A77FBE">
        <w:rPr>
          <w:b/>
        </w:rPr>
        <w:t xml:space="preserve"> [</w:t>
      </w:r>
      <w:r w:rsidR="00A0113C">
        <w:rPr>
          <w:b/>
        </w:rPr>
        <w:t>Popr.</w:t>
      </w:r>
      <w:r w:rsidR="00A77FBE">
        <w:rPr>
          <w:b/>
        </w:rPr>
        <w:t> 82]</w:t>
      </w:r>
    </w:p>
    <w:p w:rsidR="00A77FBE" w:rsidRDefault="00A77FBE">
      <w:pPr>
        <w:widowControl/>
      </w:pPr>
      <w:r>
        <w:br w:type="page"/>
      </w:r>
    </w:p>
    <w:p w:rsidR="006C354F" w:rsidRPr="00A77FBE" w:rsidRDefault="006C354F" w:rsidP="006845F1">
      <w:pPr>
        <w:spacing w:before="120" w:after="120" w:line="360" w:lineRule="auto"/>
        <w:ind w:left="850" w:hanging="850"/>
        <w:rPr>
          <w:b/>
        </w:rPr>
      </w:pPr>
      <w:r>
        <w:lastRenderedPageBreak/>
        <w:t>b)</w:t>
      </w:r>
      <w:r>
        <w:tab/>
        <w:t>liczby przyjętych</w:t>
      </w:r>
      <w:r>
        <w:rPr>
          <w:b/>
          <w:i/>
        </w:rPr>
        <w:t xml:space="preserve"> przez państwa członkowskie</w:t>
      </w:r>
      <w:r>
        <w:t xml:space="preserve"> planów awaryjnych do celów gotowości na problemy z dostawami LMR oraz czasu</w:t>
      </w:r>
      <w:r>
        <w:rPr>
          <w:strike/>
        </w:rPr>
        <w:t>, jaki zajmuje uruchomienie</w:t>
      </w:r>
      <w:r>
        <w:rPr>
          <w:b/>
          <w:i/>
        </w:rPr>
        <w:t xml:space="preserve"> i zasobów potrzebnych do uruchomienia</w:t>
      </w:r>
      <w:r>
        <w:t xml:space="preserve"> tych planów awaryjnych;</w:t>
      </w:r>
      <w:r w:rsidR="00A77FBE">
        <w:rPr>
          <w:b/>
        </w:rPr>
        <w:t xml:space="preserve"> [</w:t>
      </w:r>
      <w:r w:rsidR="00A0113C">
        <w:rPr>
          <w:b/>
        </w:rPr>
        <w:t>Popr.</w:t>
      </w:r>
      <w:r w:rsidR="00A77FBE">
        <w:rPr>
          <w:b/>
        </w:rPr>
        <w:t> 83]</w:t>
      </w:r>
    </w:p>
    <w:p w:rsidR="006C354F" w:rsidRDefault="006C354F" w:rsidP="006845F1">
      <w:pPr>
        <w:spacing w:before="120" w:after="120" w:line="360" w:lineRule="auto"/>
        <w:ind w:left="850" w:hanging="850"/>
      </w:pPr>
      <w:r>
        <w:t>c)</w:t>
      </w:r>
      <w:r>
        <w:tab/>
        <w:t>liczby stron internetowych lub krajowych podręczników plantatorów zawierających informacje wskazujące, gdzie najlepiej siać LMR;</w:t>
      </w:r>
    </w:p>
    <w:p w:rsidR="006C354F" w:rsidRDefault="006C354F" w:rsidP="006845F1">
      <w:pPr>
        <w:spacing w:before="120" w:after="120" w:line="360" w:lineRule="auto"/>
        <w:ind w:left="850" w:hanging="850"/>
      </w:pPr>
      <w:r>
        <w:t>d)</w:t>
      </w:r>
      <w:r>
        <w:tab/>
        <w:t>ilości LMR – w podziale na rodzaje i gatunki – przywożonego z państw trzecich na podstawie równoważności unijnej;</w:t>
      </w:r>
    </w:p>
    <w:p w:rsidR="006C354F" w:rsidRDefault="006C354F" w:rsidP="006845F1">
      <w:pPr>
        <w:spacing w:before="120" w:after="120" w:line="360" w:lineRule="auto"/>
        <w:ind w:left="850" w:hanging="850"/>
      </w:pPr>
      <w:r>
        <w:t>e)</w:t>
      </w:r>
      <w:r>
        <w:tab/>
        <w:t>sankcje stosowane na podstawie art. 29.</w:t>
      </w:r>
    </w:p>
    <w:p w:rsidR="006C354F" w:rsidRPr="006C354F" w:rsidRDefault="006C354F" w:rsidP="006845F1">
      <w:pPr>
        <w:pStyle w:val="Applicationdirecte"/>
        <w:rPr>
          <w:lang w:val="pl-PL"/>
        </w:rPr>
      </w:pPr>
      <w:r w:rsidRPr="006C354F">
        <w:rPr>
          <w:lang w:val="pl-PL"/>
        </w:rPr>
        <w:t>Komisja określa w drodze aktów wykonawczych formaty techniczne sprawozdania przewidzianego w ust. 1 niniejszego artykułu. Te akty wykonawcze przyjmuje się zgodnie z procedurą sprawdzającą, o której mowa w art. 27 ust. 2.</w:t>
      </w:r>
    </w:p>
    <w:p w:rsidR="00A77FBE" w:rsidRDefault="00A77FBE">
      <w:pPr>
        <w:widowControl/>
      </w:pPr>
      <w:r>
        <w:br w:type="page"/>
      </w:r>
    </w:p>
    <w:p w:rsidR="006C354F" w:rsidRDefault="006C354F" w:rsidP="006845F1">
      <w:pPr>
        <w:spacing w:before="120" w:after="120" w:line="360" w:lineRule="auto"/>
        <w:jc w:val="center"/>
      </w:pPr>
      <w:r>
        <w:lastRenderedPageBreak/>
        <w:t>Artykuł 29</w:t>
      </w:r>
      <w:r>
        <w:br/>
        <w:t>Sankcje</w:t>
      </w:r>
    </w:p>
    <w:p w:rsidR="006C354F" w:rsidRDefault="006C354F" w:rsidP="006845F1">
      <w:pPr>
        <w:spacing w:before="120" w:after="120" w:line="360" w:lineRule="auto"/>
        <w:ind w:left="850" w:hanging="850"/>
      </w:pPr>
      <w:r>
        <w:t>1.</w:t>
      </w:r>
      <w:r>
        <w:tab/>
        <w:t>Państwa członkowskie ustanawiają przepisy dotyczące skutecznych, proporcjonalnych i odstraszających sankcji mających zastosowanie w przypadku naruszeń przepisów niniejszego rozporządzenia i wprowadzają wszelkie niezbędne środki, aby zapewnić ich wykonanie. Państwa członkowskie powiadamiają niezwłocznie Komisję o tych przepisach i środkach, a także o wszelkich późniejszych zmianach, które ich dotyczą.</w:t>
      </w:r>
    </w:p>
    <w:p w:rsidR="006C354F" w:rsidRDefault="006C354F" w:rsidP="006845F1">
      <w:pPr>
        <w:spacing w:before="120" w:after="120" w:line="360" w:lineRule="auto"/>
        <w:ind w:left="850" w:hanging="850"/>
      </w:pPr>
      <w:r>
        <w:t>2.</w:t>
      </w:r>
      <w:r>
        <w:tab/>
        <w:t>Państwa członkowskie zapewniają, aby kary finansowe w przypadku naruszeń przepisów niniejszego rozporządzenia, do których dochodzi za sprawą nieuczciwych lub oszukańczych praktyk, odzwierciedlały – w zgodzie z prawem krajowym – korzyść ekonomiczną odniesioną przez podmiot profesjonalny lub, w stosownych przypadkach, dany odsetek jego obrotów.</w:t>
      </w:r>
    </w:p>
    <w:p w:rsidR="00A77FBE" w:rsidRDefault="00A77FBE">
      <w:pPr>
        <w:widowControl/>
      </w:pPr>
      <w:r>
        <w:br w:type="page"/>
      </w:r>
    </w:p>
    <w:p w:rsidR="006C354F" w:rsidRDefault="006C354F" w:rsidP="006845F1">
      <w:pPr>
        <w:spacing w:before="120" w:after="120" w:line="360" w:lineRule="auto"/>
        <w:jc w:val="center"/>
      </w:pPr>
      <w:r>
        <w:lastRenderedPageBreak/>
        <w:t>Artykuł 30</w:t>
      </w:r>
      <w:r>
        <w:br/>
        <w:t>Zmiany rozporządzenia (UE) 2016/2031</w:t>
      </w:r>
    </w:p>
    <w:p w:rsidR="006C354F" w:rsidRDefault="006C354F" w:rsidP="006845F1">
      <w:pPr>
        <w:spacing w:before="120" w:after="120" w:line="360" w:lineRule="auto"/>
      </w:pPr>
      <w:r>
        <w:t>W rozporządzeniu (UE) 2016/2031 wprowadza się następujące zmiany:</w:t>
      </w:r>
    </w:p>
    <w:p w:rsidR="006C354F" w:rsidRDefault="006C354F" w:rsidP="006845F1">
      <w:pPr>
        <w:spacing w:before="120" w:after="120" w:line="360" w:lineRule="auto"/>
        <w:ind w:left="850" w:hanging="850"/>
      </w:pPr>
      <w:r>
        <w:t>1)</w:t>
      </w:r>
      <w:r>
        <w:tab/>
        <w:t>art. 37 ust. 4 otrzymuje brzmienie:</w:t>
      </w:r>
    </w:p>
    <w:p w:rsidR="006C354F" w:rsidRDefault="006C354F" w:rsidP="006845F1">
      <w:pPr>
        <w:spacing w:before="120" w:after="120" w:line="360" w:lineRule="auto"/>
        <w:ind w:left="1416" w:hanging="566"/>
      </w:pPr>
      <w:r>
        <w:t>„4.</w:t>
      </w:r>
      <w:r>
        <w:tab/>
        <w:t xml:space="preserve">W stosownych przypadkach Komisja, w drodze aktów wykonawczych, określa środki w celu zapobiegania występowaniu regulowanych </w:t>
      </w:r>
      <w:proofErr w:type="spellStart"/>
      <w:r>
        <w:t>agrofagów</w:t>
      </w:r>
      <w:proofErr w:type="spellEnd"/>
      <w:r>
        <w:t xml:space="preserve"> </w:t>
      </w:r>
      <w:proofErr w:type="spellStart"/>
      <w:r>
        <w:t>niekwarantannowych</w:t>
      </w:r>
      <w:proofErr w:type="spellEnd"/>
      <w:r>
        <w:t xml:space="preserve"> dla Unii na odnośnych roślinach przeznaczonych do sadzenia, o których mowa w art. 36 lit. f) niniejszego rozporządzenia. Środki te dotyczą, w stosownych przypadkach, wprowadzania tych roślin i ich przemieszczania w Unii.;”</w:t>
      </w:r>
    </w:p>
    <w:p w:rsidR="006C354F" w:rsidRDefault="006C354F" w:rsidP="006845F1">
      <w:pPr>
        <w:spacing w:before="120" w:after="120" w:line="360" w:lineRule="auto"/>
        <w:ind w:left="850" w:hanging="850"/>
      </w:pPr>
      <w:r>
        <w:t>2)</w:t>
      </w:r>
      <w:r>
        <w:tab/>
        <w:t>w art. 83 dodaje się akapit w brzmieniu:</w:t>
      </w:r>
    </w:p>
    <w:p w:rsidR="006C354F" w:rsidRDefault="006C354F" w:rsidP="006845F1">
      <w:pPr>
        <w:spacing w:before="120" w:after="120" w:line="360" w:lineRule="auto"/>
        <w:ind w:left="1416" w:hanging="566"/>
      </w:pPr>
      <w:r>
        <w:t>„5a.</w:t>
      </w:r>
      <w:r>
        <w:tab/>
        <w:t>W przypadku roślin przeznaczonych do sadzenia produkowanych lub wprowadzanych do obrotu jako materiał kategorii: „ze zidentyfikowanego źródła”, „wyselekcjonowany”, „kwalifikowany” lub „przetestowany”, o których mowa rozporządzeniu (UE) .../...*+, paszport roślin jest włączany, w wyraźnie odrębnej formie, do etykiety urzędowej sporządzanej zgodnie z odpowiednimi przepisami tego rozporządzenia.</w:t>
      </w:r>
    </w:p>
    <w:p w:rsidR="006C354F" w:rsidRDefault="006C354F" w:rsidP="006845F1">
      <w:pPr>
        <w:spacing w:before="120" w:after="120" w:line="360" w:lineRule="auto"/>
      </w:pPr>
    </w:p>
    <w:p w:rsidR="00A77FBE" w:rsidRDefault="00A77FBE">
      <w:pPr>
        <w:widowControl/>
      </w:pPr>
      <w:r>
        <w:br w:type="page"/>
      </w:r>
    </w:p>
    <w:p w:rsidR="006C354F" w:rsidRDefault="006C354F" w:rsidP="006845F1">
      <w:pPr>
        <w:spacing w:before="120" w:after="120" w:line="360" w:lineRule="auto"/>
        <w:ind w:left="1416"/>
      </w:pPr>
      <w:r>
        <w:lastRenderedPageBreak/>
        <w:t>W przypadku gdy zastosowanie ma niniejszy ustęp,</w:t>
      </w:r>
    </w:p>
    <w:p w:rsidR="006C354F" w:rsidRDefault="006C354F" w:rsidP="006845F1">
      <w:pPr>
        <w:spacing w:before="120" w:after="120" w:line="360" w:lineRule="auto"/>
        <w:ind w:left="1982" w:hanging="566"/>
      </w:pPr>
      <w:r>
        <w:t>a)</w:t>
      </w:r>
      <w:r>
        <w:tab/>
        <w:t>paszport roślin służący przemieszczaniu na terytorium Unii zawiera elementy określone w częściach E i F załącznika VII do niniejszego rozporządzenia;</w:t>
      </w:r>
    </w:p>
    <w:p w:rsidR="006C354F" w:rsidRDefault="006C354F" w:rsidP="006845F1">
      <w:pPr>
        <w:spacing w:before="120" w:after="120" w:line="360" w:lineRule="auto"/>
        <w:ind w:left="1982" w:hanging="566"/>
      </w:pPr>
      <w:r>
        <w:t>b)</w:t>
      </w:r>
      <w:r>
        <w:tab/>
        <w:t>paszport roślin służący wprowadzaniu do strefy chronionej i przemieszczaniu w niej zawiera elementy określone w części H załącznika VII do niniejszego rozporządzenia.”;</w:t>
      </w:r>
    </w:p>
    <w:p w:rsidR="006C354F" w:rsidRDefault="006C354F" w:rsidP="006845F1">
      <w:pPr>
        <w:spacing w:before="120" w:after="120" w:line="360" w:lineRule="auto"/>
        <w:ind w:left="1982"/>
      </w:pPr>
      <w:r>
        <w:t>______________________</w:t>
      </w:r>
    </w:p>
    <w:p w:rsidR="006C354F" w:rsidRDefault="006C354F" w:rsidP="006845F1">
      <w:pPr>
        <w:spacing w:before="120" w:after="120" w:line="360" w:lineRule="auto"/>
        <w:ind w:left="1982"/>
      </w:pPr>
      <w:r>
        <w:t>*</w:t>
      </w:r>
      <w:r>
        <w:tab/>
        <w:t>Rozporządzenie Parlamentu Europejskiego i Rady (UE) .../... z dnia ... ... (Dz.U. ...).”;</w:t>
      </w:r>
    </w:p>
    <w:p w:rsidR="006C354F" w:rsidRDefault="006C354F" w:rsidP="006845F1">
      <w:pPr>
        <w:spacing w:before="120" w:after="120" w:line="360" w:lineRule="auto"/>
        <w:ind w:left="1982"/>
      </w:pPr>
      <w:r>
        <w:t>+</w:t>
      </w:r>
      <w:r>
        <w:tab/>
        <w:t>UP: Proszę wstawić w tekście numer niniejszego rozporządzenia i instytucje, a w przypisie umieścić numer, datę, tytuł i odesłanie do publikacji Dz.U. niniejszego rozporządzenia.”</w:t>
      </w:r>
    </w:p>
    <w:p w:rsidR="006C354F" w:rsidRDefault="006C354F" w:rsidP="006845F1">
      <w:pPr>
        <w:spacing w:before="120" w:after="120" w:line="360" w:lineRule="auto"/>
        <w:ind w:left="850" w:hanging="850"/>
      </w:pPr>
      <w:r>
        <w:t>3)</w:t>
      </w:r>
      <w:r>
        <w:tab/>
        <w:t>w załączniku VII wprowadza się zmiany zgodnie z załącznikiem VII do niniejszego rozporządzenia.</w:t>
      </w:r>
    </w:p>
    <w:p w:rsidR="00A77FBE" w:rsidRDefault="00A77FBE">
      <w:pPr>
        <w:widowControl/>
      </w:pPr>
      <w:r>
        <w:br w:type="page"/>
      </w:r>
    </w:p>
    <w:p w:rsidR="006C354F" w:rsidRDefault="006C354F" w:rsidP="006845F1">
      <w:pPr>
        <w:spacing w:before="120" w:after="120" w:line="360" w:lineRule="auto"/>
        <w:jc w:val="center"/>
      </w:pPr>
      <w:r>
        <w:lastRenderedPageBreak/>
        <w:t>Artykuł 31</w:t>
      </w:r>
      <w:r>
        <w:br/>
        <w:t>Zmiany rozporządzenia (UE) 2017/625</w:t>
      </w:r>
    </w:p>
    <w:p w:rsidR="006C354F" w:rsidRDefault="006C354F" w:rsidP="006845F1">
      <w:pPr>
        <w:spacing w:before="120" w:after="120" w:line="360" w:lineRule="auto"/>
      </w:pPr>
      <w:r>
        <w:t>W rozporządzeniu (UE) 2017/625 wprowadza się następujące zmiany:</w:t>
      </w:r>
    </w:p>
    <w:p w:rsidR="006C354F" w:rsidRDefault="006C354F" w:rsidP="006845F1">
      <w:pPr>
        <w:spacing w:before="120" w:after="120" w:line="360" w:lineRule="auto"/>
        <w:ind w:left="850" w:hanging="850"/>
      </w:pPr>
      <w:r>
        <w:t>1)</w:t>
      </w:r>
      <w:r>
        <w:tab/>
        <w:t>w art. 1 ust. 2 dodaje się literę w brzmieniu:</w:t>
      </w:r>
    </w:p>
    <w:p w:rsidR="006C354F" w:rsidRDefault="006C354F" w:rsidP="006845F1">
      <w:pPr>
        <w:spacing w:before="120" w:after="120" w:line="360" w:lineRule="auto"/>
        <w:ind w:left="1416" w:hanging="566"/>
      </w:pPr>
      <w:r>
        <w:t>„l)</w:t>
      </w:r>
      <w:r>
        <w:tab/>
        <w:t xml:space="preserve">produkcji i wprowadzania do obrotu leśnego materiału </w:t>
      </w:r>
      <w:proofErr w:type="spellStart"/>
      <w:r>
        <w:t>rozmnożeniowego</w:t>
      </w:r>
      <w:proofErr w:type="spellEnd"/>
      <w:r>
        <w:t>.;”</w:t>
      </w:r>
    </w:p>
    <w:p w:rsidR="006C354F" w:rsidRDefault="006C354F" w:rsidP="006845F1">
      <w:pPr>
        <w:spacing w:before="120" w:after="120" w:line="360" w:lineRule="auto"/>
        <w:ind w:left="850" w:hanging="850"/>
      </w:pPr>
      <w:r>
        <w:t>2)</w:t>
      </w:r>
      <w:r>
        <w:tab/>
        <w:t>w art. 3 dodaje się punkt w brzmieniu:</w:t>
      </w:r>
    </w:p>
    <w:p w:rsidR="006C354F" w:rsidRDefault="006C354F" w:rsidP="006845F1">
      <w:pPr>
        <w:spacing w:before="120" w:after="120" w:line="360" w:lineRule="auto"/>
        <w:ind w:left="1416" w:hanging="566"/>
      </w:pPr>
      <w:r>
        <w:t>„52)</w:t>
      </w:r>
      <w:r>
        <w:tab/>
        <w:t xml:space="preserve">»leśny materiał </w:t>
      </w:r>
      <w:proofErr w:type="spellStart"/>
      <w:r>
        <w:t>rozmnożeniowy</w:t>
      </w:r>
      <w:proofErr w:type="spellEnd"/>
      <w:r>
        <w:t>« oznacza materiał w rozumieniu art. 3 pkt 1 rozporządzenia (UE) …/… z ...*+</w:t>
      </w:r>
    </w:p>
    <w:p w:rsidR="006C354F" w:rsidRDefault="006C354F" w:rsidP="006845F1">
      <w:pPr>
        <w:spacing w:before="120" w:after="120" w:line="360" w:lineRule="auto"/>
        <w:ind w:left="1416"/>
      </w:pPr>
      <w:r>
        <w:t>______________________</w:t>
      </w:r>
    </w:p>
    <w:p w:rsidR="006C354F" w:rsidRDefault="006C354F" w:rsidP="006845F1">
      <w:pPr>
        <w:spacing w:before="120" w:after="120" w:line="360" w:lineRule="auto"/>
        <w:ind w:left="1416"/>
      </w:pPr>
      <w:r>
        <w:t>*</w:t>
      </w:r>
      <w:r>
        <w:tab/>
        <w:t>Rozporządzenie Parlamentu Europejskiego i Rady (UE) .../... z dnia ... ... (Dz.U. ...).”;</w:t>
      </w:r>
    </w:p>
    <w:p w:rsidR="006C354F" w:rsidRDefault="006C354F" w:rsidP="006845F1">
      <w:pPr>
        <w:spacing w:before="120" w:after="120" w:line="360" w:lineRule="auto"/>
        <w:ind w:left="1416"/>
      </w:pPr>
      <w:r>
        <w:tab/>
        <w:t>+</w:t>
      </w:r>
      <w:r>
        <w:tab/>
        <w:t>UP: Proszę wstawić w tekście numer niniejszego rozporządzenia i instytucje, a w przypisie umieścić numer, datę, tytuł i odesłanie do publikacji w Dz.U. niniejszego rozporządzenia.”</w:t>
      </w:r>
    </w:p>
    <w:p w:rsidR="006C354F" w:rsidRDefault="006C354F" w:rsidP="006845F1">
      <w:pPr>
        <w:spacing w:before="120" w:after="120" w:line="360" w:lineRule="auto"/>
      </w:pPr>
    </w:p>
    <w:p w:rsidR="00A77FBE" w:rsidRDefault="00A77FBE">
      <w:pPr>
        <w:widowControl/>
      </w:pPr>
      <w:r>
        <w:br w:type="page"/>
      </w:r>
    </w:p>
    <w:p w:rsidR="006C354F" w:rsidRDefault="006C354F" w:rsidP="006845F1">
      <w:pPr>
        <w:spacing w:before="120" w:after="120" w:line="360" w:lineRule="auto"/>
        <w:ind w:left="850" w:hanging="850"/>
      </w:pPr>
      <w:r>
        <w:lastRenderedPageBreak/>
        <w:t>3)</w:t>
      </w:r>
      <w:r>
        <w:tab/>
        <w:t>po art. 22a dodaje się artykuł w brzmieniu:</w:t>
      </w:r>
    </w:p>
    <w:p w:rsidR="006C354F" w:rsidRDefault="006C354F" w:rsidP="006845F1">
      <w:pPr>
        <w:spacing w:before="120" w:after="120" w:line="360" w:lineRule="auto"/>
        <w:ind w:left="850"/>
      </w:pPr>
      <w:r>
        <w:t>„Artykuł 22b</w:t>
      </w:r>
    </w:p>
    <w:p w:rsidR="006C354F" w:rsidRDefault="006C354F" w:rsidP="006845F1">
      <w:pPr>
        <w:spacing w:before="120" w:after="120" w:line="360" w:lineRule="auto"/>
        <w:ind w:left="850"/>
      </w:pPr>
      <w:r>
        <w:t xml:space="preserve">Przepisy szczególne dotyczące kontroli urzędowych oraz działań podejmowanych przez właściwe organy w związku z leśnym materiałem </w:t>
      </w:r>
      <w:proofErr w:type="spellStart"/>
      <w:r>
        <w:t>rozmnożeniowym</w:t>
      </w:r>
      <w:proofErr w:type="spellEnd"/>
    </w:p>
    <w:p w:rsidR="006C354F" w:rsidRDefault="006C354F" w:rsidP="006845F1">
      <w:pPr>
        <w:spacing w:before="120" w:after="120" w:line="360" w:lineRule="auto"/>
        <w:ind w:left="1416" w:hanging="566"/>
      </w:pPr>
      <w:r>
        <w:t>1.</w:t>
      </w:r>
      <w:r>
        <w:tab/>
        <w:t xml:space="preserve">Kontrole urzędowe w celu zweryfikowania zgodności z przepisami, o których mowa w art. 1 ust. 2 lit. l), obejmują kontrole urzędowe dotyczące produkcji i wprowadzania do obrotu leśnego materiału </w:t>
      </w:r>
      <w:proofErr w:type="spellStart"/>
      <w:r>
        <w:t>rozmnożeniowego</w:t>
      </w:r>
      <w:proofErr w:type="spellEnd"/>
      <w:r>
        <w:t xml:space="preserve"> oraz podmiotów objętych tymi przepisami.</w:t>
      </w:r>
    </w:p>
    <w:p w:rsidR="006C354F" w:rsidRDefault="006C354F" w:rsidP="006845F1">
      <w:pPr>
        <w:spacing w:before="120" w:after="120" w:line="360" w:lineRule="auto"/>
        <w:ind w:left="1416" w:hanging="566"/>
      </w:pPr>
      <w:r>
        <w:t>2.</w:t>
      </w:r>
      <w:r>
        <w:tab/>
        <w:t xml:space="preserve">Komisja jest uprawniona do przyjmowania aktów delegowanych zgodnie z art. 144 w celu uzupełnienia niniejszego rozporządzenia przepisami w zakresie przeprowadzania kontroli urzędowych leśnego materiału </w:t>
      </w:r>
      <w:proofErr w:type="spellStart"/>
      <w:r>
        <w:t>rozmnożeniowego</w:t>
      </w:r>
      <w:proofErr w:type="spellEnd"/>
      <w:r>
        <w:t xml:space="preserve"> w celu sprawdzenia zgodności z przepisami Unii, o których mowa w art. 1 ust. 2 lit. l), mającymi zastosowanie do tych towarów oraz w zakresie działań podejmowanych przez właściwe organy w następstwie przeprowadzenia takich kontroli urzędowych.</w:t>
      </w:r>
    </w:p>
    <w:p w:rsidR="006C354F" w:rsidRDefault="006C354F" w:rsidP="006845F1">
      <w:pPr>
        <w:spacing w:before="120" w:after="120" w:line="360" w:lineRule="auto"/>
        <w:ind w:left="1416"/>
      </w:pPr>
      <w:r>
        <w:t>Te akty delegowane zawierają przepisy dotyczące:</w:t>
      </w:r>
    </w:p>
    <w:p w:rsidR="00A77FBE" w:rsidRDefault="00A77FBE">
      <w:pPr>
        <w:widowControl/>
      </w:pPr>
      <w:r>
        <w:br w:type="page"/>
      </w:r>
    </w:p>
    <w:p w:rsidR="006C354F" w:rsidRDefault="006C354F" w:rsidP="006845F1">
      <w:pPr>
        <w:spacing w:before="120" w:after="120" w:line="360" w:lineRule="auto"/>
        <w:ind w:left="1982" w:hanging="566"/>
      </w:pPr>
      <w:r>
        <w:lastRenderedPageBreak/>
        <w:t>a)</w:t>
      </w:r>
      <w:r>
        <w:tab/>
        <w:t xml:space="preserve">szczególnych wymogów dotyczących przeprowadzania takich kontroli urzędowych w zakresie produkcji i wprowadzania do obrotu w Unii określonego leśnego materiału </w:t>
      </w:r>
      <w:proofErr w:type="spellStart"/>
      <w:r>
        <w:t>rozmnożeniowego</w:t>
      </w:r>
      <w:proofErr w:type="spellEnd"/>
      <w:r>
        <w:t xml:space="preserve"> podlegającego przepisom, o których mowa w art. 1 ust. 2 lit. l), by zareagować na brak zgodności z przepisami unijnymi dotyczącymi leśnego materiału </w:t>
      </w:r>
      <w:proofErr w:type="spellStart"/>
      <w:r>
        <w:t>rozmnożeniowego</w:t>
      </w:r>
      <w:proofErr w:type="spellEnd"/>
      <w:r>
        <w:t xml:space="preserve"> o określonym pochodzeniu pierwotnym lub miejscu pochodzenia;</w:t>
      </w:r>
    </w:p>
    <w:p w:rsidR="006C354F" w:rsidRDefault="006C354F" w:rsidP="006845F1">
      <w:pPr>
        <w:spacing w:before="120" w:after="120" w:line="360" w:lineRule="auto"/>
        <w:ind w:left="1982" w:hanging="566"/>
      </w:pPr>
      <w:r>
        <w:t>b)</w:t>
      </w:r>
      <w:r>
        <w:tab/>
        <w:t xml:space="preserve">szczególnych wymogów dotyczących przeprowadzania takich kontroli urzędowych w odniesieniu do działalności podmiotów profesjonalnych związanej z produkcją określonego leśnego materiału </w:t>
      </w:r>
      <w:proofErr w:type="spellStart"/>
      <w:r>
        <w:t>rozmnożeniowego</w:t>
      </w:r>
      <w:proofErr w:type="spellEnd"/>
      <w:r>
        <w:t xml:space="preserve"> podlegającego przepisom, o których mowa w art. 1 ust. 2 lit. l), by zareagować na brak zgodności z przepisami unijnymi dotyczącymi leśnego materiału </w:t>
      </w:r>
      <w:proofErr w:type="spellStart"/>
      <w:r>
        <w:t>rozmnożeniowego</w:t>
      </w:r>
      <w:proofErr w:type="spellEnd"/>
      <w:r>
        <w:t xml:space="preserve"> o określonym pochodzeniu pierwotnym lub miejscu pochodzenia oraz</w:t>
      </w:r>
    </w:p>
    <w:p w:rsidR="006C354F" w:rsidRDefault="006C354F" w:rsidP="006845F1">
      <w:pPr>
        <w:spacing w:before="120" w:after="120" w:line="360" w:lineRule="auto"/>
        <w:ind w:left="1982" w:hanging="566"/>
      </w:pPr>
      <w:r>
        <w:t>c)</w:t>
      </w:r>
      <w:r>
        <w:tab/>
        <w:t>przypadków, w których właściwe organy mają zastosować co najmniej jeden ze środków, o których mowa w art. 137 ust. 2 i w art. 138 ust. 2, w związku z konkretnymi przypadkami braku zgodności.</w:t>
      </w:r>
    </w:p>
    <w:p w:rsidR="00A77FBE" w:rsidRDefault="00A77FBE">
      <w:pPr>
        <w:widowControl/>
      </w:pPr>
      <w:r>
        <w:br w:type="page"/>
      </w:r>
    </w:p>
    <w:p w:rsidR="006C354F" w:rsidRDefault="006C354F" w:rsidP="006845F1">
      <w:pPr>
        <w:spacing w:before="120" w:after="120" w:line="360" w:lineRule="auto"/>
        <w:ind w:left="1416" w:hanging="566"/>
      </w:pPr>
      <w:r>
        <w:lastRenderedPageBreak/>
        <w:t>3.</w:t>
      </w:r>
      <w:r>
        <w:tab/>
        <w:t xml:space="preserve">Komisja, w drodze aktów wykonawczych, przyjmuje przepisy w zakresie jednolitych praktycznych rozwiązań co do przeprowadzania kontroli urzędowych roślinnego materiału </w:t>
      </w:r>
      <w:proofErr w:type="spellStart"/>
      <w:r>
        <w:t>rozmnożeniowego</w:t>
      </w:r>
      <w:proofErr w:type="spellEnd"/>
      <w:r>
        <w:t xml:space="preserve"> w celu zweryfikowania zgodności z przepisami unijnymi, o których mowa w art. 1 ust. 2 lit. l), mającymi zastosowanie do tych towarów oraz w zakresie działań podejmowanych przez właściwe organy w następstwie takich kontroli urzędowych w odniesieniu do:</w:t>
      </w:r>
    </w:p>
    <w:p w:rsidR="006C354F" w:rsidRDefault="006C354F" w:rsidP="006845F1">
      <w:pPr>
        <w:spacing w:before="120" w:after="120" w:line="360" w:lineRule="auto"/>
        <w:ind w:left="1982" w:hanging="566"/>
      </w:pPr>
      <w:r>
        <w:t>a)</w:t>
      </w:r>
      <w:r>
        <w:tab/>
        <w:t xml:space="preserve">jednolitej minimalnej częstotliwości takich kontroli urzędowych, w przypadku gdy minimalny poziom kontroli urzędowej jest niezbędny, by zareagować na znane jednolite ryzyka niezgodności z przepisami dotyczącymi leśnego materiał </w:t>
      </w:r>
      <w:proofErr w:type="spellStart"/>
      <w:r>
        <w:t>rozmnożeniowego</w:t>
      </w:r>
      <w:proofErr w:type="spellEnd"/>
      <w:r>
        <w:t xml:space="preserve"> określonego pochodzenia pierwotnego lub miejsca pochodzenia;</w:t>
      </w:r>
    </w:p>
    <w:p w:rsidR="006C354F" w:rsidRDefault="006C354F" w:rsidP="006845F1">
      <w:pPr>
        <w:spacing w:before="120" w:after="120" w:line="360" w:lineRule="auto"/>
        <w:ind w:left="1982" w:hanging="566"/>
      </w:pPr>
      <w:r>
        <w:t>b)</w:t>
      </w:r>
      <w:r>
        <w:tab/>
        <w:t>częstotliwości kontroli urzędowych przeprowadzanych przez właściwe organy w odniesieniu do podmiotów upoważnionych do wydawania etykiet urzędowych pod nadzorem urzędowym zgodnie z art. 16 ust. 1 rozporządzenia (UE) …/…*+.</w:t>
      </w:r>
    </w:p>
    <w:p w:rsidR="006C354F" w:rsidRDefault="006C354F" w:rsidP="006845F1">
      <w:pPr>
        <w:spacing w:before="120" w:after="120" w:line="360" w:lineRule="auto"/>
        <w:ind w:left="1416"/>
      </w:pPr>
      <w:r>
        <w:t>Te akty wykonawcze przyjmuje się zgodnie z procedurą sprawdzającą, o której mowa w art. 145 ust. 2.</w:t>
      </w:r>
    </w:p>
    <w:p w:rsidR="006C354F" w:rsidRDefault="006C354F" w:rsidP="006845F1">
      <w:pPr>
        <w:spacing w:before="120" w:after="120" w:line="360" w:lineRule="auto"/>
        <w:ind w:left="1416"/>
      </w:pPr>
      <w:r>
        <w:t>______________________</w:t>
      </w:r>
    </w:p>
    <w:p w:rsidR="006C354F" w:rsidRDefault="006C354F" w:rsidP="006845F1">
      <w:pPr>
        <w:spacing w:before="120" w:after="120" w:line="360" w:lineRule="auto"/>
        <w:ind w:left="1416"/>
      </w:pPr>
      <w:r>
        <w:t>*</w:t>
      </w:r>
      <w:r>
        <w:tab/>
        <w:t>Rozporządzenie Parlamentu Europejskiego i Rady (UE) .../... z dnia ... ... (DZ.U. ...).”;</w:t>
      </w:r>
    </w:p>
    <w:p w:rsidR="006C354F" w:rsidRDefault="006C354F" w:rsidP="006845F1">
      <w:pPr>
        <w:spacing w:before="120" w:after="120" w:line="360" w:lineRule="auto"/>
        <w:ind w:left="1416"/>
      </w:pPr>
      <w:r>
        <w:tab/>
        <w:t>+</w:t>
      </w:r>
      <w:r>
        <w:tab/>
        <w:t>UP: Proszę wstawić w tekście numer niniejszego rozporządzenia i instytucje, a w przypisie umieścić numer, datę, tytuł i odesłanie do publikacji Dz.U. niniejszego rozporządzenia.”</w:t>
      </w:r>
    </w:p>
    <w:p w:rsidR="006C354F" w:rsidRDefault="006C354F" w:rsidP="006845F1">
      <w:pPr>
        <w:spacing w:before="120" w:after="120" w:line="360" w:lineRule="auto"/>
      </w:pPr>
    </w:p>
    <w:p w:rsidR="00A77FBE" w:rsidRDefault="00A77FBE">
      <w:pPr>
        <w:widowControl/>
      </w:pPr>
      <w:r>
        <w:br w:type="page"/>
      </w:r>
    </w:p>
    <w:p w:rsidR="006C354F" w:rsidRDefault="006C354F" w:rsidP="006845F1">
      <w:pPr>
        <w:spacing w:before="120" w:after="120" w:line="360" w:lineRule="auto"/>
        <w:jc w:val="center"/>
      </w:pPr>
      <w:r>
        <w:lastRenderedPageBreak/>
        <w:t xml:space="preserve">ROZDZIAŁ IX </w:t>
      </w:r>
      <w:r>
        <w:br/>
        <w:t>PRZEPISY KOŃCOWE</w:t>
      </w:r>
    </w:p>
    <w:p w:rsidR="006C354F" w:rsidRDefault="006C354F" w:rsidP="006845F1">
      <w:pPr>
        <w:spacing w:before="120" w:after="120" w:line="360" w:lineRule="auto"/>
        <w:jc w:val="center"/>
      </w:pPr>
      <w:r>
        <w:t>Artykuł 32</w:t>
      </w:r>
      <w:r>
        <w:br/>
        <w:t>Uchylenie dyrektywy 1999/105/WE</w:t>
      </w:r>
    </w:p>
    <w:p w:rsidR="006C354F" w:rsidRPr="006C354F" w:rsidRDefault="006C354F" w:rsidP="006845F1">
      <w:pPr>
        <w:pStyle w:val="Applicationdirecte"/>
        <w:rPr>
          <w:lang w:val="pl-PL"/>
        </w:rPr>
      </w:pPr>
      <w:r w:rsidRPr="006C354F">
        <w:rPr>
          <w:lang w:val="pl-PL"/>
        </w:rPr>
        <w:t>Dyrektywa 1999/105/WE traci moc.</w:t>
      </w:r>
    </w:p>
    <w:p w:rsidR="006C354F" w:rsidRPr="006C354F" w:rsidRDefault="006C354F" w:rsidP="006845F1">
      <w:pPr>
        <w:pStyle w:val="Applicationdirecte"/>
        <w:rPr>
          <w:lang w:val="pl-PL"/>
        </w:rPr>
      </w:pPr>
      <w:r w:rsidRPr="006C354F">
        <w:rPr>
          <w:lang w:val="pl-PL"/>
        </w:rPr>
        <w:t>Odesłania do tego uchylonego aktu traktuje się jako odesłania do niniejszego rozporządzenia zgodnie z tabelą korelacji znajdującą się w załączniku VIII.</w:t>
      </w:r>
    </w:p>
    <w:p w:rsidR="006C354F" w:rsidRDefault="006C354F" w:rsidP="006845F1">
      <w:pPr>
        <w:spacing w:before="120" w:after="120" w:line="360" w:lineRule="auto"/>
        <w:jc w:val="center"/>
      </w:pPr>
      <w:r>
        <w:t>Artykuł 33</w:t>
      </w:r>
      <w:r>
        <w:br/>
        <w:t>Wejście w życie i stosowanie</w:t>
      </w:r>
    </w:p>
    <w:p w:rsidR="006C354F" w:rsidRPr="006C354F" w:rsidRDefault="006C354F" w:rsidP="006845F1">
      <w:pPr>
        <w:pStyle w:val="Applicationdirecte"/>
        <w:rPr>
          <w:lang w:val="pl-PL"/>
        </w:rPr>
      </w:pPr>
      <w:r w:rsidRPr="006C354F">
        <w:rPr>
          <w:lang w:val="pl-PL"/>
        </w:rPr>
        <w:t xml:space="preserve">Niniejsze rozporządzenie wchodzi w życie dwudziestego dnia po jego opublikowaniu w </w:t>
      </w:r>
      <w:r w:rsidRPr="00A77FBE">
        <w:rPr>
          <w:i/>
          <w:lang w:val="pl-PL"/>
        </w:rPr>
        <w:t>Dzienniku Urzędowym Unii Europejskiej</w:t>
      </w:r>
      <w:r w:rsidRPr="006C354F">
        <w:rPr>
          <w:lang w:val="pl-PL"/>
        </w:rPr>
        <w:t>.</w:t>
      </w:r>
    </w:p>
    <w:p w:rsidR="006C354F" w:rsidRPr="006C354F" w:rsidRDefault="006C354F" w:rsidP="006845F1">
      <w:pPr>
        <w:pStyle w:val="Applicationdirecte"/>
        <w:rPr>
          <w:lang w:val="pl-PL"/>
        </w:rPr>
      </w:pPr>
      <w:r w:rsidRPr="006C354F">
        <w:rPr>
          <w:lang w:val="pl-PL"/>
        </w:rPr>
        <w:t>Niniejsze rozporządzenie stosuje się od dnia … [3 miesiące od daty wejścia w życie niniejszego rozporządzenia] r.</w:t>
      </w:r>
    </w:p>
    <w:p w:rsidR="006C354F" w:rsidRPr="006C354F" w:rsidRDefault="006C354F" w:rsidP="006845F1">
      <w:pPr>
        <w:pStyle w:val="Applicationdirecte"/>
        <w:rPr>
          <w:lang w:val="pl-PL"/>
        </w:rPr>
      </w:pPr>
      <w:r w:rsidRPr="006C354F">
        <w:rPr>
          <w:lang w:val="pl-PL"/>
        </w:rPr>
        <w:t>Niniejsze rozporządzenie wiąże w całości i jest bezpośrednio stosowane we wszystkich państwach członkowskich.</w:t>
      </w:r>
    </w:p>
    <w:p w:rsidR="006C354F" w:rsidRPr="006C354F" w:rsidRDefault="006C354F" w:rsidP="006845F1">
      <w:pPr>
        <w:pStyle w:val="Fait"/>
        <w:spacing w:after="120"/>
        <w:rPr>
          <w:lang w:val="pl-PL"/>
        </w:rPr>
      </w:pPr>
      <w:r w:rsidRPr="006C354F">
        <w:rPr>
          <w:lang w:val="pl-PL"/>
        </w:rPr>
        <w:t xml:space="preserve">Sporządzono w </w:t>
      </w:r>
      <w:r w:rsidR="00754132">
        <w:rPr>
          <w:lang w:val="pl-PL"/>
        </w:rPr>
        <w:t>…</w:t>
      </w:r>
      <w:r w:rsidRPr="006C354F">
        <w:rPr>
          <w:lang w:val="pl-PL"/>
        </w:rPr>
        <w:t xml:space="preserve"> dnia […] r.</w:t>
      </w:r>
    </w:p>
    <w:p w:rsidR="006C354F" w:rsidRPr="006C354F" w:rsidRDefault="006C354F" w:rsidP="00A77FBE">
      <w:pPr>
        <w:pStyle w:val="SignatureInstitution"/>
        <w:spacing w:after="120"/>
        <w:rPr>
          <w:lang w:val="pl-PL"/>
        </w:rPr>
      </w:pPr>
      <w:r w:rsidRPr="006C354F">
        <w:rPr>
          <w:lang w:val="pl-PL"/>
        </w:rPr>
        <w:t>W imieniu Parlamentu Europejskiego</w:t>
      </w:r>
      <w:r w:rsidRPr="006C354F">
        <w:rPr>
          <w:lang w:val="pl-PL"/>
        </w:rPr>
        <w:tab/>
        <w:t>W imieniu Rady</w:t>
      </w:r>
    </w:p>
    <w:p w:rsidR="006C354F" w:rsidRPr="006C354F" w:rsidRDefault="006C354F" w:rsidP="006845F1">
      <w:pPr>
        <w:pStyle w:val="SignaturePersonne"/>
        <w:spacing w:before="120" w:after="120"/>
        <w:rPr>
          <w:lang w:val="pl-PL"/>
        </w:rPr>
      </w:pPr>
      <w:r w:rsidRPr="006C354F">
        <w:rPr>
          <w:lang w:val="pl-PL"/>
        </w:rPr>
        <w:t>Przewodnicząca</w:t>
      </w:r>
      <w:r w:rsidRPr="006C354F">
        <w:rPr>
          <w:lang w:val="pl-PL"/>
        </w:rPr>
        <w:tab/>
        <w:t>Przewodniczący</w:t>
      </w:r>
    </w:p>
    <w:p w:rsidR="006C354F" w:rsidRDefault="006C354F" w:rsidP="006845F1">
      <w:pPr>
        <w:spacing w:before="120" w:after="120" w:line="360" w:lineRule="auto"/>
        <w:sectPr w:rsidR="006C354F">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6C354F" w:rsidRDefault="006C354F" w:rsidP="006845F1">
      <w:pPr>
        <w:spacing w:before="120" w:after="120" w:line="360" w:lineRule="auto"/>
      </w:pPr>
    </w:p>
    <w:p w:rsidR="006C354F" w:rsidRPr="006C354F" w:rsidRDefault="006C354F" w:rsidP="006845F1">
      <w:pPr>
        <w:pStyle w:val="Normale"/>
        <w:jc w:val="center"/>
        <w:rPr>
          <w:lang w:val="pl-PL"/>
        </w:rPr>
      </w:pPr>
      <w:r w:rsidRPr="006C354F">
        <w:rPr>
          <w:lang w:val="pl-PL"/>
        </w:rPr>
        <w:t>ZAŁĄCZNIK I</w:t>
      </w:r>
    </w:p>
    <w:p w:rsidR="006C354F" w:rsidRPr="006C354F" w:rsidRDefault="006C354F" w:rsidP="006845F1">
      <w:pPr>
        <w:pStyle w:val="Applicationdirecte"/>
        <w:rPr>
          <w:lang w:val="pl-PL"/>
        </w:rPr>
      </w:pPr>
      <w:r w:rsidRPr="006C354F">
        <w:rPr>
          <w:lang w:val="pl-PL"/>
        </w:rPr>
        <w:t>LISTA GATUNKÓW DRZEW I SZTUCZNYCH MIESZAŃCÓW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134"/>
        <w:gridCol w:w="4931"/>
      </w:tblGrid>
      <w:tr w:rsidR="006C6EA4" w:rsidRPr="006C7D04" w:rsidTr="006C6EA4">
        <w:tc>
          <w:tcPr>
            <w:tcW w:w="0" w:type="auto"/>
          </w:tcPr>
          <w:p w:rsidR="006C6EA4" w:rsidRPr="006C7D04" w:rsidRDefault="006C6EA4" w:rsidP="00A0113C">
            <w:pPr>
              <w:spacing w:before="120" w:after="120" w:line="360" w:lineRule="auto"/>
            </w:pPr>
            <w:proofErr w:type="spellStart"/>
            <w:r w:rsidRPr="006C7D04">
              <w:t>Abies</w:t>
            </w:r>
            <w:proofErr w:type="spellEnd"/>
            <w:r w:rsidRPr="006C7D04">
              <w:t xml:space="preserve"> alba Mill.</w:t>
            </w:r>
          </w:p>
        </w:tc>
        <w:tc>
          <w:tcPr>
            <w:tcW w:w="0" w:type="auto"/>
          </w:tcPr>
          <w:p w:rsidR="006C6EA4" w:rsidRPr="006C7D04" w:rsidRDefault="006C6EA4" w:rsidP="00A0113C">
            <w:pPr>
              <w:spacing w:before="120" w:after="120" w:line="360" w:lineRule="auto"/>
            </w:pPr>
            <w:proofErr w:type="spellStart"/>
            <w:r w:rsidRPr="006C7D04">
              <w:t>Picea</w:t>
            </w:r>
            <w:proofErr w:type="spellEnd"/>
            <w:r w:rsidRPr="006C7D04">
              <w:t xml:space="preserve"> </w:t>
            </w:r>
            <w:proofErr w:type="spellStart"/>
            <w:r w:rsidRPr="006C7D04">
              <w:t>abies</w:t>
            </w:r>
            <w:proofErr w:type="spellEnd"/>
            <w:r w:rsidRPr="006C7D04">
              <w:t xml:space="preserve"> </w:t>
            </w:r>
            <w:proofErr w:type="spellStart"/>
            <w:r w:rsidRPr="006C7D04">
              <w:t>Karst</w:t>
            </w:r>
            <w:proofErr w:type="spellEnd"/>
            <w:r w:rsidRPr="006C7D04">
              <w:t>.</w:t>
            </w:r>
          </w:p>
        </w:tc>
      </w:tr>
      <w:tr w:rsidR="006C6EA4" w:rsidRPr="006C7D04" w:rsidTr="006C6EA4">
        <w:tc>
          <w:tcPr>
            <w:tcW w:w="0" w:type="auto"/>
          </w:tcPr>
          <w:p w:rsidR="006C6EA4" w:rsidRPr="006C7D04" w:rsidRDefault="006C6EA4" w:rsidP="00A0113C">
            <w:pPr>
              <w:spacing w:before="120" w:after="120" w:line="360" w:lineRule="auto"/>
            </w:pPr>
            <w:proofErr w:type="spellStart"/>
            <w:r w:rsidRPr="006C7D04">
              <w:rPr>
                <w:b/>
                <w:i/>
              </w:rPr>
              <w:t>Abies</w:t>
            </w:r>
            <w:proofErr w:type="spellEnd"/>
            <w:r w:rsidRPr="006C7D04">
              <w:rPr>
                <w:b/>
                <w:i/>
              </w:rPr>
              <w:t xml:space="preserve"> </w:t>
            </w:r>
            <w:proofErr w:type="spellStart"/>
            <w:r w:rsidRPr="006C7D04">
              <w:rPr>
                <w:b/>
                <w:i/>
              </w:rPr>
              <w:t>bornmulleriana</w:t>
            </w:r>
            <w:proofErr w:type="spellEnd"/>
          </w:p>
        </w:tc>
        <w:tc>
          <w:tcPr>
            <w:tcW w:w="0" w:type="auto"/>
          </w:tcPr>
          <w:p w:rsidR="006C6EA4" w:rsidRPr="006C7D04" w:rsidRDefault="006C6EA4" w:rsidP="00A0113C">
            <w:pPr>
              <w:spacing w:before="120" w:after="120" w:line="360" w:lineRule="auto"/>
            </w:pPr>
            <w:proofErr w:type="spellStart"/>
            <w:r w:rsidRPr="006C7D04">
              <w:t>Picea</w:t>
            </w:r>
            <w:proofErr w:type="spellEnd"/>
            <w:r w:rsidRPr="006C7D04">
              <w:t xml:space="preserve"> </w:t>
            </w:r>
            <w:proofErr w:type="spellStart"/>
            <w:r w:rsidRPr="006C7D04">
              <w:t>sitchensis</w:t>
            </w:r>
            <w:proofErr w:type="spellEnd"/>
            <w:r w:rsidRPr="006C7D04">
              <w:t xml:space="preserve"> </w:t>
            </w:r>
            <w:proofErr w:type="spellStart"/>
            <w:r w:rsidRPr="006C7D04">
              <w:t>Carr</w:t>
            </w:r>
            <w:proofErr w:type="spellEnd"/>
            <w:r w:rsidRPr="006C7D04">
              <w:t>.</w:t>
            </w:r>
          </w:p>
        </w:tc>
      </w:tr>
      <w:tr w:rsidR="006C6EA4" w:rsidRPr="006C7D04" w:rsidTr="006C6EA4">
        <w:tc>
          <w:tcPr>
            <w:tcW w:w="0" w:type="auto"/>
          </w:tcPr>
          <w:p w:rsidR="006C6EA4" w:rsidRPr="006C7D04" w:rsidRDefault="006C6EA4" w:rsidP="00A0113C">
            <w:pPr>
              <w:spacing w:before="120" w:after="120" w:line="360" w:lineRule="auto"/>
              <w:rPr>
                <w:b/>
                <w:i/>
              </w:rPr>
            </w:pPr>
            <w:proofErr w:type="spellStart"/>
            <w:r w:rsidRPr="006C7D04">
              <w:t>Abies</w:t>
            </w:r>
            <w:proofErr w:type="spellEnd"/>
            <w:r w:rsidRPr="006C7D04">
              <w:t xml:space="preserve"> </w:t>
            </w:r>
            <w:proofErr w:type="spellStart"/>
            <w:r w:rsidRPr="006C7D04">
              <w:t>cephalonica</w:t>
            </w:r>
            <w:proofErr w:type="spellEnd"/>
            <w:r w:rsidRPr="006C7D04">
              <w:t xml:space="preserve"> </w:t>
            </w:r>
            <w:proofErr w:type="spellStart"/>
            <w:r w:rsidRPr="006C7D04">
              <w:t>Loud</w:t>
            </w:r>
            <w:proofErr w:type="spellEnd"/>
            <w:r w:rsidRPr="006C7D04">
              <w:t>.</w:t>
            </w:r>
          </w:p>
        </w:tc>
        <w:tc>
          <w:tcPr>
            <w:tcW w:w="0" w:type="auto"/>
          </w:tcPr>
          <w:p w:rsidR="006C6EA4" w:rsidRPr="006C7D04" w:rsidRDefault="006C6EA4" w:rsidP="00A0113C">
            <w:pPr>
              <w:spacing w:before="120" w:after="120" w:line="360" w:lineRule="auto"/>
            </w:pPr>
            <w:proofErr w:type="spellStart"/>
            <w:r w:rsidRPr="006C7D04">
              <w:t>Pinus</w:t>
            </w:r>
            <w:proofErr w:type="spellEnd"/>
            <w:r w:rsidRPr="006C7D04">
              <w:t xml:space="preserve"> </w:t>
            </w:r>
            <w:proofErr w:type="spellStart"/>
            <w:r w:rsidRPr="006C7D04">
              <w:t>brutia</w:t>
            </w:r>
            <w:proofErr w:type="spellEnd"/>
            <w:r w:rsidRPr="006C7D04">
              <w:t xml:space="preserve"> Ten.</w:t>
            </w:r>
          </w:p>
        </w:tc>
      </w:tr>
      <w:tr w:rsidR="006C6EA4" w:rsidRPr="006C7D04" w:rsidTr="006C6EA4">
        <w:tc>
          <w:tcPr>
            <w:tcW w:w="0" w:type="auto"/>
          </w:tcPr>
          <w:p w:rsidR="006C6EA4" w:rsidRPr="006C7D04" w:rsidRDefault="006C6EA4" w:rsidP="00A0113C">
            <w:pPr>
              <w:spacing w:before="120" w:after="120" w:line="360" w:lineRule="auto"/>
            </w:pPr>
            <w:proofErr w:type="spellStart"/>
            <w:r w:rsidRPr="006C7D04">
              <w:t>Abies</w:t>
            </w:r>
            <w:proofErr w:type="spellEnd"/>
            <w:r w:rsidRPr="006C7D04">
              <w:t xml:space="preserve"> </w:t>
            </w:r>
            <w:proofErr w:type="spellStart"/>
            <w:r w:rsidRPr="006C7D04">
              <w:t>grandis</w:t>
            </w:r>
            <w:proofErr w:type="spellEnd"/>
            <w:r w:rsidRPr="006C7D04">
              <w:t xml:space="preserve"> </w:t>
            </w:r>
            <w:proofErr w:type="spellStart"/>
            <w:r w:rsidRPr="006C7D04">
              <w:t>Lindl</w:t>
            </w:r>
            <w:proofErr w:type="spellEnd"/>
            <w:r w:rsidRPr="006C7D04">
              <w:t>.</w:t>
            </w:r>
          </w:p>
        </w:tc>
        <w:tc>
          <w:tcPr>
            <w:tcW w:w="0" w:type="auto"/>
          </w:tcPr>
          <w:p w:rsidR="006C6EA4" w:rsidRPr="006C7D04" w:rsidRDefault="006C6EA4" w:rsidP="00A0113C">
            <w:pPr>
              <w:spacing w:before="120" w:after="120" w:line="360" w:lineRule="auto"/>
            </w:pPr>
            <w:proofErr w:type="spellStart"/>
            <w:r w:rsidRPr="006C7D04">
              <w:t>Pinus</w:t>
            </w:r>
            <w:proofErr w:type="spellEnd"/>
            <w:r w:rsidRPr="006C7D04">
              <w:t xml:space="preserve"> </w:t>
            </w:r>
            <w:proofErr w:type="spellStart"/>
            <w:r w:rsidRPr="006C7D04">
              <w:t>canariensis</w:t>
            </w:r>
            <w:proofErr w:type="spellEnd"/>
            <w:r w:rsidRPr="006C7D04">
              <w:t xml:space="preserve"> C. </w:t>
            </w:r>
            <w:proofErr w:type="spellStart"/>
            <w:r w:rsidRPr="006C7D04">
              <w:t>Smith</w:t>
            </w:r>
            <w:proofErr w:type="spellEnd"/>
          </w:p>
        </w:tc>
      </w:tr>
      <w:tr w:rsidR="006C6EA4" w:rsidRPr="006C7D04" w:rsidTr="006C6EA4">
        <w:tc>
          <w:tcPr>
            <w:tcW w:w="0" w:type="auto"/>
          </w:tcPr>
          <w:p w:rsidR="006C6EA4" w:rsidRPr="006C7D04" w:rsidRDefault="006C6EA4" w:rsidP="00A0113C">
            <w:pPr>
              <w:spacing w:before="120" w:after="120" w:line="360" w:lineRule="auto"/>
            </w:pPr>
            <w:proofErr w:type="spellStart"/>
            <w:r w:rsidRPr="006C7D04">
              <w:t>Abies</w:t>
            </w:r>
            <w:proofErr w:type="spellEnd"/>
            <w:r w:rsidRPr="006C7D04">
              <w:t xml:space="preserve"> </w:t>
            </w:r>
            <w:proofErr w:type="spellStart"/>
            <w:r w:rsidRPr="006C7D04">
              <w:t>pinsapo</w:t>
            </w:r>
            <w:proofErr w:type="spellEnd"/>
            <w:r w:rsidRPr="006C7D04">
              <w:t xml:space="preserve"> </w:t>
            </w:r>
            <w:proofErr w:type="spellStart"/>
            <w:r w:rsidRPr="006C7D04">
              <w:t>Boiss</w:t>
            </w:r>
            <w:proofErr w:type="spellEnd"/>
            <w:r w:rsidRPr="006C7D04">
              <w:t>.</w:t>
            </w:r>
          </w:p>
        </w:tc>
        <w:tc>
          <w:tcPr>
            <w:tcW w:w="0" w:type="auto"/>
          </w:tcPr>
          <w:p w:rsidR="006C6EA4" w:rsidRPr="006C7D04" w:rsidRDefault="006C6EA4" w:rsidP="00A0113C">
            <w:pPr>
              <w:spacing w:before="120" w:after="120" w:line="360" w:lineRule="auto"/>
            </w:pPr>
            <w:proofErr w:type="spellStart"/>
            <w:r w:rsidRPr="006C7D04">
              <w:t>Pinus</w:t>
            </w:r>
            <w:proofErr w:type="spellEnd"/>
            <w:r w:rsidRPr="006C7D04">
              <w:t xml:space="preserve"> cembra L.</w:t>
            </w:r>
          </w:p>
        </w:tc>
      </w:tr>
      <w:tr w:rsidR="006C6EA4" w:rsidRPr="006C7D04" w:rsidTr="006C6EA4">
        <w:tc>
          <w:tcPr>
            <w:tcW w:w="0" w:type="auto"/>
          </w:tcPr>
          <w:p w:rsidR="006C6EA4" w:rsidRPr="006C7D04" w:rsidRDefault="006C6EA4" w:rsidP="00A0113C">
            <w:pPr>
              <w:spacing w:before="120" w:after="120" w:line="360" w:lineRule="auto"/>
            </w:pPr>
            <w:proofErr w:type="spellStart"/>
            <w:r w:rsidRPr="006C7D04">
              <w:rPr>
                <w:b/>
                <w:i/>
              </w:rPr>
              <w:t>Acer</w:t>
            </w:r>
            <w:proofErr w:type="spellEnd"/>
            <w:r w:rsidRPr="006C7D04">
              <w:rPr>
                <w:b/>
                <w:i/>
              </w:rPr>
              <w:t xml:space="preserve"> </w:t>
            </w:r>
            <w:proofErr w:type="spellStart"/>
            <w:r w:rsidRPr="006C7D04">
              <w:rPr>
                <w:b/>
                <w:i/>
              </w:rPr>
              <w:t>campestre</w:t>
            </w:r>
            <w:proofErr w:type="spellEnd"/>
          </w:p>
        </w:tc>
        <w:tc>
          <w:tcPr>
            <w:tcW w:w="0" w:type="auto"/>
          </w:tcPr>
          <w:p w:rsidR="006C6EA4" w:rsidRPr="006C7D04" w:rsidRDefault="006C6EA4" w:rsidP="00A0113C">
            <w:pPr>
              <w:spacing w:before="120" w:after="120" w:line="360" w:lineRule="auto"/>
            </w:pPr>
            <w:proofErr w:type="spellStart"/>
            <w:r w:rsidRPr="006C7D04">
              <w:t>Pinus</w:t>
            </w:r>
            <w:proofErr w:type="spellEnd"/>
            <w:r w:rsidRPr="006C7D04">
              <w:t xml:space="preserve"> </w:t>
            </w:r>
            <w:proofErr w:type="spellStart"/>
            <w:r w:rsidRPr="006C7D04">
              <w:t>contorta</w:t>
            </w:r>
            <w:proofErr w:type="spellEnd"/>
            <w:r w:rsidRPr="006C7D04">
              <w:t xml:space="preserve"> </w:t>
            </w:r>
            <w:proofErr w:type="spellStart"/>
            <w:r w:rsidRPr="006C7D04">
              <w:t>Loud</w:t>
            </w:r>
            <w:proofErr w:type="spellEnd"/>
          </w:p>
        </w:tc>
      </w:tr>
      <w:tr w:rsidR="006C6EA4" w:rsidRPr="006C7D04" w:rsidTr="006C6EA4">
        <w:tc>
          <w:tcPr>
            <w:tcW w:w="0" w:type="auto"/>
          </w:tcPr>
          <w:p w:rsidR="006C6EA4" w:rsidRPr="006C7D04" w:rsidRDefault="006C6EA4" w:rsidP="00A0113C">
            <w:pPr>
              <w:spacing w:before="120" w:after="120" w:line="360" w:lineRule="auto"/>
            </w:pPr>
            <w:proofErr w:type="spellStart"/>
            <w:r w:rsidRPr="006C7D04">
              <w:t>Acer</w:t>
            </w:r>
            <w:proofErr w:type="spellEnd"/>
            <w:r w:rsidRPr="006C7D04">
              <w:t xml:space="preserve"> </w:t>
            </w:r>
            <w:proofErr w:type="spellStart"/>
            <w:r w:rsidRPr="006C7D04">
              <w:t>platanoides</w:t>
            </w:r>
            <w:proofErr w:type="spellEnd"/>
            <w:r w:rsidRPr="006C7D04">
              <w:t xml:space="preserve"> L.</w:t>
            </w:r>
          </w:p>
        </w:tc>
        <w:tc>
          <w:tcPr>
            <w:tcW w:w="0" w:type="auto"/>
          </w:tcPr>
          <w:p w:rsidR="006C6EA4" w:rsidRPr="006C7D04" w:rsidRDefault="006C6EA4" w:rsidP="00A0113C">
            <w:pPr>
              <w:spacing w:before="120" w:after="120" w:line="360" w:lineRule="auto"/>
            </w:pPr>
            <w:proofErr w:type="spellStart"/>
            <w:r w:rsidRPr="006C7D04">
              <w:t>Pinus</w:t>
            </w:r>
            <w:proofErr w:type="spellEnd"/>
            <w:r w:rsidRPr="006C7D04">
              <w:t xml:space="preserve"> </w:t>
            </w:r>
            <w:proofErr w:type="spellStart"/>
            <w:r w:rsidRPr="006C7D04">
              <w:t>halepensis</w:t>
            </w:r>
            <w:proofErr w:type="spellEnd"/>
            <w:r w:rsidRPr="006C7D04">
              <w:t xml:space="preserve"> Mill.</w:t>
            </w:r>
          </w:p>
        </w:tc>
      </w:tr>
      <w:tr w:rsidR="006C6EA4" w:rsidRPr="006C7D04" w:rsidTr="006C6EA4">
        <w:tc>
          <w:tcPr>
            <w:tcW w:w="0" w:type="auto"/>
          </w:tcPr>
          <w:p w:rsidR="006C6EA4" w:rsidRPr="006C7D04" w:rsidRDefault="006C6EA4" w:rsidP="00A0113C">
            <w:pPr>
              <w:spacing w:before="120" w:after="120" w:line="360" w:lineRule="auto"/>
            </w:pPr>
            <w:proofErr w:type="spellStart"/>
            <w:r w:rsidRPr="006C7D04">
              <w:t>Acer</w:t>
            </w:r>
            <w:proofErr w:type="spellEnd"/>
            <w:r w:rsidRPr="006C7D04">
              <w:t xml:space="preserve"> </w:t>
            </w:r>
            <w:proofErr w:type="spellStart"/>
            <w:r w:rsidRPr="006C7D04">
              <w:t>pseudoplatanus</w:t>
            </w:r>
            <w:proofErr w:type="spellEnd"/>
            <w:r w:rsidRPr="006C7D04">
              <w:t xml:space="preserve"> L.</w:t>
            </w:r>
          </w:p>
        </w:tc>
        <w:tc>
          <w:tcPr>
            <w:tcW w:w="0" w:type="auto"/>
          </w:tcPr>
          <w:p w:rsidR="006C6EA4" w:rsidRPr="006C7D04" w:rsidRDefault="006C6EA4" w:rsidP="00A0113C">
            <w:pPr>
              <w:spacing w:before="120" w:after="120" w:line="360" w:lineRule="auto"/>
            </w:pPr>
            <w:proofErr w:type="spellStart"/>
            <w:r w:rsidRPr="006C7D04">
              <w:t>Pinus</w:t>
            </w:r>
            <w:proofErr w:type="spellEnd"/>
            <w:r w:rsidRPr="006C7D04">
              <w:t xml:space="preserve"> </w:t>
            </w:r>
            <w:proofErr w:type="spellStart"/>
            <w:r w:rsidRPr="006C7D04">
              <w:t>leucodermis</w:t>
            </w:r>
            <w:proofErr w:type="spellEnd"/>
            <w:r w:rsidRPr="006C7D04">
              <w:t xml:space="preserve"> </w:t>
            </w:r>
            <w:proofErr w:type="spellStart"/>
            <w:r w:rsidRPr="006C7D04">
              <w:t>Antoine</w:t>
            </w:r>
            <w:proofErr w:type="spellEnd"/>
          </w:p>
        </w:tc>
      </w:tr>
      <w:tr w:rsidR="006C6EA4" w:rsidRPr="006C7D04" w:rsidTr="006C6EA4">
        <w:tc>
          <w:tcPr>
            <w:tcW w:w="0" w:type="auto"/>
          </w:tcPr>
          <w:p w:rsidR="006C6EA4" w:rsidRPr="006C7D04" w:rsidRDefault="006C6EA4" w:rsidP="00A0113C">
            <w:pPr>
              <w:spacing w:before="120" w:after="120" w:line="360" w:lineRule="auto"/>
            </w:pPr>
            <w:proofErr w:type="spellStart"/>
            <w:r w:rsidRPr="006C7D04">
              <w:rPr>
                <w:b/>
                <w:i/>
              </w:rPr>
              <w:t>Alnus</w:t>
            </w:r>
            <w:proofErr w:type="spellEnd"/>
            <w:r w:rsidRPr="006C7D04">
              <w:rPr>
                <w:b/>
                <w:i/>
              </w:rPr>
              <w:t xml:space="preserve"> </w:t>
            </w:r>
            <w:proofErr w:type="spellStart"/>
            <w:r w:rsidRPr="006C7D04">
              <w:rPr>
                <w:b/>
                <w:i/>
              </w:rPr>
              <w:t>cordata</w:t>
            </w:r>
            <w:proofErr w:type="spellEnd"/>
            <w:r w:rsidRPr="006C7D04">
              <w:rPr>
                <w:b/>
                <w:i/>
              </w:rPr>
              <w:t xml:space="preserve"> - </w:t>
            </w:r>
            <w:proofErr w:type="spellStart"/>
            <w:r w:rsidRPr="006C7D04">
              <w:rPr>
                <w:b/>
                <w:i/>
              </w:rPr>
              <w:t>Juglans</w:t>
            </w:r>
            <w:proofErr w:type="spellEnd"/>
            <w:r w:rsidRPr="006C7D04">
              <w:rPr>
                <w:b/>
                <w:i/>
              </w:rPr>
              <w:t xml:space="preserve"> </w:t>
            </w:r>
            <w:proofErr w:type="spellStart"/>
            <w:r w:rsidRPr="006C7D04">
              <w:rPr>
                <w:b/>
                <w:i/>
              </w:rPr>
              <w:t>regia</w:t>
            </w:r>
            <w:proofErr w:type="spellEnd"/>
          </w:p>
        </w:tc>
        <w:tc>
          <w:tcPr>
            <w:tcW w:w="0" w:type="auto"/>
          </w:tcPr>
          <w:p w:rsidR="006C6EA4" w:rsidRPr="006C7D04" w:rsidRDefault="006C6EA4" w:rsidP="00A0113C">
            <w:pPr>
              <w:spacing w:before="120" w:after="120" w:line="360" w:lineRule="auto"/>
            </w:pPr>
            <w:proofErr w:type="spellStart"/>
            <w:r w:rsidRPr="006C7D04">
              <w:t>Pinus</w:t>
            </w:r>
            <w:proofErr w:type="spellEnd"/>
            <w:r w:rsidRPr="006C7D04">
              <w:t xml:space="preserve"> </w:t>
            </w:r>
            <w:proofErr w:type="spellStart"/>
            <w:r w:rsidRPr="006C7D04">
              <w:t>nigra</w:t>
            </w:r>
            <w:proofErr w:type="spellEnd"/>
            <w:r w:rsidRPr="006C7D04">
              <w:t xml:space="preserve"> Arnold</w:t>
            </w:r>
          </w:p>
        </w:tc>
      </w:tr>
      <w:tr w:rsidR="006C6EA4" w:rsidRPr="006C7D04" w:rsidTr="006C6EA4">
        <w:tc>
          <w:tcPr>
            <w:tcW w:w="0" w:type="auto"/>
          </w:tcPr>
          <w:p w:rsidR="006C6EA4" w:rsidRPr="006C7D04" w:rsidRDefault="006C6EA4" w:rsidP="00A0113C">
            <w:pPr>
              <w:spacing w:before="120" w:after="120" w:line="360" w:lineRule="auto"/>
            </w:pPr>
            <w:proofErr w:type="spellStart"/>
            <w:r w:rsidRPr="006C7D04">
              <w:t>Alnus</w:t>
            </w:r>
            <w:proofErr w:type="spellEnd"/>
            <w:r w:rsidRPr="006C7D04">
              <w:t xml:space="preserve"> </w:t>
            </w:r>
            <w:proofErr w:type="spellStart"/>
            <w:r w:rsidRPr="006C7D04">
              <w:t>glutinosa</w:t>
            </w:r>
            <w:proofErr w:type="spellEnd"/>
            <w:r w:rsidRPr="006C7D04">
              <w:t xml:space="preserve"> </w:t>
            </w:r>
            <w:proofErr w:type="spellStart"/>
            <w:r w:rsidRPr="006C7D04">
              <w:t>Gaertn</w:t>
            </w:r>
            <w:proofErr w:type="spellEnd"/>
            <w:r w:rsidRPr="006C7D04">
              <w:t>.</w:t>
            </w:r>
          </w:p>
        </w:tc>
        <w:tc>
          <w:tcPr>
            <w:tcW w:w="0" w:type="auto"/>
          </w:tcPr>
          <w:p w:rsidR="006C6EA4" w:rsidRPr="006C7D04" w:rsidRDefault="006C6EA4" w:rsidP="00A0113C">
            <w:pPr>
              <w:spacing w:before="120" w:after="120" w:line="360" w:lineRule="auto"/>
            </w:pPr>
            <w:proofErr w:type="spellStart"/>
            <w:r w:rsidRPr="006C7D04">
              <w:t>Pinus</w:t>
            </w:r>
            <w:proofErr w:type="spellEnd"/>
            <w:r w:rsidRPr="006C7D04">
              <w:t xml:space="preserve"> </w:t>
            </w:r>
            <w:proofErr w:type="spellStart"/>
            <w:r w:rsidRPr="006C7D04">
              <w:t>pinaster</w:t>
            </w:r>
            <w:proofErr w:type="spellEnd"/>
            <w:r w:rsidRPr="006C7D04">
              <w:t xml:space="preserve"> </w:t>
            </w:r>
            <w:proofErr w:type="spellStart"/>
            <w:r w:rsidRPr="006C7D04">
              <w:t>Ait</w:t>
            </w:r>
            <w:proofErr w:type="spellEnd"/>
            <w:r w:rsidRPr="006C7D04">
              <w:t>.</w:t>
            </w:r>
          </w:p>
        </w:tc>
      </w:tr>
      <w:tr w:rsidR="006C6EA4" w:rsidRPr="006C7D04" w:rsidTr="006C6EA4">
        <w:tc>
          <w:tcPr>
            <w:tcW w:w="0" w:type="auto"/>
          </w:tcPr>
          <w:p w:rsidR="006C6EA4" w:rsidRPr="006C7D04" w:rsidRDefault="006C6EA4" w:rsidP="00A0113C">
            <w:pPr>
              <w:spacing w:before="120" w:after="120" w:line="360" w:lineRule="auto"/>
            </w:pPr>
            <w:proofErr w:type="spellStart"/>
            <w:r w:rsidRPr="006C7D04">
              <w:t>Alnus</w:t>
            </w:r>
            <w:proofErr w:type="spellEnd"/>
            <w:r w:rsidRPr="006C7D04">
              <w:t xml:space="preserve"> </w:t>
            </w:r>
            <w:proofErr w:type="spellStart"/>
            <w:r w:rsidRPr="006C7D04">
              <w:t>incana</w:t>
            </w:r>
            <w:proofErr w:type="spellEnd"/>
            <w:r w:rsidRPr="006C7D04">
              <w:t xml:space="preserve"> </w:t>
            </w:r>
            <w:proofErr w:type="spellStart"/>
            <w:r w:rsidRPr="006C7D04">
              <w:t>Moench</w:t>
            </w:r>
            <w:proofErr w:type="spellEnd"/>
            <w:r w:rsidRPr="006C7D04">
              <w:t>.</w:t>
            </w:r>
          </w:p>
        </w:tc>
        <w:tc>
          <w:tcPr>
            <w:tcW w:w="0" w:type="auto"/>
          </w:tcPr>
          <w:p w:rsidR="006C6EA4" w:rsidRPr="006C7D04" w:rsidRDefault="006C6EA4" w:rsidP="00A0113C">
            <w:pPr>
              <w:spacing w:before="120" w:after="120" w:line="360" w:lineRule="auto"/>
            </w:pPr>
            <w:proofErr w:type="spellStart"/>
            <w:r w:rsidRPr="006C7D04">
              <w:t>Pinus</w:t>
            </w:r>
            <w:proofErr w:type="spellEnd"/>
            <w:r w:rsidRPr="006C7D04">
              <w:t xml:space="preserve"> </w:t>
            </w:r>
            <w:proofErr w:type="spellStart"/>
            <w:r w:rsidRPr="006C7D04">
              <w:t>pinea</w:t>
            </w:r>
            <w:proofErr w:type="spellEnd"/>
            <w:r w:rsidRPr="006C7D04">
              <w:t xml:space="preserve"> L.</w:t>
            </w:r>
          </w:p>
        </w:tc>
      </w:tr>
      <w:tr w:rsidR="006C6EA4" w:rsidRPr="006C7D04" w:rsidTr="006C6EA4">
        <w:tc>
          <w:tcPr>
            <w:tcW w:w="0" w:type="auto"/>
          </w:tcPr>
          <w:p w:rsidR="006C6EA4" w:rsidRPr="006C7D04" w:rsidRDefault="006C6EA4" w:rsidP="00A0113C">
            <w:pPr>
              <w:spacing w:before="120" w:after="120" w:line="360" w:lineRule="auto"/>
            </w:pPr>
            <w:proofErr w:type="spellStart"/>
            <w:r w:rsidRPr="006C7D04">
              <w:t>Betula</w:t>
            </w:r>
            <w:proofErr w:type="spellEnd"/>
            <w:r w:rsidRPr="006C7D04">
              <w:t xml:space="preserve"> </w:t>
            </w:r>
            <w:proofErr w:type="spellStart"/>
            <w:r w:rsidRPr="006C7D04">
              <w:t>pendula</w:t>
            </w:r>
            <w:proofErr w:type="spellEnd"/>
            <w:r w:rsidRPr="006C7D04">
              <w:t xml:space="preserve"> </w:t>
            </w:r>
            <w:proofErr w:type="spellStart"/>
            <w:r w:rsidRPr="006C7D04">
              <w:t>Roth</w:t>
            </w:r>
            <w:proofErr w:type="spellEnd"/>
            <w:r w:rsidRPr="006C7D04">
              <w:t>.</w:t>
            </w:r>
          </w:p>
        </w:tc>
        <w:tc>
          <w:tcPr>
            <w:tcW w:w="0" w:type="auto"/>
          </w:tcPr>
          <w:p w:rsidR="006C6EA4" w:rsidRPr="006C7D04" w:rsidRDefault="006C6EA4" w:rsidP="00A0113C">
            <w:pPr>
              <w:spacing w:before="120" w:after="120" w:line="360" w:lineRule="auto"/>
            </w:pPr>
            <w:proofErr w:type="spellStart"/>
            <w:r w:rsidRPr="006C7D04">
              <w:t>Pinus</w:t>
            </w:r>
            <w:proofErr w:type="spellEnd"/>
            <w:r w:rsidRPr="006C7D04">
              <w:t xml:space="preserve"> </w:t>
            </w:r>
            <w:proofErr w:type="spellStart"/>
            <w:r w:rsidRPr="006C7D04">
              <w:t>radiata</w:t>
            </w:r>
            <w:proofErr w:type="spellEnd"/>
            <w:r w:rsidRPr="006C7D04">
              <w:t xml:space="preserve"> D. Don</w:t>
            </w:r>
          </w:p>
        </w:tc>
      </w:tr>
      <w:tr w:rsidR="006C6EA4" w:rsidRPr="006C7D04" w:rsidTr="006C6EA4">
        <w:tc>
          <w:tcPr>
            <w:tcW w:w="0" w:type="auto"/>
          </w:tcPr>
          <w:p w:rsidR="006C6EA4" w:rsidRPr="006C7D04" w:rsidRDefault="006C6EA4" w:rsidP="00A0113C">
            <w:pPr>
              <w:spacing w:before="120" w:after="120" w:line="360" w:lineRule="auto"/>
            </w:pPr>
            <w:proofErr w:type="spellStart"/>
            <w:r w:rsidRPr="006C7D04">
              <w:t>Betula</w:t>
            </w:r>
            <w:proofErr w:type="spellEnd"/>
            <w:r w:rsidRPr="006C7D04">
              <w:t xml:space="preserve"> </w:t>
            </w:r>
            <w:proofErr w:type="spellStart"/>
            <w:r w:rsidRPr="006C7D04">
              <w:t>pubescens</w:t>
            </w:r>
            <w:proofErr w:type="spellEnd"/>
            <w:r w:rsidRPr="006C7D04">
              <w:t xml:space="preserve"> </w:t>
            </w:r>
            <w:proofErr w:type="spellStart"/>
            <w:r w:rsidRPr="006C7D04">
              <w:t>Ehrh</w:t>
            </w:r>
            <w:proofErr w:type="spellEnd"/>
            <w:r w:rsidRPr="006C7D04">
              <w:t>.</w:t>
            </w:r>
          </w:p>
        </w:tc>
        <w:tc>
          <w:tcPr>
            <w:tcW w:w="0" w:type="auto"/>
          </w:tcPr>
          <w:p w:rsidR="006C6EA4" w:rsidRPr="006C7D04" w:rsidRDefault="006C6EA4" w:rsidP="00A0113C">
            <w:pPr>
              <w:spacing w:before="120" w:after="120" w:line="360" w:lineRule="auto"/>
            </w:pPr>
            <w:proofErr w:type="spellStart"/>
            <w:r w:rsidRPr="006C7D04">
              <w:t>Pinus</w:t>
            </w:r>
            <w:proofErr w:type="spellEnd"/>
            <w:r w:rsidRPr="006C7D04">
              <w:t xml:space="preserve"> </w:t>
            </w:r>
            <w:proofErr w:type="spellStart"/>
            <w:r w:rsidRPr="006C7D04">
              <w:t>sylvestris</w:t>
            </w:r>
            <w:proofErr w:type="spellEnd"/>
            <w:r w:rsidRPr="006C7D04">
              <w:t xml:space="preserve"> L.</w:t>
            </w:r>
          </w:p>
        </w:tc>
      </w:tr>
      <w:tr w:rsidR="006C6EA4" w:rsidRPr="006C7D04" w:rsidTr="006C6EA4">
        <w:tc>
          <w:tcPr>
            <w:tcW w:w="0" w:type="auto"/>
          </w:tcPr>
          <w:p w:rsidR="006C6EA4" w:rsidRPr="006C7D04" w:rsidRDefault="006C6EA4" w:rsidP="00A0113C">
            <w:pPr>
              <w:spacing w:before="120" w:after="120" w:line="360" w:lineRule="auto"/>
            </w:pPr>
            <w:proofErr w:type="spellStart"/>
            <w:r w:rsidRPr="006C7D04">
              <w:t>Carpinus</w:t>
            </w:r>
            <w:proofErr w:type="spellEnd"/>
            <w:r w:rsidRPr="006C7D04">
              <w:t xml:space="preserve"> </w:t>
            </w:r>
            <w:proofErr w:type="spellStart"/>
            <w:r w:rsidRPr="006C7D04">
              <w:t>betulus</w:t>
            </w:r>
            <w:proofErr w:type="spellEnd"/>
            <w:r w:rsidRPr="006C7D04">
              <w:t xml:space="preserve"> L.</w:t>
            </w:r>
          </w:p>
        </w:tc>
        <w:tc>
          <w:tcPr>
            <w:tcW w:w="0" w:type="auto"/>
          </w:tcPr>
          <w:p w:rsidR="006C6EA4" w:rsidRPr="006C7D04" w:rsidRDefault="006C6EA4" w:rsidP="00A0113C">
            <w:pPr>
              <w:spacing w:before="120" w:after="120" w:line="360" w:lineRule="auto"/>
            </w:pPr>
            <w:proofErr w:type="spellStart"/>
            <w:r w:rsidRPr="006C7D04">
              <w:rPr>
                <w:b/>
                <w:i/>
              </w:rPr>
              <w:t>Pinus</w:t>
            </w:r>
            <w:proofErr w:type="spellEnd"/>
            <w:r w:rsidRPr="006C7D04">
              <w:rPr>
                <w:b/>
                <w:i/>
              </w:rPr>
              <w:t xml:space="preserve"> </w:t>
            </w:r>
            <w:proofErr w:type="spellStart"/>
            <w:r w:rsidRPr="006C7D04">
              <w:rPr>
                <w:b/>
                <w:i/>
              </w:rPr>
              <w:t>taeda</w:t>
            </w:r>
            <w:proofErr w:type="spellEnd"/>
          </w:p>
        </w:tc>
      </w:tr>
      <w:tr w:rsidR="006C6EA4" w:rsidRPr="006C7D04" w:rsidTr="006C6EA4">
        <w:tc>
          <w:tcPr>
            <w:tcW w:w="0" w:type="auto"/>
          </w:tcPr>
          <w:p w:rsidR="006C6EA4" w:rsidRPr="006C7D04" w:rsidRDefault="006C6EA4" w:rsidP="00A0113C">
            <w:pPr>
              <w:spacing w:before="120" w:after="120" w:line="360" w:lineRule="auto"/>
            </w:pPr>
            <w:proofErr w:type="spellStart"/>
            <w:r w:rsidRPr="006C7D04">
              <w:t>Castanea</w:t>
            </w:r>
            <w:proofErr w:type="spellEnd"/>
            <w:r w:rsidRPr="006C7D04">
              <w:t xml:space="preserve"> </w:t>
            </w:r>
            <w:proofErr w:type="spellStart"/>
            <w:r w:rsidRPr="006C7D04">
              <w:t>sativa</w:t>
            </w:r>
            <w:proofErr w:type="spellEnd"/>
            <w:r w:rsidRPr="006C7D04">
              <w:t xml:space="preserve"> Mill.</w:t>
            </w:r>
          </w:p>
        </w:tc>
        <w:tc>
          <w:tcPr>
            <w:tcW w:w="0" w:type="auto"/>
          </w:tcPr>
          <w:p w:rsidR="006C6EA4" w:rsidRPr="006C7D04" w:rsidRDefault="006C6EA4" w:rsidP="00A0113C">
            <w:pPr>
              <w:spacing w:before="120" w:after="120" w:line="360" w:lineRule="auto"/>
              <w:rPr>
                <w:b/>
                <w:i/>
              </w:rPr>
            </w:pPr>
            <w:proofErr w:type="spellStart"/>
            <w:r w:rsidRPr="006C7D04">
              <w:rPr>
                <w:b/>
                <w:i/>
              </w:rPr>
              <w:t>Populus</w:t>
            </w:r>
            <w:proofErr w:type="spellEnd"/>
            <w:r w:rsidRPr="006C7D04">
              <w:rPr>
                <w:b/>
                <w:i/>
              </w:rPr>
              <w:t xml:space="preserve"> </w:t>
            </w:r>
            <w:proofErr w:type="spellStart"/>
            <w:r w:rsidRPr="006C7D04">
              <w:rPr>
                <w:b/>
                <w:i/>
              </w:rPr>
              <w:t>nigra</w:t>
            </w:r>
            <w:proofErr w:type="spellEnd"/>
          </w:p>
        </w:tc>
      </w:tr>
      <w:tr w:rsidR="006C6EA4" w:rsidRPr="00754132" w:rsidTr="006C6EA4">
        <w:tc>
          <w:tcPr>
            <w:tcW w:w="0" w:type="auto"/>
          </w:tcPr>
          <w:p w:rsidR="006C6EA4" w:rsidRPr="006C7D04" w:rsidRDefault="006C6EA4" w:rsidP="00A0113C">
            <w:pPr>
              <w:spacing w:before="120" w:after="120" w:line="360" w:lineRule="auto"/>
            </w:pPr>
            <w:proofErr w:type="spellStart"/>
            <w:r w:rsidRPr="006C7D04">
              <w:t>Cedrus</w:t>
            </w:r>
            <w:proofErr w:type="spellEnd"/>
            <w:r w:rsidRPr="006C7D04">
              <w:t xml:space="preserve"> </w:t>
            </w:r>
            <w:proofErr w:type="spellStart"/>
            <w:r w:rsidRPr="006C7D04">
              <w:t>atlantica</w:t>
            </w:r>
            <w:proofErr w:type="spellEnd"/>
            <w:r w:rsidRPr="006C7D04">
              <w:t xml:space="preserve"> </w:t>
            </w:r>
            <w:proofErr w:type="spellStart"/>
            <w:r w:rsidRPr="006C7D04">
              <w:t>Carr</w:t>
            </w:r>
            <w:proofErr w:type="spellEnd"/>
            <w:r w:rsidRPr="006C7D04">
              <w:t>.</w:t>
            </w:r>
          </w:p>
        </w:tc>
        <w:tc>
          <w:tcPr>
            <w:tcW w:w="0" w:type="auto"/>
          </w:tcPr>
          <w:p w:rsidR="006C6EA4" w:rsidRPr="006C6EA4" w:rsidRDefault="006C6EA4" w:rsidP="00A0113C">
            <w:pPr>
              <w:spacing w:before="120" w:after="120" w:line="360" w:lineRule="auto"/>
              <w:rPr>
                <w:lang w:val="en-GB"/>
              </w:rPr>
            </w:pPr>
            <w:proofErr w:type="spellStart"/>
            <w:r w:rsidRPr="006C6EA4">
              <w:rPr>
                <w:lang w:val="en-GB"/>
              </w:rPr>
              <w:t>Populus</w:t>
            </w:r>
            <w:proofErr w:type="spellEnd"/>
            <w:r w:rsidRPr="006C6EA4">
              <w:rPr>
                <w:lang w:val="en-GB"/>
              </w:rPr>
              <w:t xml:space="preserve"> spp. and artificial hybrids between those species</w:t>
            </w:r>
          </w:p>
        </w:tc>
      </w:tr>
      <w:tr w:rsidR="006C6EA4" w:rsidRPr="006C7D04" w:rsidTr="006C6EA4">
        <w:tc>
          <w:tcPr>
            <w:tcW w:w="0" w:type="auto"/>
          </w:tcPr>
          <w:p w:rsidR="006C6EA4" w:rsidRPr="006C7D04" w:rsidRDefault="006C6EA4" w:rsidP="00A0113C">
            <w:pPr>
              <w:spacing w:before="120" w:after="120" w:line="360" w:lineRule="auto"/>
            </w:pPr>
            <w:proofErr w:type="spellStart"/>
            <w:r w:rsidRPr="006C7D04">
              <w:t>Cedrus</w:t>
            </w:r>
            <w:proofErr w:type="spellEnd"/>
            <w:r w:rsidRPr="006C7D04">
              <w:t xml:space="preserve"> </w:t>
            </w:r>
            <w:proofErr w:type="spellStart"/>
            <w:r w:rsidRPr="006C7D04">
              <w:t>libani</w:t>
            </w:r>
            <w:proofErr w:type="spellEnd"/>
            <w:r w:rsidRPr="006C7D04">
              <w:t xml:space="preserve"> A. Richard</w:t>
            </w:r>
          </w:p>
        </w:tc>
        <w:tc>
          <w:tcPr>
            <w:tcW w:w="0" w:type="auto"/>
          </w:tcPr>
          <w:p w:rsidR="006C6EA4" w:rsidRPr="006C7D04" w:rsidRDefault="006C6EA4" w:rsidP="00A0113C">
            <w:pPr>
              <w:spacing w:before="120" w:after="120" w:line="360" w:lineRule="auto"/>
            </w:pPr>
            <w:proofErr w:type="spellStart"/>
            <w:r w:rsidRPr="006C7D04">
              <w:rPr>
                <w:b/>
                <w:i/>
              </w:rPr>
              <w:t>Populus</w:t>
            </w:r>
            <w:proofErr w:type="spellEnd"/>
            <w:r w:rsidRPr="006C7D04">
              <w:rPr>
                <w:b/>
                <w:i/>
              </w:rPr>
              <w:t xml:space="preserve"> </w:t>
            </w:r>
            <w:proofErr w:type="spellStart"/>
            <w:r w:rsidRPr="006C7D04">
              <w:rPr>
                <w:b/>
                <w:i/>
              </w:rPr>
              <w:t>tremula</w:t>
            </w:r>
            <w:proofErr w:type="spellEnd"/>
          </w:p>
        </w:tc>
      </w:tr>
      <w:tr w:rsidR="006C6EA4" w:rsidRPr="006C7D04" w:rsidTr="006C6EA4">
        <w:tc>
          <w:tcPr>
            <w:tcW w:w="0" w:type="auto"/>
          </w:tcPr>
          <w:p w:rsidR="006C6EA4" w:rsidRPr="006C7D04" w:rsidRDefault="006C6EA4" w:rsidP="00A0113C">
            <w:pPr>
              <w:spacing w:before="120" w:after="120" w:line="360" w:lineRule="auto"/>
            </w:pPr>
            <w:proofErr w:type="spellStart"/>
            <w:r w:rsidRPr="006C7D04">
              <w:rPr>
                <w:b/>
                <w:i/>
              </w:rPr>
              <w:t>Eucalyptus</w:t>
            </w:r>
            <w:proofErr w:type="spellEnd"/>
            <w:r w:rsidRPr="006C7D04">
              <w:rPr>
                <w:b/>
                <w:i/>
              </w:rPr>
              <w:t xml:space="preserve"> </w:t>
            </w:r>
            <w:proofErr w:type="spellStart"/>
            <w:r w:rsidRPr="006C7D04">
              <w:rPr>
                <w:b/>
                <w:i/>
              </w:rPr>
              <w:t>globulus</w:t>
            </w:r>
            <w:proofErr w:type="spellEnd"/>
          </w:p>
        </w:tc>
        <w:tc>
          <w:tcPr>
            <w:tcW w:w="0" w:type="auto"/>
          </w:tcPr>
          <w:p w:rsidR="006C6EA4" w:rsidRPr="006C7D04" w:rsidRDefault="006C6EA4" w:rsidP="00A0113C">
            <w:pPr>
              <w:spacing w:before="120" w:after="120" w:line="360" w:lineRule="auto"/>
            </w:pPr>
            <w:proofErr w:type="spellStart"/>
            <w:r w:rsidRPr="006C7D04">
              <w:t>Prunus</w:t>
            </w:r>
            <w:proofErr w:type="spellEnd"/>
            <w:r w:rsidRPr="006C7D04">
              <w:t xml:space="preserve"> </w:t>
            </w:r>
            <w:proofErr w:type="spellStart"/>
            <w:r w:rsidRPr="006C7D04">
              <w:t>avium</w:t>
            </w:r>
            <w:proofErr w:type="spellEnd"/>
            <w:r w:rsidRPr="006C7D04">
              <w:t xml:space="preserve"> L.</w:t>
            </w:r>
          </w:p>
        </w:tc>
      </w:tr>
      <w:tr w:rsidR="006C6EA4" w:rsidRPr="006C7D04" w:rsidTr="006C6EA4">
        <w:tc>
          <w:tcPr>
            <w:tcW w:w="0" w:type="auto"/>
          </w:tcPr>
          <w:p w:rsidR="006C6EA4" w:rsidRPr="006C7D04" w:rsidRDefault="006C6EA4" w:rsidP="00A0113C">
            <w:pPr>
              <w:spacing w:before="120" w:after="120" w:line="360" w:lineRule="auto"/>
            </w:pPr>
            <w:proofErr w:type="spellStart"/>
            <w:r w:rsidRPr="006C7D04">
              <w:rPr>
                <w:b/>
                <w:i/>
              </w:rPr>
              <w:lastRenderedPageBreak/>
              <w:t>Eucalyptus</w:t>
            </w:r>
            <w:proofErr w:type="spellEnd"/>
            <w:r w:rsidRPr="006C7D04">
              <w:rPr>
                <w:b/>
                <w:i/>
              </w:rPr>
              <w:t xml:space="preserve"> </w:t>
            </w:r>
            <w:proofErr w:type="spellStart"/>
            <w:r w:rsidRPr="006C7D04">
              <w:rPr>
                <w:b/>
                <w:i/>
              </w:rPr>
              <w:t>gunnii</w:t>
            </w:r>
            <w:proofErr w:type="spellEnd"/>
          </w:p>
        </w:tc>
        <w:tc>
          <w:tcPr>
            <w:tcW w:w="0" w:type="auto"/>
          </w:tcPr>
          <w:p w:rsidR="006C6EA4" w:rsidRPr="006C7D04" w:rsidRDefault="006C6EA4" w:rsidP="00A0113C">
            <w:pPr>
              <w:spacing w:before="120" w:after="120" w:line="360" w:lineRule="auto"/>
            </w:pPr>
            <w:proofErr w:type="spellStart"/>
            <w:r w:rsidRPr="006C7D04">
              <w:t>Pseudotsuga</w:t>
            </w:r>
            <w:proofErr w:type="spellEnd"/>
            <w:r w:rsidRPr="006C7D04">
              <w:t xml:space="preserve"> </w:t>
            </w:r>
            <w:proofErr w:type="spellStart"/>
            <w:r w:rsidRPr="006C7D04">
              <w:t>menziesii</w:t>
            </w:r>
            <w:proofErr w:type="spellEnd"/>
            <w:r w:rsidRPr="006C7D04">
              <w:t xml:space="preserve"> Franco</w:t>
            </w:r>
          </w:p>
        </w:tc>
      </w:tr>
      <w:tr w:rsidR="006C6EA4" w:rsidRPr="006C7D04" w:rsidTr="006C6EA4">
        <w:tc>
          <w:tcPr>
            <w:tcW w:w="0" w:type="auto"/>
          </w:tcPr>
          <w:p w:rsidR="006C6EA4" w:rsidRPr="006C7D04" w:rsidRDefault="006C6EA4" w:rsidP="00A0113C">
            <w:pPr>
              <w:spacing w:before="120" w:after="120" w:line="360" w:lineRule="auto"/>
            </w:pPr>
            <w:proofErr w:type="spellStart"/>
            <w:r w:rsidRPr="006C7D04">
              <w:rPr>
                <w:b/>
                <w:i/>
              </w:rPr>
              <w:t>Eucalyptus</w:t>
            </w:r>
            <w:proofErr w:type="spellEnd"/>
            <w:r w:rsidRPr="006C7D04">
              <w:rPr>
                <w:b/>
                <w:i/>
              </w:rPr>
              <w:t xml:space="preserve"> </w:t>
            </w:r>
            <w:proofErr w:type="spellStart"/>
            <w:r w:rsidRPr="006C7D04">
              <w:rPr>
                <w:b/>
                <w:i/>
              </w:rPr>
              <w:t>hybride</w:t>
            </w:r>
            <w:proofErr w:type="spellEnd"/>
            <w:r w:rsidRPr="006C7D04">
              <w:rPr>
                <w:b/>
                <w:i/>
              </w:rPr>
              <w:t xml:space="preserve"> </w:t>
            </w:r>
            <w:proofErr w:type="spellStart"/>
            <w:r w:rsidRPr="006C7D04">
              <w:rPr>
                <w:b/>
                <w:i/>
              </w:rPr>
              <w:t>gunnii</w:t>
            </w:r>
            <w:proofErr w:type="spellEnd"/>
            <w:r w:rsidRPr="006C7D04">
              <w:rPr>
                <w:b/>
                <w:i/>
              </w:rPr>
              <w:t xml:space="preserve"> x </w:t>
            </w:r>
            <w:proofErr w:type="spellStart"/>
            <w:r w:rsidRPr="006C7D04">
              <w:rPr>
                <w:b/>
                <w:i/>
              </w:rPr>
              <w:t>dalrympleana</w:t>
            </w:r>
            <w:proofErr w:type="spellEnd"/>
          </w:p>
        </w:tc>
        <w:tc>
          <w:tcPr>
            <w:tcW w:w="0" w:type="auto"/>
          </w:tcPr>
          <w:p w:rsidR="006C6EA4" w:rsidRPr="006C7D04" w:rsidRDefault="006C6EA4" w:rsidP="00A0113C">
            <w:pPr>
              <w:spacing w:before="120" w:after="120" w:line="360" w:lineRule="auto"/>
            </w:pPr>
            <w:proofErr w:type="spellStart"/>
            <w:r w:rsidRPr="006C7D04">
              <w:t>Quercus</w:t>
            </w:r>
            <w:proofErr w:type="spellEnd"/>
            <w:r w:rsidRPr="006C7D04">
              <w:t xml:space="preserve"> </w:t>
            </w:r>
            <w:proofErr w:type="spellStart"/>
            <w:r w:rsidRPr="006C7D04">
              <w:t>cerris</w:t>
            </w:r>
            <w:proofErr w:type="spellEnd"/>
            <w:r w:rsidRPr="006C7D04">
              <w:t xml:space="preserve"> L.</w:t>
            </w:r>
          </w:p>
        </w:tc>
      </w:tr>
      <w:tr w:rsidR="006C6EA4" w:rsidRPr="006C7D04" w:rsidTr="006C6EA4">
        <w:tc>
          <w:tcPr>
            <w:tcW w:w="0" w:type="auto"/>
          </w:tcPr>
          <w:p w:rsidR="006C6EA4" w:rsidRPr="006C7D04" w:rsidRDefault="006C6EA4" w:rsidP="00A0113C">
            <w:pPr>
              <w:spacing w:before="120" w:after="120" w:line="360" w:lineRule="auto"/>
            </w:pPr>
            <w:proofErr w:type="spellStart"/>
            <w:r w:rsidRPr="006C7D04">
              <w:rPr>
                <w:b/>
                <w:i/>
              </w:rPr>
              <w:t>Eucalyptus</w:t>
            </w:r>
            <w:proofErr w:type="spellEnd"/>
            <w:r w:rsidRPr="006C7D04">
              <w:rPr>
                <w:b/>
                <w:i/>
              </w:rPr>
              <w:t xml:space="preserve"> </w:t>
            </w:r>
            <w:proofErr w:type="spellStart"/>
            <w:r w:rsidRPr="006C7D04">
              <w:rPr>
                <w:b/>
                <w:i/>
              </w:rPr>
              <w:t>nitens</w:t>
            </w:r>
            <w:proofErr w:type="spellEnd"/>
          </w:p>
        </w:tc>
        <w:tc>
          <w:tcPr>
            <w:tcW w:w="0" w:type="auto"/>
          </w:tcPr>
          <w:p w:rsidR="006C6EA4" w:rsidRPr="006C7D04" w:rsidRDefault="006C6EA4" w:rsidP="00A0113C">
            <w:pPr>
              <w:spacing w:before="120" w:after="120" w:line="360" w:lineRule="auto"/>
            </w:pPr>
            <w:proofErr w:type="spellStart"/>
            <w:r w:rsidRPr="006C7D04">
              <w:t>Quercus</w:t>
            </w:r>
            <w:proofErr w:type="spellEnd"/>
            <w:r w:rsidRPr="006C7D04">
              <w:t xml:space="preserve"> </w:t>
            </w:r>
            <w:proofErr w:type="spellStart"/>
            <w:r w:rsidRPr="006C7D04">
              <w:t>ilex</w:t>
            </w:r>
            <w:proofErr w:type="spellEnd"/>
            <w:r w:rsidRPr="006C7D04">
              <w:t xml:space="preserve"> L.</w:t>
            </w:r>
          </w:p>
        </w:tc>
      </w:tr>
      <w:tr w:rsidR="006C6EA4" w:rsidRPr="006C7D04" w:rsidTr="006C6EA4">
        <w:tc>
          <w:tcPr>
            <w:tcW w:w="0" w:type="auto"/>
          </w:tcPr>
          <w:p w:rsidR="006C6EA4" w:rsidRPr="006C7D04" w:rsidRDefault="006C6EA4" w:rsidP="00A0113C">
            <w:pPr>
              <w:spacing w:before="120" w:after="120" w:line="360" w:lineRule="auto"/>
              <w:rPr>
                <w:b/>
                <w:i/>
              </w:rPr>
            </w:pPr>
            <w:proofErr w:type="spellStart"/>
            <w:r w:rsidRPr="006C7D04">
              <w:t>Fagus</w:t>
            </w:r>
            <w:proofErr w:type="spellEnd"/>
            <w:r w:rsidRPr="006C7D04">
              <w:t xml:space="preserve"> </w:t>
            </w:r>
            <w:proofErr w:type="spellStart"/>
            <w:r w:rsidRPr="006C7D04">
              <w:t>sylvatica</w:t>
            </w:r>
            <w:proofErr w:type="spellEnd"/>
            <w:r w:rsidRPr="006C7D04">
              <w:t xml:space="preserve"> L.</w:t>
            </w:r>
          </w:p>
        </w:tc>
        <w:tc>
          <w:tcPr>
            <w:tcW w:w="0" w:type="auto"/>
          </w:tcPr>
          <w:p w:rsidR="006C6EA4" w:rsidRPr="006C7D04" w:rsidRDefault="006C6EA4" w:rsidP="00A0113C">
            <w:pPr>
              <w:spacing w:before="120" w:after="120" w:line="360" w:lineRule="auto"/>
            </w:pPr>
            <w:proofErr w:type="spellStart"/>
            <w:r w:rsidRPr="006C7D04">
              <w:t>Quercus</w:t>
            </w:r>
            <w:proofErr w:type="spellEnd"/>
            <w:r w:rsidRPr="006C7D04">
              <w:t xml:space="preserve"> </w:t>
            </w:r>
            <w:proofErr w:type="spellStart"/>
            <w:r w:rsidRPr="006C7D04">
              <w:t>petraea</w:t>
            </w:r>
            <w:proofErr w:type="spellEnd"/>
            <w:r w:rsidRPr="006C7D04">
              <w:t xml:space="preserve"> </w:t>
            </w:r>
            <w:proofErr w:type="spellStart"/>
            <w:r w:rsidRPr="006C7D04">
              <w:t>Liebl</w:t>
            </w:r>
            <w:proofErr w:type="spellEnd"/>
            <w:r w:rsidRPr="006C7D04">
              <w:t>.</w:t>
            </w:r>
          </w:p>
        </w:tc>
      </w:tr>
      <w:tr w:rsidR="006C6EA4" w:rsidRPr="006C7D04" w:rsidTr="006C6EA4">
        <w:tc>
          <w:tcPr>
            <w:tcW w:w="0" w:type="auto"/>
          </w:tcPr>
          <w:p w:rsidR="006C6EA4" w:rsidRPr="006C7D04" w:rsidRDefault="006C6EA4" w:rsidP="00A0113C">
            <w:pPr>
              <w:spacing w:before="120" w:after="120" w:line="360" w:lineRule="auto"/>
              <w:rPr>
                <w:b/>
                <w:i/>
              </w:rPr>
            </w:pPr>
            <w:proofErr w:type="spellStart"/>
            <w:r w:rsidRPr="006C7D04">
              <w:t>Fraxinus</w:t>
            </w:r>
            <w:proofErr w:type="spellEnd"/>
            <w:r w:rsidRPr="006C7D04">
              <w:t xml:space="preserve"> </w:t>
            </w:r>
            <w:proofErr w:type="spellStart"/>
            <w:r w:rsidRPr="006C7D04">
              <w:t>angustifolia</w:t>
            </w:r>
            <w:proofErr w:type="spellEnd"/>
            <w:r w:rsidRPr="006C7D04">
              <w:t xml:space="preserve"> </w:t>
            </w:r>
            <w:proofErr w:type="spellStart"/>
            <w:r w:rsidRPr="006C7D04">
              <w:t>Vahl</w:t>
            </w:r>
            <w:proofErr w:type="spellEnd"/>
            <w:r w:rsidRPr="006C7D04">
              <w:t>.</w:t>
            </w:r>
          </w:p>
        </w:tc>
        <w:tc>
          <w:tcPr>
            <w:tcW w:w="0" w:type="auto"/>
          </w:tcPr>
          <w:p w:rsidR="006C6EA4" w:rsidRPr="006C7D04" w:rsidRDefault="006C6EA4" w:rsidP="00A0113C">
            <w:pPr>
              <w:spacing w:before="120" w:after="120" w:line="360" w:lineRule="auto"/>
            </w:pPr>
            <w:proofErr w:type="spellStart"/>
            <w:r w:rsidRPr="006C7D04">
              <w:t>Quercus</w:t>
            </w:r>
            <w:proofErr w:type="spellEnd"/>
            <w:r w:rsidRPr="006C7D04">
              <w:t xml:space="preserve"> </w:t>
            </w:r>
            <w:proofErr w:type="spellStart"/>
            <w:r w:rsidRPr="006C7D04">
              <w:t>pubescens</w:t>
            </w:r>
            <w:proofErr w:type="spellEnd"/>
            <w:r w:rsidRPr="006C7D04">
              <w:t xml:space="preserve"> </w:t>
            </w:r>
            <w:proofErr w:type="spellStart"/>
            <w:r w:rsidRPr="006C7D04">
              <w:t>Willd</w:t>
            </w:r>
            <w:proofErr w:type="spellEnd"/>
            <w:r w:rsidRPr="006C7D04">
              <w:t>.</w:t>
            </w:r>
          </w:p>
        </w:tc>
      </w:tr>
      <w:tr w:rsidR="006C6EA4" w:rsidRPr="006C7D04" w:rsidTr="006C6EA4">
        <w:tc>
          <w:tcPr>
            <w:tcW w:w="0" w:type="auto"/>
          </w:tcPr>
          <w:p w:rsidR="006C6EA4" w:rsidRPr="006C7D04" w:rsidRDefault="006C6EA4" w:rsidP="00A0113C">
            <w:pPr>
              <w:spacing w:before="120" w:after="120" w:line="360" w:lineRule="auto"/>
              <w:rPr>
                <w:b/>
                <w:i/>
              </w:rPr>
            </w:pPr>
            <w:proofErr w:type="spellStart"/>
            <w:r w:rsidRPr="006C7D04">
              <w:t>Fraxinus</w:t>
            </w:r>
            <w:proofErr w:type="spellEnd"/>
            <w:r w:rsidRPr="006C7D04">
              <w:t xml:space="preserve"> </w:t>
            </w:r>
            <w:proofErr w:type="spellStart"/>
            <w:r w:rsidRPr="006C7D04">
              <w:t>excelsior</w:t>
            </w:r>
            <w:proofErr w:type="spellEnd"/>
            <w:r w:rsidRPr="006C7D04">
              <w:t xml:space="preserve"> L.</w:t>
            </w:r>
          </w:p>
        </w:tc>
        <w:tc>
          <w:tcPr>
            <w:tcW w:w="0" w:type="auto"/>
          </w:tcPr>
          <w:p w:rsidR="006C6EA4" w:rsidRPr="006C7D04" w:rsidRDefault="006C6EA4" w:rsidP="00A0113C">
            <w:pPr>
              <w:spacing w:before="120" w:after="120" w:line="360" w:lineRule="auto"/>
            </w:pPr>
            <w:proofErr w:type="spellStart"/>
            <w:r w:rsidRPr="006C7D04">
              <w:t>Quercus</w:t>
            </w:r>
            <w:proofErr w:type="spellEnd"/>
            <w:r w:rsidRPr="006C7D04">
              <w:t xml:space="preserve"> robur L.</w:t>
            </w:r>
          </w:p>
        </w:tc>
      </w:tr>
      <w:tr w:rsidR="006C6EA4" w:rsidRPr="006C7D04" w:rsidTr="006C6EA4">
        <w:tc>
          <w:tcPr>
            <w:tcW w:w="0" w:type="auto"/>
          </w:tcPr>
          <w:p w:rsidR="006C6EA4" w:rsidRPr="006C7D04" w:rsidRDefault="006C6EA4" w:rsidP="00A0113C">
            <w:pPr>
              <w:spacing w:before="120" w:after="120" w:line="360" w:lineRule="auto"/>
              <w:rPr>
                <w:b/>
                <w:i/>
              </w:rPr>
            </w:pPr>
            <w:proofErr w:type="spellStart"/>
            <w:r w:rsidRPr="006C7D04">
              <w:rPr>
                <w:b/>
                <w:i/>
              </w:rPr>
              <w:t>Juglans</w:t>
            </w:r>
            <w:proofErr w:type="spellEnd"/>
            <w:r w:rsidRPr="006C7D04">
              <w:rPr>
                <w:b/>
                <w:i/>
              </w:rPr>
              <w:t xml:space="preserve"> major x </w:t>
            </w:r>
            <w:proofErr w:type="spellStart"/>
            <w:r w:rsidRPr="006C7D04">
              <w:rPr>
                <w:b/>
                <w:i/>
              </w:rPr>
              <w:t>regia</w:t>
            </w:r>
            <w:proofErr w:type="spellEnd"/>
          </w:p>
        </w:tc>
        <w:tc>
          <w:tcPr>
            <w:tcW w:w="0" w:type="auto"/>
          </w:tcPr>
          <w:p w:rsidR="006C6EA4" w:rsidRPr="006C7D04" w:rsidRDefault="006C6EA4" w:rsidP="00A0113C">
            <w:pPr>
              <w:spacing w:before="120" w:after="120" w:line="360" w:lineRule="auto"/>
            </w:pPr>
            <w:proofErr w:type="spellStart"/>
            <w:r w:rsidRPr="006C7D04">
              <w:t>Quercus</w:t>
            </w:r>
            <w:proofErr w:type="spellEnd"/>
            <w:r w:rsidRPr="006C7D04">
              <w:t xml:space="preserve"> rubra L.</w:t>
            </w:r>
          </w:p>
        </w:tc>
      </w:tr>
      <w:tr w:rsidR="006C6EA4" w:rsidRPr="006C7D04" w:rsidTr="006C6EA4">
        <w:tc>
          <w:tcPr>
            <w:tcW w:w="0" w:type="auto"/>
          </w:tcPr>
          <w:p w:rsidR="006C6EA4" w:rsidRPr="006C7D04" w:rsidRDefault="006C6EA4" w:rsidP="00A0113C">
            <w:pPr>
              <w:spacing w:before="120" w:after="120" w:line="360" w:lineRule="auto"/>
            </w:pPr>
            <w:proofErr w:type="spellStart"/>
            <w:r w:rsidRPr="006C7D04">
              <w:rPr>
                <w:b/>
                <w:i/>
              </w:rPr>
              <w:t>Juglans</w:t>
            </w:r>
            <w:proofErr w:type="spellEnd"/>
            <w:r w:rsidRPr="006C7D04">
              <w:rPr>
                <w:b/>
                <w:i/>
              </w:rPr>
              <w:t xml:space="preserve"> </w:t>
            </w:r>
            <w:proofErr w:type="spellStart"/>
            <w:r w:rsidRPr="006C7D04">
              <w:rPr>
                <w:b/>
                <w:i/>
              </w:rPr>
              <w:t>nigra</w:t>
            </w:r>
            <w:proofErr w:type="spellEnd"/>
          </w:p>
        </w:tc>
        <w:tc>
          <w:tcPr>
            <w:tcW w:w="0" w:type="auto"/>
          </w:tcPr>
          <w:p w:rsidR="006C6EA4" w:rsidRPr="006C7D04" w:rsidRDefault="006C6EA4" w:rsidP="00A0113C">
            <w:pPr>
              <w:spacing w:before="120" w:after="120" w:line="360" w:lineRule="auto"/>
            </w:pPr>
            <w:proofErr w:type="spellStart"/>
            <w:r w:rsidRPr="006C7D04">
              <w:t>Quercus</w:t>
            </w:r>
            <w:proofErr w:type="spellEnd"/>
            <w:r w:rsidRPr="006C7D04">
              <w:t xml:space="preserve"> </w:t>
            </w:r>
            <w:proofErr w:type="spellStart"/>
            <w:r w:rsidRPr="006C7D04">
              <w:t>suber</w:t>
            </w:r>
            <w:proofErr w:type="spellEnd"/>
            <w:r w:rsidRPr="006C7D04">
              <w:t xml:space="preserve"> L.</w:t>
            </w:r>
          </w:p>
        </w:tc>
      </w:tr>
      <w:tr w:rsidR="006C6EA4" w:rsidRPr="006C7D04" w:rsidTr="006C6EA4">
        <w:tc>
          <w:tcPr>
            <w:tcW w:w="0" w:type="auto"/>
          </w:tcPr>
          <w:p w:rsidR="006C6EA4" w:rsidRPr="006C7D04" w:rsidRDefault="006C6EA4" w:rsidP="00A0113C">
            <w:pPr>
              <w:spacing w:before="120" w:after="120" w:line="360" w:lineRule="auto"/>
            </w:pPr>
            <w:proofErr w:type="spellStart"/>
            <w:r w:rsidRPr="006C7D04">
              <w:rPr>
                <w:b/>
                <w:i/>
              </w:rPr>
              <w:t>Juglans</w:t>
            </w:r>
            <w:proofErr w:type="spellEnd"/>
            <w:r w:rsidRPr="006C7D04">
              <w:rPr>
                <w:b/>
                <w:i/>
              </w:rPr>
              <w:t xml:space="preserve"> </w:t>
            </w:r>
            <w:proofErr w:type="spellStart"/>
            <w:r w:rsidRPr="006C7D04">
              <w:rPr>
                <w:b/>
                <w:i/>
              </w:rPr>
              <w:t>nigra</w:t>
            </w:r>
            <w:proofErr w:type="spellEnd"/>
            <w:r w:rsidRPr="006C7D04">
              <w:rPr>
                <w:b/>
                <w:i/>
              </w:rPr>
              <w:t xml:space="preserve"> x </w:t>
            </w:r>
            <w:proofErr w:type="spellStart"/>
            <w:r w:rsidRPr="006C7D04">
              <w:rPr>
                <w:b/>
                <w:i/>
              </w:rPr>
              <w:t>regia</w:t>
            </w:r>
            <w:proofErr w:type="spellEnd"/>
          </w:p>
        </w:tc>
        <w:tc>
          <w:tcPr>
            <w:tcW w:w="0" w:type="auto"/>
          </w:tcPr>
          <w:p w:rsidR="006C6EA4" w:rsidRPr="006C7D04" w:rsidRDefault="006C6EA4" w:rsidP="00A0113C">
            <w:pPr>
              <w:spacing w:before="120" w:after="120" w:line="360" w:lineRule="auto"/>
            </w:pPr>
            <w:r w:rsidRPr="006C7D04">
              <w:t xml:space="preserve">Robinia </w:t>
            </w:r>
            <w:proofErr w:type="spellStart"/>
            <w:r w:rsidRPr="006C7D04">
              <w:t>pseudoacacia</w:t>
            </w:r>
            <w:proofErr w:type="spellEnd"/>
            <w:r w:rsidRPr="006C7D04">
              <w:t xml:space="preserve"> L.</w:t>
            </w:r>
          </w:p>
        </w:tc>
      </w:tr>
      <w:tr w:rsidR="006C6EA4" w:rsidRPr="006C7D04" w:rsidTr="006C6EA4">
        <w:tc>
          <w:tcPr>
            <w:tcW w:w="0" w:type="auto"/>
          </w:tcPr>
          <w:p w:rsidR="006C6EA4" w:rsidRPr="006C7D04" w:rsidRDefault="006C6EA4" w:rsidP="00A0113C">
            <w:pPr>
              <w:spacing w:before="120" w:after="120" w:line="360" w:lineRule="auto"/>
            </w:pPr>
            <w:proofErr w:type="spellStart"/>
            <w:r w:rsidRPr="006C7D04">
              <w:t>Larix</w:t>
            </w:r>
            <w:proofErr w:type="spellEnd"/>
            <w:r w:rsidRPr="006C7D04">
              <w:t xml:space="preserve"> </w:t>
            </w:r>
            <w:proofErr w:type="spellStart"/>
            <w:r w:rsidRPr="006C7D04">
              <w:t>decidua</w:t>
            </w:r>
            <w:proofErr w:type="spellEnd"/>
            <w:r w:rsidRPr="006C7D04">
              <w:t xml:space="preserve"> Mill.</w:t>
            </w:r>
          </w:p>
        </w:tc>
        <w:tc>
          <w:tcPr>
            <w:tcW w:w="0" w:type="auto"/>
          </w:tcPr>
          <w:p w:rsidR="006C6EA4" w:rsidRPr="006C7D04" w:rsidRDefault="006C6EA4" w:rsidP="00A0113C">
            <w:pPr>
              <w:spacing w:before="120" w:after="120" w:line="360" w:lineRule="auto"/>
            </w:pPr>
            <w:proofErr w:type="spellStart"/>
            <w:r w:rsidRPr="006C7D04">
              <w:rPr>
                <w:b/>
                <w:i/>
              </w:rPr>
              <w:t>Sorbus</w:t>
            </w:r>
            <w:proofErr w:type="spellEnd"/>
            <w:r w:rsidRPr="006C7D04">
              <w:rPr>
                <w:b/>
                <w:i/>
              </w:rPr>
              <w:t xml:space="preserve"> </w:t>
            </w:r>
            <w:proofErr w:type="spellStart"/>
            <w:r w:rsidRPr="006C7D04">
              <w:rPr>
                <w:b/>
                <w:i/>
              </w:rPr>
              <w:t>domestica</w:t>
            </w:r>
            <w:proofErr w:type="spellEnd"/>
          </w:p>
        </w:tc>
      </w:tr>
      <w:tr w:rsidR="006C6EA4" w:rsidRPr="006C7D04" w:rsidTr="006C6EA4">
        <w:tc>
          <w:tcPr>
            <w:tcW w:w="0" w:type="auto"/>
          </w:tcPr>
          <w:p w:rsidR="006C6EA4" w:rsidRPr="006C7D04" w:rsidRDefault="006C6EA4" w:rsidP="00A0113C">
            <w:pPr>
              <w:spacing w:before="120" w:after="120" w:line="360" w:lineRule="auto"/>
            </w:pPr>
            <w:proofErr w:type="spellStart"/>
            <w:r w:rsidRPr="006C7D04">
              <w:t>Larix</w:t>
            </w:r>
            <w:proofErr w:type="spellEnd"/>
            <w:r w:rsidRPr="006C7D04">
              <w:t xml:space="preserve"> x </w:t>
            </w:r>
            <w:proofErr w:type="spellStart"/>
            <w:r w:rsidRPr="006C7D04">
              <w:t>eurolepis</w:t>
            </w:r>
            <w:proofErr w:type="spellEnd"/>
            <w:r w:rsidRPr="006C7D04">
              <w:t xml:space="preserve"> Henry</w:t>
            </w:r>
          </w:p>
        </w:tc>
        <w:tc>
          <w:tcPr>
            <w:tcW w:w="0" w:type="auto"/>
          </w:tcPr>
          <w:p w:rsidR="006C6EA4" w:rsidRPr="006C7D04" w:rsidRDefault="006C6EA4" w:rsidP="00A0113C">
            <w:pPr>
              <w:spacing w:before="120" w:after="120" w:line="360" w:lineRule="auto"/>
            </w:pPr>
            <w:proofErr w:type="spellStart"/>
            <w:r w:rsidRPr="006C7D04">
              <w:rPr>
                <w:b/>
                <w:i/>
              </w:rPr>
              <w:t>Sorbus</w:t>
            </w:r>
            <w:proofErr w:type="spellEnd"/>
            <w:r w:rsidRPr="006C7D04">
              <w:rPr>
                <w:b/>
                <w:i/>
              </w:rPr>
              <w:t xml:space="preserve"> </w:t>
            </w:r>
            <w:proofErr w:type="spellStart"/>
            <w:r w:rsidRPr="006C7D04">
              <w:rPr>
                <w:b/>
                <w:i/>
              </w:rPr>
              <w:t>torminalis</w:t>
            </w:r>
            <w:proofErr w:type="spellEnd"/>
          </w:p>
        </w:tc>
      </w:tr>
      <w:tr w:rsidR="006C6EA4" w:rsidRPr="006C7D04" w:rsidTr="006C6EA4">
        <w:tc>
          <w:tcPr>
            <w:tcW w:w="0" w:type="auto"/>
          </w:tcPr>
          <w:p w:rsidR="006C6EA4" w:rsidRPr="006C7D04" w:rsidRDefault="006C6EA4" w:rsidP="00A0113C">
            <w:pPr>
              <w:spacing w:before="120" w:after="120" w:line="360" w:lineRule="auto"/>
              <w:rPr>
                <w:b/>
                <w:i/>
              </w:rPr>
            </w:pPr>
            <w:proofErr w:type="spellStart"/>
            <w:r w:rsidRPr="006C7D04">
              <w:t>Larix</w:t>
            </w:r>
            <w:proofErr w:type="spellEnd"/>
            <w:r w:rsidRPr="006C7D04">
              <w:t xml:space="preserve"> </w:t>
            </w:r>
            <w:proofErr w:type="spellStart"/>
            <w:r w:rsidRPr="006C7D04">
              <w:t>kaempferi</w:t>
            </w:r>
            <w:proofErr w:type="spellEnd"/>
            <w:r w:rsidRPr="006C7D04">
              <w:t xml:space="preserve"> </w:t>
            </w:r>
            <w:proofErr w:type="spellStart"/>
            <w:r w:rsidRPr="006C7D04">
              <w:t>Carr</w:t>
            </w:r>
            <w:proofErr w:type="spellEnd"/>
            <w:r w:rsidRPr="006C7D04">
              <w:t>.</w:t>
            </w:r>
          </w:p>
        </w:tc>
        <w:tc>
          <w:tcPr>
            <w:tcW w:w="0" w:type="auto"/>
          </w:tcPr>
          <w:p w:rsidR="006C6EA4" w:rsidRPr="006C7D04" w:rsidRDefault="006C6EA4" w:rsidP="00A0113C">
            <w:pPr>
              <w:spacing w:before="120" w:after="120" w:line="360" w:lineRule="auto"/>
            </w:pPr>
            <w:proofErr w:type="spellStart"/>
            <w:r w:rsidRPr="006C7D04">
              <w:t>Tilia</w:t>
            </w:r>
            <w:proofErr w:type="spellEnd"/>
            <w:r w:rsidRPr="006C7D04">
              <w:t xml:space="preserve"> </w:t>
            </w:r>
            <w:proofErr w:type="spellStart"/>
            <w:r w:rsidRPr="006C7D04">
              <w:t>cordata</w:t>
            </w:r>
            <w:proofErr w:type="spellEnd"/>
            <w:r w:rsidRPr="006C7D04">
              <w:t xml:space="preserve"> Mill.</w:t>
            </w:r>
          </w:p>
        </w:tc>
      </w:tr>
      <w:tr w:rsidR="006C6EA4" w:rsidRPr="006C7D04" w:rsidTr="006C6EA4">
        <w:tc>
          <w:tcPr>
            <w:tcW w:w="0" w:type="auto"/>
          </w:tcPr>
          <w:p w:rsidR="006C6EA4" w:rsidRPr="006C7D04" w:rsidRDefault="006C6EA4" w:rsidP="00A0113C">
            <w:pPr>
              <w:spacing w:before="120" w:after="120" w:line="360" w:lineRule="auto"/>
              <w:rPr>
                <w:b/>
                <w:i/>
              </w:rPr>
            </w:pPr>
            <w:proofErr w:type="spellStart"/>
            <w:r w:rsidRPr="006C7D04">
              <w:t>Larix</w:t>
            </w:r>
            <w:proofErr w:type="spellEnd"/>
            <w:r w:rsidRPr="006C7D04">
              <w:t xml:space="preserve"> </w:t>
            </w:r>
            <w:proofErr w:type="spellStart"/>
            <w:r w:rsidRPr="006C7D04">
              <w:t>sibirica</w:t>
            </w:r>
            <w:proofErr w:type="spellEnd"/>
            <w:r w:rsidRPr="006C7D04">
              <w:t xml:space="preserve"> </w:t>
            </w:r>
            <w:proofErr w:type="spellStart"/>
            <w:r w:rsidRPr="006C7D04">
              <w:t>Ledeb</w:t>
            </w:r>
            <w:proofErr w:type="spellEnd"/>
            <w:r w:rsidRPr="006C7D04">
              <w:t>.</w:t>
            </w:r>
          </w:p>
        </w:tc>
        <w:tc>
          <w:tcPr>
            <w:tcW w:w="0" w:type="auto"/>
          </w:tcPr>
          <w:p w:rsidR="006C6EA4" w:rsidRPr="006C7D04" w:rsidRDefault="006C6EA4" w:rsidP="00A0113C">
            <w:pPr>
              <w:spacing w:before="120" w:after="120" w:line="360" w:lineRule="auto"/>
            </w:pPr>
            <w:proofErr w:type="spellStart"/>
            <w:r w:rsidRPr="006C7D04">
              <w:t>Tilia</w:t>
            </w:r>
            <w:proofErr w:type="spellEnd"/>
            <w:r w:rsidRPr="006C7D04">
              <w:t xml:space="preserve"> </w:t>
            </w:r>
            <w:proofErr w:type="spellStart"/>
            <w:r w:rsidRPr="006C7D04">
              <w:t>platyphyllos</w:t>
            </w:r>
            <w:proofErr w:type="spellEnd"/>
            <w:r w:rsidRPr="006C7D04">
              <w:t xml:space="preserve"> </w:t>
            </w:r>
            <w:proofErr w:type="spellStart"/>
            <w:r w:rsidRPr="006C7D04">
              <w:t>Scop</w:t>
            </w:r>
            <w:proofErr w:type="spellEnd"/>
            <w:r w:rsidRPr="006C7D04">
              <w:t>.</w:t>
            </w:r>
          </w:p>
        </w:tc>
      </w:tr>
      <w:tr w:rsidR="006C6EA4" w:rsidRPr="006C7D04" w:rsidTr="006C6EA4">
        <w:tc>
          <w:tcPr>
            <w:tcW w:w="0" w:type="auto"/>
          </w:tcPr>
          <w:p w:rsidR="006C6EA4" w:rsidRPr="006C7D04" w:rsidRDefault="006C6EA4" w:rsidP="00A0113C">
            <w:pPr>
              <w:spacing w:before="120" w:after="120" w:line="360" w:lineRule="auto"/>
            </w:pPr>
            <w:proofErr w:type="spellStart"/>
            <w:r w:rsidRPr="006C7D04">
              <w:rPr>
                <w:b/>
                <w:i/>
              </w:rPr>
              <w:t>Malus</w:t>
            </w:r>
            <w:proofErr w:type="spellEnd"/>
            <w:r w:rsidRPr="006C7D04">
              <w:rPr>
                <w:b/>
                <w:i/>
              </w:rPr>
              <w:t xml:space="preserve"> </w:t>
            </w:r>
            <w:proofErr w:type="spellStart"/>
            <w:r w:rsidRPr="006C7D04">
              <w:rPr>
                <w:b/>
                <w:i/>
              </w:rPr>
              <w:t>sylvestris</w:t>
            </w:r>
            <w:proofErr w:type="spellEnd"/>
          </w:p>
        </w:tc>
        <w:tc>
          <w:tcPr>
            <w:tcW w:w="0" w:type="auto"/>
          </w:tcPr>
          <w:p w:rsidR="006C6EA4" w:rsidRPr="006C7D04" w:rsidRDefault="006C6EA4" w:rsidP="00A0113C">
            <w:pPr>
              <w:spacing w:before="120" w:after="120" w:line="360" w:lineRule="auto"/>
              <w:jc w:val="right"/>
              <w:rPr>
                <w:b/>
              </w:rPr>
            </w:pPr>
            <w:r w:rsidRPr="006C7D04">
              <w:rPr>
                <w:b/>
              </w:rPr>
              <w:t>[</w:t>
            </w:r>
            <w:r w:rsidR="00A0113C">
              <w:rPr>
                <w:b/>
              </w:rPr>
              <w:t>Popr.</w:t>
            </w:r>
            <w:r w:rsidRPr="006C7D04">
              <w:rPr>
                <w:b/>
              </w:rPr>
              <w:t> 84]</w:t>
            </w:r>
          </w:p>
        </w:tc>
      </w:tr>
    </w:tbl>
    <w:p w:rsidR="006C354F" w:rsidRDefault="006C354F" w:rsidP="006845F1">
      <w:pPr>
        <w:spacing w:before="120" w:after="120" w:line="360" w:lineRule="auto"/>
      </w:pPr>
    </w:p>
    <w:p w:rsidR="006C6EA4" w:rsidRDefault="006C6EA4" w:rsidP="006845F1">
      <w:pPr>
        <w:spacing w:before="120" w:after="120" w:line="360" w:lineRule="auto"/>
      </w:pPr>
    </w:p>
    <w:p w:rsidR="006C6EA4" w:rsidRDefault="006C6EA4" w:rsidP="006845F1">
      <w:pPr>
        <w:spacing w:before="120" w:after="120" w:line="360" w:lineRule="auto"/>
      </w:pPr>
    </w:p>
    <w:p w:rsidR="006C6EA4" w:rsidRDefault="006C6EA4" w:rsidP="006845F1">
      <w:pPr>
        <w:spacing w:before="120" w:after="120" w:line="360" w:lineRule="auto"/>
        <w:sectPr w:rsidR="006C6EA4">
          <w:pgSz w:w="11909" w:h="16834"/>
          <w:pgMar w:top="1134" w:right="1417" w:bottom="1417" w:left="1417" w:header="1134" w:footer="567" w:gutter="0"/>
          <w:cols w:space="720"/>
        </w:sectPr>
      </w:pPr>
    </w:p>
    <w:p w:rsidR="006C354F" w:rsidRDefault="006C354F" w:rsidP="006845F1">
      <w:pPr>
        <w:spacing w:before="120" w:after="120" w:line="360" w:lineRule="auto"/>
      </w:pPr>
    </w:p>
    <w:p w:rsidR="006C354F" w:rsidRDefault="006C354F" w:rsidP="006845F1">
      <w:pPr>
        <w:pStyle w:val="Normale"/>
        <w:jc w:val="center"/>
      </w:pPr>
      <w:r>
        <w:t>ZAŁĄCZNIK II</w:t>
      </w:r>
    </w:p>
    <w:p w:rsidR="006C354F" w:rsidRPr="006C354F" w:rsidRDefault="006C354F" w:rsidP="006C6EA4">
      <w:pPr>
        <w:pStyle w:val="Applicationdirecte"/>
        <w:jc w:val="center"/>
        <w:rPr>
          <w:lang w:val="pl-PL"/>
        </w:rPr>
      </w:pPr>
      <w:r w:rsidRPr="006C354F">
        <w:rPr>
          <w:lang w:val="pl-PL"/>
        </w:rPr>
        <w:t>WYMOGI DOTYCZĄCE ZATWIERDZANIA MATERIAŁU PODSTAWOWEGO PRZEZNACZONEGO DO PRODUKCJI LMR KATEGORII „ZE ZIDENTYFIKOWANEGO ŹRÓDŁA”</w:t>
      </w:r>
    </w:p>
    <w:p w:rsidR="006C6EA4" w:rsidRDefault="006C354F" w:rsidP="006C6EA4">
      <w:pPr>
        <w:spacing w:before="120" w:after="120" w:line="360" w:lineRule="auto"/>
      </w:pPr>
      <w:r>
        <w:t xml:space="preserve">A. Wymogi ogólne: </w:t>
      </w:r>
    </w:p>
    <w:p w:rsidR="006C354F" w:rsidRDefault="006C354F" w:rsidP="006C6EA4">
      <w:pPr>
        <w:spacing w:before="120" w:after="120" w:line="360" w:lineRule="auto"/>
      </w:pPr>
      <w:r>
        <w:t>Źródło nasion lub drzewostan muszą spełniać kryteria określone przez właściwe organy.</w:t>
      </w:r>
    </w:p>
    <w:p w:rsidR="006C354F" w:rsidRDefault="006C354F" w:rsidP="006C6EA4">
      <w:pPr>
        <w:spacing w:before="120" w:after="120" w:line="360" w:lineRule="auto"/>
      </w:pPr>
      <w:r>
        <w:t>B. Wymogi szczególne:</w:t>
      </w:r>
    </w:p>
    <w:p w:rsidR="006C354F" w:rsidRDefault="006C354F" w:rsidP="006C6EA4">
      <w:pPr>
        <w:spacing w:before="120" w:after="120" w:line="360" w:lineRule="auto"/>
        <w:ind w:left="850" w:hanging="850"/>
      </w:pPr>
      <w:r>
        <w:t>1.</w:t>
      </w:r>
      <w:r>
        <w:tab/>
        <w:t>Rodzaj materiału podstawowego</w:t>
      </w:r>
    </w:p>
    <w:p w:rsidR="006C354F" w:rsidRDefault="006C354F" w:rsidP="006C6EA4">
      <w:pPr>
        <w:spacing w:before="120" w:after="120" w:line="360" w:lineRule="auto"/>
        <w:ind w:left="851"/>
      </w:pPr>
      <w:r>
        <w:t>Materiałem podstawowym jest źródło nasion lub drzewostan znajdujące się w jednym regionie pochodzenia.</w:t>
      </w:r>
    </w:p>
    <w:p w:rsidR="006C354F" w:rsidRDefault="006C354F" w:rsidP="006C6EA4">
      <w:pPr>
        <w:spacing w:before="120" w:after="120" w:line="360" w:lineRule="auto"/>
        <w:ind w:left="850" w:hanging="850"/>
      </w:pPr>
      <w:r>
        <w:t>2.</w:t>
      </w:r>
      <w:r>
        <w:tab/>
        <w:t>Efektywna wielkość populacji:</w:t>
      </w:r>
    </w:p>
    <w:p w:rsidR="006C354F" w:rsidRPr="006C6EA4" w:rsidRDefault="006C354F" w:rsidP="006C6EA4">
      <w:pPr>
        <w:spacing w:before="120" w:after="120" w:line="360" w:lineRule="auto"/>
        <w:ind w:left="851"/>
        <w:rPr>
          <w:b/>
        </w:rPr>
      </w:pPr>
      <w:r>
        <w:t>Źródło nasion lub drzewostan muszą składać się z przynajmniej jednej grupy drzew</w:t>
      </w:r>
      <w:r>
        <w:rPr>
          <w:b/>
          <w:i/>
        </w:rPr>
        <w:t xml:space="preserve"> (drzewostanów) lub pojedynczego drzewostanu</w:t>
      </w:r>
      <w:r>
        <w:t>. Drzewa te</w:t>
      </w:r>
      <w:r>
        <w:rPr>
          <w:b/>
          <w:i/>
        </w:rPr>
        <w:t xml:space="preserve"> stanowiące źródło nasion lub tworzące drzewostan</w:t>
      </w:r>
      <w:r>
        <w:t xml:space="preserve"> muszą być odpowiednio rozmieszczone i wystarczająco liczne, aby zachować różnorodność genetyczną i zapewnić odpowiednie zapylanie między drzewami w tych źródłach nasion lub drzewostanach.</w:t>
      </w:r>
      <w:r w:rsidR="006C6EA4">
        <w:rPr>
          <w:b/>
        </w:rPr>
        <w:t xml:space="preserve"> [Popr. 85]</w:t>
      </w:r>
    </w:p>
    <w:p w:rsidR="006C6EA4" w:rsidRDefault="006C6EA4">
      <w:pPr>
        <w:widowControl/>
      </w:pPr>
      <w:r>
        <w:br w:type="page"/>
      </w:r>
    </w:p>
    <w:p w:rsidR="006C354F" w:rsidRDefault="006C354F" w:rsidP="006845F1">
      <w:pPr>
        <w:spacing w:before="120" w:after="120" w:line="360" w:lineRule="auto"/>
        <w:ind w:left="850" w:hanging="850"/>
      </w:pPr>
      <w:r>
        <w:lastRenderedPageBreak/>
        <w:t>3.</w:t>
      </w:r>
      <w:r>
        <w:tab/>
        <w:t>Pochodzenie pierwotne i region pochodzenia</w:t>
      </w:r>
    </w:p>
    <w:p w:rsidR="006C354F" w:rsidRDefault="006C354F" w:rsidP="006845F1">
      <w:pPr>
        <w:spacing w:before="120" w:after="120" w:line="360" w:lineRule="auto"/>
        <w:ind w:left="1416" w:hanging="566"/>
      </w:pPr>
      <w:r>
        <w:t>a)</w:t>
      </w:r>
      <w:r>
        <w:tab/>
        <w:t>W certyfikacie wskazuje się region pochodzenia, położenie oraz rozpiętość południkową i równoleżnikową i zakres wysokości bezwzględnej miejsca lub miejsc, w których zbiera się LMR.</w:t>
      </w:r>
    </w:p>
    <w:p w:rsidR="006C354F" w:rsidRDefault="006C354F" w:rsidP="006845F1">
      <w:pPr>
        <w:spacing w:before="120" w:after="120" w:line="360" w:lineRule="auto"/>
        <w:ind w:left="1416" w:hanging="566"/>
      </w:pPr>
      <w:r>
        <w:t>b)</w:t>
      </w:r>
      <w:r>
        <w:tab/>
        <w:t xml:space="preserve">Podmiot profesjonalny określa, na podstawie dowodów historycznych (bibliografia, dokumentacja przechowywana przez właściwe organy, instytucje badawcze lub inne organizacje) lub za pomocą innych odpowiednich środków (testy dotyczące miejsca pochodzenia), w tym technik </w:t>
      </w:r>
      <w:proofErr w:type="spellStart"/>
      <w:r>
        <w:t>biomolekularnych</w:t>
      </w:r>
      <w:proofErr w:type="spellEnd"/>
      <w:r>
        <w:t xml:space="preserve"> uznanych na szczeblu międzynarodowym, czy pochodzenie pierwotne materiału podstawowego jest:</w:t>
      </w:r>
    </w:p>
    <w:p w:rsidR="006C354F" w:rsidRDefault="006C354F" w:rsidP="006845F1">
      <w:pPr>
        <w:spacing w:before="120" w:after="120" w:line="360" w:lineRule="auto"/>
        <w:ind w:left="1982" w:hanging="566"/>
      </w:pPr>
      <w:r>
        <w:t>(i)</w:t>
      </w:r>
      <w:r>
        <w:tab/>
        <w:t>autochtoniczne;</w:t>
      </w:r>
    </w:p>
    <w:p w:rsidR="006C354F" w:rsidRDefault="006C354F" w:rsidP="006845F1">
      <w:pPr>
        <w:spacing w:before="120" w:after="120" w:line="360" w:lineRule="auto"/>
        <w:ind w:left="1982" w:hanging="566"/>
      </w:pPr>
      <w:r>
        <w:t>(ii)</w:t>
      </w:r>
      <w:r>
        <w:tab/>
        <w:t>nieautochtoniczne;</w:t>
      </w:r>
    </w:p>
    <w:p w:rsidR="006C354F" w:rsidRDefault="006C354F" w:rsidP="006845F1">
      <w:pPr>
        <w:spacing w:before="120" w:after="120" w:line="360" w:lineRule="auto"/>
        <w:ind w:left="1982" w:hanging="566"/>
      </w:pPr>
      <w:r>
        <w:t>(iii)</w:t>
      </w:r>
      <w:r>
        <w:tab/>
        <w:t>rodzime;</w:t>
      </w:r>
    </w:p>
    <w:p w:rsidR="006C354F" w:rsidRDefault="006C354F" w:rsidP="006845F1">
      <w:pPr>
        <w:spacing w:before="120" w:after="120" w:line="360" w:lineRule="auto"/>
        <w:ind w:left="1982" w:hanging="566"/>
      </w:pPr>
      <w:r>
        <w:t>(iv)</w:t>
      </w:r>
      <w:r>
        <w:tab/>
        <w:t>nierodzime;</w:t>
      </w:r>
    </w:p>
    <w:p w:rsidR="006C354F" w:rsidRDefault="006C354F" w:rsidP="006845F1">
      <w:pPr>
        <w:spacing w:before="120" w:after="120" w:line="360" w:lineRule="auto"/>
        <w:ind w:left="1982" w:hanging="566"/>
      </w:pPr>
      <w:r>
        <w:t>(v)</w:t>
      </w:r>
      <w:r>
        <w:tab/>
        <w:t>nieznane.</w:t>
      </w:r>
    </w:p>
    <w:p w:rsidR="006C6EA4" w:rsidRDefault="006C6EA4">
      <w:pPr>
        <w:widowControl/>
      </w:pPr>
      <w:r>
        <w:br w:type="page"/>
      </w:r>
    </w:p>
    <w:p w:rsidR="006C354F" w:rsidRDefault="006C354F" w:rsidP="006845F1">
      <w:pPr>
        <w:spacing w:before="120" w:after="120" w:line="360" w:lineRule="auto"/>
        <w:ind w:left="1416"/>
      </w:pPr>
      <w:r>
        <w:lastRenderedPageBreak/>
        <w:t>W przypadku nieautochtonicznego lub nierodzimego materiału podstawowego należy podać pochodzenie pierwotne, jeśli jest ono znane.</w:t>
      </w:r>
    </w:p>
    <w:p w:rsidR="006C354F" w:rsidRDefault="006C354F" w:rsidP="006845F1">
      <w:pPr>
        <w:spacing w:before="120" w:after="120" w:line="360" w:lineRule="auto"/>
        <w:ind w:left="1416"/>
      </w:pPr>
      <w:r>
        <w:t>Właściwy organ weryfikuje informacje przekazane przez podmiot profesjonalny.</w:t>
      </w:r>
    </w:p>
    <w:p w:rsidR="006C354F" w:rsidRDefault="006C354F" w:rsidP="006845F1">
      <w:pPr>
        <w:spacing w:before="120" w:after="120" w:line="360" w:lineRule="auto"/>
        <w:ind w:left="850" w:hanging="850"/>
      </w:pPr>
      <w:r>
        <w:t>4.</w:t>
      </w:r>
      <w:r>
        <w:tab/>
        <w:t>Właściwości związane ze zrównoważonym rozwojem</w:t>
      </w:r>
    </w:p>
    <w:p w:rsidR="006C354F" w:rsidRPr="006C6EA4" w:rsidRDefault="006C354F" w:rsidP="006845F1">
      <w:pPr>
        <w:spacing w:before="120" w:after="120" w:line="360" w:lineRule="auto"/>
        <w:ind w:left="1416" w:hanging="566"/>
        <w:rPr>
          <w:b/>
        </w:rPr>
      </w:pPr>
      <w:r>
        <w:t>a)</w:t>
      </w:r>
      <w:r>
        <w:tab/>
        <w:t>Drzewa muszą być dobrze przystosowane do warunków klimatycznych i ekologicznych, w tym do czynników biotycznych i abiotycznych występujących w regionie pochodzenia</w:t>
      </w:r>
      <w:r>
        <w:rPr>
          <w:b/>
          <w:i/>
        </w:rPr>
        <w:t>, a także marginalnych populacji wykazujących lokalną adaptację do bardziej ekstremalnych czynników biotycznych i abiotycznych</w:t>
      </w:r>
      <w:r>
        <w:t>.</w:t>
      </w:r>
      <w:r w:rsidR="006C6EA4">
        <w:rPr>
          <w:b/>
        </w:rPr>
        <w:t xml:space="preserve"> [Popr. 86]</w:t>
      </w:r>
    </w:p>
    <w:p w:rsidR="006C354F" w:rsidRPr="006C6EA4" w:rsidRDefault="006C354F" w:rsidP="006845F1">
      <w:pPr>
        <w:spacing w:before="120" w:after="120" w:line="360" w:lineRule="auto"/>
        <w:ind w:left="1416" w:hanging="566"/>
        <w:rPr>
          <w:b/>
        </w:rPr>
      </w:pPr>
      <w:r>
        <w:t>b)</w:t>
      </w:r>
      <w:r>
        <w:tab/>
        <w:t xml:space="preserve">Drzewa muszą być praktycznie wolne od </w:t>
      </w:r>
      <w:proofErr w:type="spellStart"/>
      <w:r>
        <w:t>agrofagów</w:t>
      </w:r>
      <w:proofErr w:type="spellEnd"/>
      <w:r>
        <w:t xml:space="preserve"> </w:t>
      </w:r>
      <w:r>
        <w:rPr>
          <w:b/>
          <w:i/>
        </w:rPr>
        <w:t xml:space="preserve">jakościowych </w:t>
      </w:r>
      <w:r>
        <w:t>i oznak ich występowania.</w:t>
      </w:r>
      <w:r w:rsidR="006C6EA4">
        <w:rPr>
          <w:b/>
        </w:rPr>
        <w:t xml:space="preserve"> [Popr. 87]</w:t>
      </w:r>
    </w:p>
    <w:p w:rsidR="006C354F" w:rsidRDefault="006C354F" w:rsidP="006845F1">
      <w:pPr>
        <w:spacing w:before="120" w:after="120" w:line="360" w:lineRule="auto"/>
      </w:pPr>
    </w:p>
    <w:p w:rsidR="006C6EA4" w:rsidRDefault="006C6EA4" w:rsidP="006845F1">
      <w:pPr>
        <w:spacing w:before="120" w:after="120" w:line="360" w:lineRule="auto"/>
        <w:sectPr w:rsidR="006C6EA4">
          <w:pgSz w:w="11909" w:h="16834"/>
          <w:pgMar w:top="1134" w:right="1417" w:bottom="1417" w:left="1417" w:header="1134" w:footer="567" w:gutter="0"/>
          <w:cols w:space="720"/>
        </w:sectPr>
      </w:pPr>
    </w:p>
    <w:p w:rsidR="006C354F" w:rsidRDefault="006C354F" w:rsidP="006845F1">
      <w:pPr>
        <w:spacing w:before="120" w:after="120" w:line="360" w:lineRule="auto"/>
      </w:pPr>
    </w:p>
    <w:p w:rsidR="006C354F" w:rsidRPr="006C354F" w:rsidRDefault="006C354F" w:rsidP="006845F1">
      <w:pPr>
        <w:pStyle w:val="Normale"/>
        <w:jc w:val="center"/>
        <w:rPr>
          <w:lang w:val="pl-PL"/>
        </w:rPr>
      </w:pPr>
      <w:r w:rsidRPr="006C354F">
        <w:rPr>
          <w:lang w:val="pl-PL"/>
        </w:rPr>
        <w:t>ZAŁĄCZNIK III</w:t>
      </w:r>
    </w:p>
    <w:p w:rsidR="006C354F" w:rsidRPr="006C354F" w:rsidRDefault="006C354F" w:rsidP="006845F1">
      <w:pPr>
        <w:pStyle w:val="Applicationdirecte"/>
        <w:rPr>
          <w:lang w:val="pl-PL"/>
        </w:rPr>
      </w:pPr>
      <w:r w:rsidRPr="006C354F">
        <w:rPr>
          <w:lang w:val="pl-PL"/>
        </w:rPr>
        <w:t>WYMOGI DOTYCZĄCE ZATWIERDZANIA MATERIAŁU PODSTAWOWEGO PRZEZNACZONEGO DO PRODUKCJI LMR KATEGORII „WYSELEKCJONOWANY”</w:t>
      </w:r>
    </w:p>
    <w:p w:rsidR="006C6EA4" w:rsidRDefault="006C354F" w:rsidP="006C6EA4">
      <w:pPr>
        <w:spacing w:before="120" w:after="120" w:line="360" w:lineRule="auto"/>
      </w:pPr>
      <w:r>
        <w:t>A. Wymogi ogólne:</w:t>
      </w:r>
    </w:p>
    <w:p w:rsidR="006C354F" w:rsidRDefault="006C354F" w:rsidP="006C6EA4">
      <w:pPr>
        <w:spacing w:before="120" w:after="120" w:line="360" w:lineRule="auto"/>
      </w:pPr>
      <w:r>
        <w:t>Właściwy organ przeprowadza ocenę drzewostanu pod kątem konkretnego przeznaczenia LMR i przykłada należytą wagę do wymogów określonych w sekcji B, w zależności od przeznaczenia LMR. Właściwy organ ustala kryteria wyboru na podstawie konkretnego przeznaczenia LMR. Przeznaczenie to należy wskazać w rejestrze krajowym danego państwa członkowskiego.</w:t>
      </w:r>
    </w:p>
    <w:p w:rsidR="006C354F" w:rsidRDefault="006C354F" w:rsidP="006C6EA4">
      <w:pPr>
        <w:spacing w:before="120" w:after="120" w:line="360" w:lineRule="auto"/>
      </w:pPr>
      <w:r>
        <w:t>B. Wymogi szczególne:</w:t>
      </w:r>
    </w:p>
    <w:p w:rsidR="006C354F" w:rsidRDefault="006C354F" w:rsidP="006845F1">
      <w:pPr>
        <w:spacing w:before="120" w:after="120" w:line="360" w:lineRule="auto"/>
        <w:ind w:left="850" w:hanging="850"/>
      </w:pPr>
      <w:r>
        <w:t>1.</w:t>
      </w:r>
      <w:r>
        <w:tab/>
        <w:t xml:space="preserve">Pochodzenie pierwotne: Należy ustalić na podstawie dowodów historycznych (bibliografia, dokumentacja przechowywana przez właściwe organy, instytucje badawcze lub inne organizacje) lub za pomocą innych odpowiednich środków (testy dotyczące miejsca pochodzenia), w tym technik </w:t>
      </w:r>
      <w:proofErr w:type="spellStart"/>
      <w:r>
        <w:t>biomolekularnych</w:t>
      </w:r>
      <w:proofErr w:type="spellEnd"/>
      <w:r>
        <w:t xml:space="preserve"> uznanych na szczeblu międzynarodowym, czy drzewostan jest autochtoniczny/rodzimy, nieautochtoniczny/nierodzimy lub czy pochodzenie pierwotne jest nieznane. W przypadku nieautochtonicznego/nierodzimego materiału podstawowego podaje się pochodzenie pierwotne, jeśli jest znane.</w:t>
      </w:r>
    </w:p>
    <w:p w:rsidR="006C6EA4" w:rsidRDefault="006C6EA4">
      <w:pPr>
        <w:widowControl/>
      </w:pPr>
      <w:r>
        <w:br w:type="page"/>
      </w:r>
    </w:p>
    <w:p w:rsidR="006C354F" w:rsidRPr="006C6EA4" w:rsidRDefault="006C354F" w:rsidP="006845F1">
      <w:pPr>
        <w:spacing w:before="120" w:after="120" w:line="360" w:lineRule="auto"/>
        <w:ind w:left="850" w:hanging="850"/>
        <w:rPr>
          <w:b/>
        </w:rPr>
      </w:pPr>
      <w:r>
        <w:lastRenderedPageBreak/>
        <w:t>2.</w:t>
      </w:r>
      <w:r>
        <w:tab/>
        <w:t>Izolacja: Drzewostany muszą być usytuowane w odpowiedniej odległości od słabej jakości drzewostanów tego samego gatunku</w:t>
      </w:r>
      <w:r>
        <w:rPr>
          <w:b/>
          <w:i/>
        </w:rPr>
        <w:t xml:space="preserve"> lub spokrewnionych gatunków</w:t>
      </w:r>
      <w:r>
        <w:t xml:space="preserve"> lub od drzewostanów spokrewnionych gatunków, które mogą tworzyć mieszańce z przedmiotowym gatunkiem. Na ten wymóg należy zwracać szczególną uwagę, jeśli drzewostany otaczające drzewostany autochtoniczne/rodzime są nieautochtoniczne/nierodzime lub ich pochodzenie pierwotne jest nieznane.</w:t>
      </w:r>
      <w:r w:rsidR="006C6EA4">
        <w:rPr>
          <w:b/>
        </w:rPr>
        <w:t xml:space="preserve"> [Popr. 88]</w:t>
      </w:r>
    </w:p>
    <w:p w:rsidR="006C354F" w:rsidRDefault="006C354F" w:rsidP="006845F1">
      <w:pPr>
        <w:spacing w:before="120" w:after="120" w:line="360" w:lineRule="auto"/>
        <w:ind w:left="850" w:hanging="850"/>
      </w:pPr>
      <w:r>
        <w:t>3.</w:t>
      </w:r>
      <w:r>
        <w:tab/>
        <w:t>Efektywna wielkość populacji: Aby zachować różnorodność genetyczną i zapewnić odpowiednie zapylanie między drzewami, drzewostany muszą składać się przynajmniej z jednej grupy drzew. Drzewa te muszą być odpowiednio rozmieszczone i wystarczająco liczne na danym obszarze, aby zapewnić różnorodność genetyczną i uniknąć niepożądanych wpływów krzyżowania wsobnego oraz zapewnić odpowiednie zapylanie między tymi drzewami.</w:t>
      </w:r>
    </w:p>
    <w:p w:rsidR="006C354F" w:rsidRDefault="006C354F" w:rsidP="006845F1">
      <w:pPr>
        <w:spacing w:before="120" w:after="120" w:line="360" w:lineRule="auto"/>
        <w:ind w:left="850" w:hanging="850"/>
      </w:pPr>
      <w:r>
        <w:t>4.</w:t>
      </w:r>
      <w:r>
        <w:tab/>
        <w:t>Wiek i rozwój: Drzewostany muszą składać się z drzew w takim wieku lub takiej fazie rozwoju, aby łatwo można było ocenić dane kryteria selekcji.</w:t>
      </w:r>
    </w:p>
    <w:p w:rsidR="006C354F" w:rsidRDefault="006C354F" w:rsidP="006845F1">
      <w:pPr>
        <w:spacing w:before="120" w:after="120" w:line="360" w:lineRule="auto"/>
        <w:ind w:left="850" w:hanging="850"/>
      </w:pPr>
      <w:r>
        <w:t>5.</w:t>
      </w:r>
      <w:r>
        <w:tab/>
        <w:t>Jednolitość: Drzewostany muszą wykazywać normalny stopień indywidualnego zróżnicowania cech morfologicznych. W razie potrzeby gorsze drzewa usuwa się.</w:t>
      </w:r>
    </w:p>
    <w:p w:rsidR="006C6EA4" w:rsidRDefault="006C6EA4">
      <w:pPr>
        <w:widowControl/>
      </w:pPr>
      <w:r>
        <w:br w:type="page"/>
      </w:r>
    </w:p>
    <w:p w:rsidR="006C354F" w:rsidRDefault="006C354F" w:rsidP="006845F1">
      <w:pPr>
        <w:spacing w:before="120" w:after="120" w:line="360" w:lineRule="auto"/>
        <w:ind w:left="850" w:hanging="850"/>
      </w:pPr>
      <w:r>
        <w:lastRenderedPageBreak/>
        <w:t>6.</w:t>
      </w:r>
      <w:r>
        <w:tab/>
        <w:t>Właściwości związane ze zrównoważonym rozwojem:</w:t>
      </w:r>
    </w:p>
    <w:p w:rsidR="006C354F" w:rsidRDefault="006C354F" w:rsidP="006845F1">
      <w:pPr>
        <w:spacing w:before="120" w:after="120" w:line="360" w:lineRule="auto"/>
        <w:ind w:left="1416" w:hanging="566"/>
      </w:pPr>
      <w:r>
        <w:t>a)</w:t>
      </w:r>
      <w:r>
        <w:tab/>
        <w:t>Drzewostany muszą być dobrze przystosowane do warunków klimatycznych i ekologicznych, w tym czynników biotycznych i abiotycznych występujących w regionie pochodzenia.</w:t>
      </w:r>
    </w:p>
    <w:p w:rsidR="006C354F" w:rsidRPr="006C6EA4" w:rsidRDefault="006C354F" w:rsidP="006845F1">
      <w:pPr>
        <w:spacing w:before="120" w:after="120" w:line="360" w:lineRule="auto"/>
        <w:ind w:left="1416" w:hanging="566"/>
        <w:rPr>
          <w:b/>
        </w:rPr>
      </w:pPr>
      <w:r>
        <w:t>b)</w:t>
      </w:r>
      <w:r>
        <w:tab/>
        <w:t xml:space="preserve">Drzewa muszą być praktycznie wolne od </w:t>
      </w:r>
      <w:proofErr w:type="spellStart"/>
      <w:r>
        <w:t>agrofagów</w:t>
      </w:r>
      <w:proofErr w:type="spellEnd"/>
      <w:r>
        <w:rPr>
          <w:b/>
          <w:i/>
        </w:rPr>
        <w:t xml:space="preserve"> jakościowych</w:t>
      </w:r>
      <w:r>
        <w:t xml:space="preserve"> i oznak ich występowania oraz odporne na niekorzystne warunki </w:t>
      </w:r>
      <w:r>
        <w:rPr>
          <w:b/>
          <w:i/>
        </w:rPr>
        <w:t xml:space="preserve">klimatyczne i warunki specyficzne dla danego miejsca, </w:t>
      </w:r>
      <w:r>
        <w:t>panujące w miejscu, w którym rosną.</w:t>
      </w:r>
      <w:r w:rsidR="006C6EA4">
        <w:rPr>
          <w:b/>
        </w:rPr>
        <w:t xml:space="preserve"> [Popr. 89]</w:t>
      </w:r>
    </w:p>
    <w:p w:rsidR="006C354F" w:rsidRDefault="006C354F" w:rsidP="006845F1">
      <w:pPr>
        <w:spacing w:before="120" w:after="120" w:line="360" w:lineRule="auto"/>
        <w:ind w:left="850" w:hanging="850"/>
      </w:pPr>
      <w:r>
        <w:t>7.</w:t>
      </w:r>
      <w:r>
        <w:tab/>
        <w:t>Wielkość produkcji: Do celów zatwierdzenia wyselekcjonowanych drzewostanów wielkość produkcji drewna musi przekraczać produkcję przyjętą za średnią wielkość produkcji w podobnych warunkach ekologicznych i podobnych warunkach gospodarowania.</w:t>
      </w:r>
    </w:p>
    <w:p w:rsidR="006C354F" w:rsidRDefault="006C354F" w:rsidP="006845F1">
      <w:pPr>
        <w:spacing w:before="120" w:after="120" w:line="360" w:lineRule="auto"/>
        <w:ind w:left="850" w:hanging="850"/>
      </w:pPr>
      <w:r>
        <w:t>8.</w:t>
      </w:r>
      <w:r>
        <w:tab/>
        <w:t>Jakość drewna: Należy brać pod uwagę jakość drewna. Jakość drewna jest zasadniczym kryterium, jeżeli LMR ma być wykorzystany w przemyśle leśnym do celów produkcji drewna, mebli lub pulpy. W takim przypadku właściwy organ przykłada do tego kryterium większą wagę niż do innych.</w:t>
      </w:r>
    </w:p>
    <w:p w:rsidR="006C354F" w:rsidRDefault="006C354F" w:rsidP="006845F1">
      <w:pPr>
        <w:spacing w:before="120" w:after="120" w:line="360" w:lineRule="auto"/>
        <w:ind w:left="850" w:hanging="850"/>
      </w:pPr>
      <w:r>
        <w:t>9.</w:t>
      </w:r>
      <w:r>
        <w:tab/>
        <w:t>Forma lub pokrój: Drzewa w drzewostanie muszą wykazywać szczególnie dobre cechy morfologiczne, zwłaszcza prosty, okrągły pień, pożądane ugałęzienie, małe rozmiary gałęzi i dobre naturalne oczyszczanie się. Proporcja rozwidlonych drzew i drzew wykazujących skręt włókien musi być niska.</w:t>
      </w:r>
    </w:p>
    <w:p w:rsidR="006C354F" w:rsidRDefault="006C354F" w:rsidP="006845F1">
      <w:pPr>
        <w:spacing w:before="120" w:after="120" w:line="360" w:lineRule="auto"/>
        <w:sectPr w:rsidR="006C354F">
          <w:pgSz w:w="11909" w:h="16834"/>
          <w:pgMar w:top="1134" w:right="1417" w:bottom="1417" w:left="1417" w:header="1134" w:footer="567" w:gutter="0"/>
          <w:cols w:space="720"/>
        </w:sectPr>
      </w:pPr>
    </w:p>
    <w:p w:rsidR="006C354F" w:rsidRDefault="006C354F" w:rsidP="006845F1">
      <w:pPr>
        <w:spacing w:before="120" w:after="120" w:line="360" w:lineRule="auto"/>
      </w:pPr>
    </w:p>
    <w:p w:rsidR="006C354F" w:rsidRPr="006C354F" w:rsidRDefault="006C354F" w:rsidP="006845F1">
      <w:pPr>
        <w:pStyle w:val="Normale"/>
        <w:jc w:val="center"/>
        <w:rPr>
          <w:lang w:val="pl-PL"/>
        </w:rPr>
      </w:pPr>
      <w:r w:rsidRPr="006C354F">
        <w:rPr>
          <w:lang w:val="pl-PL"/>
        </w:rPr>
        <w:t>ZAŁĄCZNIK IV</w:t>
      </w:r>
    </w:p>
    <w:p w:rsidR="006C354F" w:rsidRPr="006C354F" w:rsidRDefault="006C354F" w:rsidP="006C6EA4">
      <w:pPr>
        <w:pStyle w:val="Applicationdirecte"/>
        <w:jc w:val="center"/>
        <w:rPr>
          <w:lang w:val="pl-PL"/>
        </w:rPr>
      </w:pPr>
      <w:r w:rsidRPr="006C354F">
        <w:rPr>
          <w:lang w:val="pl-PL"/>
        </w:rPr>
        <w:t>WYMOGI DOTYCZĄCE ZATWIERDZANIA MATERIAŁU PODSTAWOWEGO PRZEZNACZONEGO DO PRODUKCJI LMR KATEGORII „KWALIFIKOWANY”</w:t>
      </w:r>
    </w:p>
    <w:p w:rsidR="006C354F" w:rsidRDefault="006C354F" w:rsidP="006845F1">
      <w:pPr>
        <w:spacing w:before="120" w:after="120" w:line="360" w:lineRule="auto"/>
        <w:ind w:left="850" w:hanging="850"/>
      </w:pPr>
      <w:r>
        <w:t>1.</w:t>
      </w:r>
      <w:r>
        <w:tab/>
        <w:t>Plantacje nasienne</w:t>
      </w:r>
    </w:p>
    <w:p w:rsidR="006C354F" w:rsidRDefault="006C354F" w:rsidP="006845F1">
      <w:pPr>
        <w:spacing w:before="120" w:after="120" w:line="360" w:lineRule="auto"/>
        <w:ind w:left="1416" w:hanging="566"/>
      </w:pPr>
      <w:r>
        <w:t>a)</w:t>
      </w:r>
      <w:r>
        <w:tab/>
        <w:t>Właściwy organ zatwierdza i rejestruje rodzaj i cel wzoru krzyżowania, wzór krzyżowania składowych klonów lub rodów i układ terenu, składowe klony lub rody, izolację i położenie oraz wszelkie zmiany powyższych parametrów.</w:t>
      </w:r>
    </w:p>
    <w:p w:rsidR="006C354F" w:rsidRPr="006C6EA4" w:rsidRDefault="006C354F" w:rsidP="006845F1">
      <w:pPr>
        <w:spacing w:before="120" w:after="120" w:line="360" w:lineRule="auto"/>
        <w:ind w:left="1416" w:hanging="566"/>
        <w:rPr>
          <w:b/>
        </w:rPr>
      </w:pPr>
      <w:r>
        <w:t>b)</w:t>
      </w:r>
      <w:r>
        <w:tab/>
      </w:r>
      <w:r>
        <w:rPr>
          <w:strike/>
        </w:rPr>
        <w:t xml:space="preserve">Podmiot profesjonalny wybiera </w:t>
      </w:r>
      <w:r>
        <w:t>Składowe klony lub rody</w:t>
      </w:r>
      <w:r>
        <w:rPr>
          <w:b/>
          <w:i/>
        </w:rPr>
        <w:t xml:space="preserve"> wybiera się</w:t>
      </w:r>
      <w:r>
        <w:t xml:space="preserve"> ze względu na ich wyjątkowo dobre cechy charakterystyczne</w:t>
      </w:r>
      <w:r>
        <w:rPr>
          <w:strike/>
        </w:rPr>
        <w:t xml:space="preserve"> i przywiązuje</w:t>
      </w:r>
      <w:r>
        <w:rPr>
          <w:b/>
          <w:i/>
        </w:rPr>
        <w:t>, przy czym</w:t>
      </w:r>
      <w:r>
        <w:t xml:space="preserve"> należytą wagę</w:t>
      </w:r>
      <w:r>
        <w:rPr>
          <w:b/>
          <w:i/>
        </w:rPr>
        <w:t xml:space="preserve"> przykłada się</w:t>
      </w:r>
      <w:r>
        <w:t xml:space="preserve"> do wymogów określonych w sekcji B pkt 4 i 6–9 załącznika III, z uwzględnieniem konkretnego przeznaczenia uzyskanego LMR.</w:t>
      </w:r>
      <w:r w:rsidR="006C6EA4">
        <w:rPr>
          <w:b/>
        </w:rPr>
        <w:t xml:space="preserve"> [Popr. 90]</w:t>
      </w:r>
    </w:p>
    <w:p w:rsidR="006C354F" w:rsidRDefault="006C354F" w:rsidP="006845F1">
      <w:pPr>
        <w:spacing w:before="120" w:after="120" w:line="360" w:lineRule="auto"/>
        <w:ind w:left="1416" w:hanging="566"/>
      </w:pPr>
      <w:r>
        <w:t>c)</w:t>
      </w:r>
      <w:r>
        <w:tab/>
        <w:t>Składowe klony lub rody są sadzone lub zostały zasadzone zgodnie z planem zatwierdzonym przez właściwy organ i sporządzonym w taki sposób, aby każdy ze składników można było zidentyfikować.</w:t>
      </w:r>
    </w:p>
    <w:p w:rsidR="006C6EA4" w:rsidRDefault="006C6EA4">
      <w:pPr>
        <w:widowControl/>
      </w:pPr>
      <w:r>
        <w:br w:type="page"/>
      </w:r>
    </w:p>
    <w:p w:rsidR="006C354F" w:rsidRDefault="006C354F" w:rsidP="006845F1">
      <w:pPr>
        <w:spacing w:before="120" w:after="120" w:line="360" w:lineRule="auto"/>
        <w:ind w:left="1416" w:hanging="566"/>
      </w:pPr>
      <w:r>
        <w:lastRenderedPageBreak/>
        <w:t>d)</w:t>
      </w:r>
      <w:r>
        <w:tab/>
        <w:t>Przerzedzanie prowadzone w plantacjach nasiennych opisuje się wraz z uwzględnieniem kryteriów selekcji stosowanych przy takim przerzedzaniu i rejestruje we właściwym organie.</w:t>
      </w:r>
    </w:p>
    <w:p w:rsidR="006C354F" w:rsidRPr="006C6EA4" w:rsidRDefault="006C354F" w:rsidP="006845F1">
      <w:pPr>
        <w:spacing w:before="120" w:after="120" w:line="360" w:lineRule="auto"/>
        <w:ind w:left="1416" w:hanging="566"/>
        <w:rPr>
          <w:b/>
        </w:rPr>
      </w:pPr>
      <w:r>
        <w:t>e)</w:t>
      </w:r>
      <w:r>
        <w:tab/>
      </w:r>
      <w:r>
        <w:rPr>
          <w:strike/>
        </w:rPr>
        <w:t xml:space="preserve">Podmiot profesjonalny </w:t>
      </w:r>
      <w:proofErr w:type="spellStart"/>
      <w:r>
        <w:rPr>
          <w:strike/>
        </w:rPr>
        <w:t>zarządza</w:t>
      </w:r>
      <w:r>
        <w:rPr>
          <w:b/>
          <w:i/>
        </w:rPr>
        <w:t>Zarządzanie</w:t>
      </w:r>
      <w:proofErr w:type="spellEnd"/>
      <w:r>
        <w:t xml:space="preserve"> plantacjami nasiennymi i </w:t>
      </w:r>
      <w:r>
        <w:rPr>
          <w:strike/>
        </w:rPr>
        <w:t xml:space="preserve">zbiera </w:t>
      </w:r>
      <w:proofErr w:type="spellStart"/>
      <w:r>
        <w:rPr>
          <w:strike/>
        </w:rPr>
        <w:t>nasiona</w:t>
      </w:r>
      <w:r>
        <w:rPr>
          <w:b/>
          <w:i/>
        </w:rPr>
        <w:t>zbieranie</w:t>
      </w:r>
      <w:proofErr w:type="spellEnd"/>
      <w:r>
        <w:rPr>
          <w:b/>
          <w:i/>
        </w:rPr>
        <w:t xml:space="preserve"> nasion odbywa się</w:t>
      </w:r>
      <w:r>
        <w:t xml:space="preserve"> w sposób pozwalający osiągnąć cele tych plantacji. W przypadku plantacji nasiennych przeznaczonych do produkcji sztucznego mieszańca odsetek mieszańców w LMR musi być określony za pomocą badania weryfikacyjnego.</w:t>
      </w:r>
      <w:r w:rsidR="006C6EA4">
        <w:rPr>
          <w:b/>
        </w:rPr>
        <w:t xml:space="preserve"> [Popr. 91]</w:t>
      </w:r>
    </w:p>
    <w:p w:rsidR="006C354F" w:rsidRDefault="006C354F" w:rsidP="006845F1">
      <w:pPr>
        <w:spacing w:before="120" w:after="120" w:line="360" w:lineRule="auto"/>
        <w:ind w:left="850" w:hanging="850"/>
      </w:pPr>
      <w:r>
        <w:t>2.</w:t>
      </w:r>
      <w:r>
        <w:tab/>
        <w:t>Drzewa mateczne</w:t>
      </w:r>
    </w:p>
    <w:p w:rsidR="006C354F" w:rsidRPr="006C6EA4" w:rsidRDefault="006C354F" w:rsidP="006845F1">
      <w:pPr>
        <w:spacing w:before="120" w:after="120" w:line="360" w:lineRule="auto"/>
        <w:ind w:left="1416" w:hanging="566"/>
        <w:rPr>
          <w:b/>
        </w:rPr>
      </w:pPr>
      <w:r>
        <w:t>a)</w:t>
      </w:r>
      <w:r>
        <w:tab/>
      </w:r>
      <w:r>
        <w:rPr>
          <w:strike/>
        </w:rPr>
        <w:t xml:space="preserve">Podmiot profesjonalny wybiera </w:t>
      </w:r>
      <w:r>
        <w:t>Drzewa mateczne</w:t>
      </w:r>
      <w:r>
        <w:rPr>
          <w:b/>
          <w:i/>
        </w:rPr>
        <w:t xml:space="preserve"> wybiera się</w:t>
      </w:r>
      <w:r>
        <w:t xml:space="preserve"> ze względu na ich wyjątkowo dobre cechy charakterystyczne lub zdolność do łączenia wymaganych cech. W przypadku dokonania wyboru ze względu na wyjątkowo dobre cechy charakterystyczne należytą wagę przykłada się do wymogów określonych w sekcji B pkt 4 i 6–9 załącznika III, z uwzględnieniem konkretnego przeznaczenia uzyskanego LMR.</w:t>
      </w:r>
      <w:r w:rsidR="006C6EA4">
        <w:rPr>
          <w:b/>
        </w:rPr>
        <w:t xml:space="preserve"> [Popr. 92]</w:t>
      </w:r>
    </w:p>
    <w:p w:rsidR="006C6EA4" w:rsidRDefault="006C6EA4">
      <w:pPr>
        <w:widowControl/>
      </w:pPr>
      <w:r>
        <w:br w:type="page"/>
      </w:r>
    </w:p>
    <w:p w:rsidR="006C354F" w:rsidRDefault="006C354F" w:rsidP="006845F1">
      <w:pPr>
        <w:spacing w:before="120" w:after="120" w:line="360" w:lineRule="auto"/>
        <w:ind w:left="1416" w:hanging="566"/>
      </w:pPr>
      <w:r>
        <w:lastRenderedPageBreak/>
        <w:t>b)</w:t>
      </w:r>
      <w:r>
        <w:tab/>
        <w:t>Właściwy organ zatwierdza i rejestruje cel, wzór krzyżowania i system zapylania, składniki, izolację i położenie oraz wszelkie istotne zmiany tych elementów.</w:t>
      </w:r>
    </w:p>
    <w:p w:rsidR="006C354F" w:rsidRDefault="006C354F" w:rsidP="006845F1">
      <w:pPr>
        <w:spacing w:before="120" w:after="120" w:line="360" w:lineRule="auto"/>
        <w:ind w:left="1416" w:hanging="566"/>
      </w:pPr>
      <w:r>
        <w:t>c)</w:t>
      </w:r>
      <w:r>
        <w:tab/>
        <w:t>Właściwy organ zatwierdza i rejestruje tożsamość, liczbę i proporcję drzew matecznych w mieszance.</w:t>
      </w:r>
    </w:p>
    <w:p w:rsidR="006C354F" w:rsidRDefault="006C354F" w:rsidP="006845F1">
      <w:pPr>
        <w:spacing w:before="120" w:after="120" w:line="360" w:lineRule="auto"/>
        <w:ind w:left="1416" w:hanging="566"/>
      </w:pPr>
      <w:r>
        <w:t>d)</w:t>
      </w:r>
      <w:r>
        <w:tab/>
        <w:t>W przypadku drzew matecznych przeznaczonych do produkcji sztucznego mieszańca odsetek mieszańców w LMR musi być określony za pomocą badania weryfikacyjnego.</w:t>
      </w:r>
    </w:p>
    <w:p w:rsidR="006C354F" w:rsidRDefault="006C354F" w:rsidP="006845F1">
      <w:pPr>
        <w:spacing w:before="120" w:after="120" w:line="360" w:lineRule="auto"/>
        <w:ind w:left="850" w:hanging="850"/>
      </w:pPr>
      <w:r>
        <w:t>3.</w:t>
      </w:r>
      <w:r>
        <w:tab/>
        <w:t>Klony</w:t>
      </w:r>
    </w:p>
    <w:p w:rsidR="006C354F" w:rsidRDefault="006C354F" w:rsidP="006845F1">
      <w:pPr>
        <w:spacing w:before="120" w:after="120" w:line="360" w:lineRule="auto"/>
        <w:ind w:left="1416" w:hanging="566"/>
      </w:pPr>
      <w:r>
        <w:t>a)</w:t>
      </w:r>
      <w:r>
        <w:tab/>
        <w:t>Klony muszą być możliwe do zidentyfikowania dzięki wyróżniającym je cechom charakterystycznym, które zostały zatwierdzone i zarejestrowane przez właściwy organ.</w:t>
      </w:r>
    </w:p>
    <w:p w:rsidR="006C354F" w:rsidRDefault="006C354F" w:rsidP="006845F1">
      <w:pPr>
        <w:spacing w:before="120" w:after="120" w:line="360" w:lineRule="auto"/>
        <w:ind w:left="1416" w:hanging="566"/>
      </w:pPr>
      <w:r>
        <w:t>b)</w:t>
      </w:r>
      <w:r>
        <w:tab/>
        <w:t>Wartość pojedynczych klonów ustala się na podstawie obserwacji i jakościowej oceny charakterystycznych cech tych klonów lub została ona udowodniona w wyniku wystarczająco długiego doświadczenia.</w:t>
      </w:r>
    </w:p>
    <w:p w:rsidR="006C6EA4" w:rsidRDefault="006C6EA4">
      <w:pPr>
        <w:widowControl/>
      </w:pPr>
      <w:r>
        <w:br w:type="page"/>
      </w:r>
    </w:p>
    <w:p w:rsidR="006C354F" w:rsidRDefault="006C354F" w:rsidP="006845F1">
      <w:pPr>
        <w:spacing w:before="120" w:after="120" w:line="360" w:lineRule="auto"/>
        <w:ind w:left="1416" w:hanging="566"/>
      </w:pPr>
      <w:r>
        <w:lastRenderedPageBreak/>
        <w:t>c)</w:t>
      </w:r>
      <w:r>
        <w:tab/>
      </w:r>
      <w:proofErr w:type="spellStart"/>
      <w:r>
        <w:t>Ortety</w:t>
      </w:r>
      <w:proofErr w:type="spellEnd"/>
      <w:r>
        <w:t xml:space="preserve"> wykorzystywane do produkcji klonów wybiera się ze względu na ich wyjątkowo dobre cechy charakterystyczne, przy czym należytą wagę przykłada się do wymogów określonych w sekcji B pkt 4 i 6–9 załącznika III, z uwzględnieniem konkretnego przeznaczenia uzyskanego LMR.</w:t>
      </w:r>
    </w:p>
    <w:p w:rsidR="006C354F" w:rsidRDefault="006C354F" w:rsidP="006845F1">
      <w:pPr>
        <w:spacing w:before="120" w:after="120" w:line="360" w:lineRule="auto"/>
        <w:ind w:left="1416" w:hanging="566"/>
      </w:pPr>
      <w:r>
        <w:t>d)</w:t>
      </w:r>
      <w:r>
        <w:tab/>
        <w:t xml:space="preserve">Właściwy organ ogranicza zatwierdzanie do maksymalnej liczby lat lub maksymalnej liczby </w:t>
      </w:r>
      <w:proofErr w:type="spellStart"/>
      <w:r>
        <w:t>rametów</w:t>
      </w:r>
      <w:proofErr w:type="spellEnd"/>
      <w:r>
        <w:t>.</w:t>
      </w:r>
    </w:p>
    <w:p w:rsidR="006C354F" w:rsidRDefault="006C354F" w:rsidP="006845F1">
      <w:pPr>
        <w:spacing w:before="120" w:after="120" w:line="360" w:lineRule="auto"/>
        <w:ind w:left="850" w:hanging="850"/>
      </w:pPr>
      <w:r>
        <w:t>4.</w:t>
      </w:r>
      <w:r>
        <w:tab/>
        <w:t>Mieszanka klonów</w:t>
      </w:r>
    </w:p>
    <w:p w:rsidR="006C354F" w:rsidRDefault="006C354F" w:rsidP="006845F1">
      <w:pPr>
        <w:spacing w:before="120" w:after="120" w:line="360" w:lineRule="auto"/>
        <w:ind w:left="1416" w:hanging="566"/>
      </w:pPr>
      <w:r>
        <w:t>a)</w:t>
      </w:r>
      <w:r>
        <w:tab/>
        <w:t>Mieszanki klonów muszą spełniać wymogi określone w pkt 3 lit. a), b) i c).</w:t>
      </w:r>
    </w:p>
    <w:p w:rsidR="006C354F" w:rsidRDefault="006C354F" w:rsidP="006845F1">
      <w:pPr>
        <w:spacing w:before="120" w:after="120" w:line="360" w:lineRule="auto"/>
        <w:ind w:left="1416" w:hanging="566"/>
      </w:pPr>
      <w:r>
        <w:t>b)</w:t>
      </w:r>
      <w:r>
        <w:tab/>
        <w:t>Właściwy organ zatwierdza i rejestruje tożsamość, liczbę i proporcję składowych klonów mieszanki oraz metodę selekcji i materiał pierwotny. Każda mieszanka musi wykazywać wystarczającą różnorodność genetyczną.</w:t>
      </w:r>
    </w:p>
    <w:p w:rsidR="006C354F" w:rsidRDefault="006C354F" w:rsidP="006845F1">
      <w:pPr>
        <w:spacing w:before="120" w:after="120" w:line="360" w:lineRule="auto"/>
        <w:ind w:left="1416" w:hanging="566"/>
      </w:pPr>
      <w:r>
        <w:t>c)</w:t>
      </w:r>
      <w:r>
        <w:tab/>
        <w:t xml:space="preserve">Właściwy organ ogranicza zatwierdzanie do maksymalnej liczby lat lub maksymalnej liczby </w:t>
      </w:r>
      <w:proofErr w:type="spellStart"/>
      <w:r>
        <w:t>rametów</w:t>
      </w:r>
      <w:proofErr w:type="spellEnd"/>
      <w:r>
        <w:t>.</w:t>
      </w:r>
    </w:p>
    <w:p w:rsidR="006C354F" w:rsidRDefault="006C354F" w:rsidP="006845F1">
      <w:pPr>
        <w:spacing w:before="120" w:after="120" w:line="360" w:lineRule="auto"/>
        <w:sectPr w:rsidR="006C354F">
          <w:pgSz w:w="11909" w:h="16834"/>
          <w:pgMar w:top="1134" w:right="1417" w:bottom="1417" w:left="1417" w:header="1134" w:footer="567" w:gutter="0"/>
          <w:cols w:space="720"/>
        </w:sectPr>
      </w:pPr>
    </w:p>
    <w:p w:rsidR="006C354F" w:rsidRDefault="006C354F" w:rsidP="006845F1">
      <w:pPr>
        <w:spacing w:before="120" w:after="120" w:line="360" w:lineRule="auto"/>
      </w:pPr>
    </w:p>
    <w:p w:rsidR="006C354F" w:rsidRPr="006C354F" w:rsidRDefault="006C354F" w:rsidP="006845F1">
      <w:pPr>
        <w:pStyle w:val="Normale"/>
        <w:jc w:val="center"/>
        <w:rPr>
          <w:lang w:val="pl-PL"/>
        </w:rPr>
      </w:pPr>
      <w:r w:rsidRPr="006C354F">
        <w:rPr>
          <w:lang w:val="pl-PL"/>
        </w:rPr>
        <w:t>ZAŁĄCZNIK V</w:t>
      </w:r>
    </w:p>
    <w:p w:rsidR="006C354F" w:rsidRPr="006C354F" w:rsidRDefault="006C354F" w:rsidP="006C6EA4">
      <w:pPr>
        <w:pStyle w:val="Applicationdirecte"/>
        <w:jc w:val="center"/>
        <w:rPr>
          <w:lang w:val="pl-PL"/>
        </w:rPr>
      </w:pPr>
      <w:r w:rsidRPr="006C354F">
        <w:rPr>
          <w:lang w:val="pl-PL"/>
        </w:rPr>
        <w:t>WYMOGI DOTYCZĄCE ZATWIERDZANIA MATERIAŁU PODSTAWOWEGO PRZEZNACZONEGO DO PRODUKCJI LMR KATEGORII „PRZETESTOWANY”</w:t>
      </w:r>
    </w:p>
    <w:p w:rsidR="006C354F" w:rsidRDefault="006C354F" w:rsidP="006845F1">
      <w:pPr>
        <w:spacing w:before="120" w:after="120" w:line="360" w:lineRule="auto"/>
        <w:ind w:left="850" w:hanging="850"/>
      </w:pPr>
      <w:r>
        <w:t>1.</w:t>
      </w:r>
      <w:r>
        <w:tab/>
        <w:t>WYMOGI DOTYCZĄCE WSZYSTKICH TESTÓW</w:t>
      </w:r>
    </w:p>
    <w:p w:rsidR="006C354F" w:rsidRPr="006C354F" w:rsidRDefault="004564DE" w:rsidP="004564DE">
      <w:pPr>
        <w:pStyle w:val="Applicationdirecte"/>
        <w:ind w:left="851" w:hanging="851"/>
        <w:rPr>
          <w:lang w:val="pl-PL"/>
        </w:rPr>
      </w:pPr>
      <w:r>
        <w:rPr>
          <w:lang w:val="pl-PL"/>
        </w:rPr>
        <w:t xml:space="preserve">a) </w:t>
      </w:r>
      <w:r>
        <w:rPr>
          <w:lang w:val="pl-PL"/>
        </w:rPr>
        <w:tab/>
      </w:r>
      <w:bookmarkStart w:id="7" w:name="_GoBack"/>
      <w:bookmarkEnd w:id="7"/>
      <w:r w:rsidR="006C354F" w:rsidRPr="006C354F">
        <w:rPr>
          <w:lang w:val="pl-PL"/>
        </w:rPr>
        <w:t>Informacje ogólne</w:t>
      </w:r>
    </w:p>
    <w:p w:rsidR="006C354F" w:rsidRPr="006C354F" w:rsidRDefault="006C354F" w:rsidP="006845F1">
      <w:pPr>
        <w:pStyle w:val="Applicationdirecte"/>
        <w:rPr>
          <w:lang w:val="pl-PL"/>
        </w:rPr>
      </w:pPr>
      <w:r w:rsidRPr="006C354F">
        <w:rPr>
          <w:lang w:val="pl-PL"/>
        </w:rPr>
        <w:t>Jeżeli materiałem podstawowym jest drzewostan, musi on spełniać odpowiednie wymogi określone w załączniku III. Jeżeli materiałem podstawowym są plantacje nasienne, drzewa mateczne, klony lub mieszanki klonów, musi on spełniać odpowiednie wymogi określone w załączniku IV. Właściwy organ określa kryteria selekcji na podstawie przeznaczenia LMR.</w:t>
      </w:r>
    </w:p>
    <w:p w:rsidR="006C354F" w:rsidRPr="006C6EA4" w:rsidRDefault="006C354F" w:rsidP="006845F1">
      <w:pPr>
        <w:pStyle w:val="Applicationdirecte"/>
        <w:rPr>
          <w:b/>
          <w:lang w:val="pl-PL"/>
        </w:rPr>
      </w:pPr>
      <w:r w:rsidRPr="006C354F">
        <w:rPr>
          <w:lang w:val="pl-PL"/>
        </w:rPr>
        <w:t xml:space="preserve">Podmioty profesjonalne </w:t>
      </w:r>
      <w:r w:rsidRPr="006C354F">
        <w:rPr>
          <w:strike/>
          <w:lang w:val="pl-PL"/>
        </w:rPr>
        <w:t xml:space="preserve">przygotowują, przedstawiają i przeprowadzają testy w celu </w:t>
      </w:r>
      <w:proofErr w:type="spellStart"/>
      <w:r w:rsidRPr="006C354F">
        <w:rPr>
          <w:strike/>
          <w:lang w:val="pl-PL"/>
        </w:rPr>
        <w:t>zatwierdzenia</w:t>
      </w:r>
      <w:r w:rsidRPr="006C354F">
        <w:rPr>
          <w:b/>
          <w:i/>
          <w:lang w:val="pl-PL"/>
        </w:rPr>
        <w:t>zgłaszają</w:t>
      </w:r>
      <w:proofErr w:type="spellEnd"/>
      <w:r w:rsidRPr="006C354F">
        <w:rPr>
          <w:b/>
          <w:i/>
          <w:lang w:val="pl-PL"/>
        </w:rPr>
        <w:t xml:space="preserve"> materiał, metody i wyniki testów właściwemu organowi odpowiedzialnemu za zatwierdzenie</w:t>
      </w:r>
      <w:r w:rsidRPr="006C354F">
        <w:rPr>
          <w:lang w:val="pl-PL"/>
        </w:rPr>
        <w:t xml:space="preserve"> materiału podstawowego. </w:t>
      </w:r>
      <w:r w:rsidRPr="006C354F">
        <w:rPr>
          <w:strike/>
          <w:lang w:val="pl-PL"/>
        </w:rPr>
        <w:t xml:space="preserve">Podmioty profesjonalne </w:t>
      </w:r>
      <w:proofErr w:type="spellStart"/>
      <w:r w:rsidRPr="006C354F">
        <w:rPr>
          <w:strike/>
          <w:lang w:val="pl-PL"/>
        </w:rPr>
        <w:t>interpretują</w:t>
      </w:r>
      <w:r w:rsidRPr="006C354F">
        <w:rPr>
          <w:b/>
          <w:i/>
          <w:lang w:val="pl-PL"/>
        </w:rPr>
        <w:t>Przedstawione</w:t>
      </w:r>
      <w:proofErr w:type="spellEnd"/>
      <w:r w:rsidRPr="006C354F">
        <w:rPr>
          <w:lang w:val="pl-PL"/>
        </w:rPr>
        <w:t xml:space="preserve"> wyniki </w:t>
      </w:r>
      <w:r w:rsidRPr="006C354F">
        <w:rPr>
          <w:strike/>
          <w:lang w:val="pl-PL"/>
        </w:rPr>
        <w:t xml:space="preserve">tych </w:t>
      </w:r>
      <w:proofErr w:type="spellStart"/>
      <w:r w:rsidRPr="006C354F">
        <w:rPr>
          <w:strike/>
          <w:lang w:val="pl-PL"/>
        </w:rPr>
        <w:t>testów</w:t>
      </w:r>
      <w:r w:rsidRPr="006C354F">
        <w:rPr>
          <w:b/>
          <w:i/>
          <w:lang w:val="pl-PL"/>
        </w:rPr>
        <w:t>analizowane</w:t>
      </w:r>
      <w:proofErr w:type="spellEnd"/>
      <w:r w:rsidRPr="006C354F">
        <w:rPr>
          <w:b/>
          <w:i/>
          <w:lang w:val="pl-PL"/>
        </w:rPr>
        <w:t xml:space="preserve"> są</w:t>
      </w:r>
      <w:r w:rsidRPr="006C354F">
        <w:rPr>
          <w:lang w:val="pl-PL"/>
        </w:rPr>
        <w:t xml:space="preserve"> zgodnie z procedurami uznanymi na szczeblu międzynarodowym. W przypadku testów porównawczych </w:t>
      </w:r>
      <w:r w:rsidRPr="006C354F">
        <w:rPr>
          <w:strike/>
          <w:lang w:val="pl-PL"/>
        </w:rPr>
        <w:t xml:space="preserve">podmiot profesjonalny porównuje testowany LMR z </w:t>
      </w:r>
      <w:proofErr w:type="spellStart"/>
      <w:r w:rsidRPr="006C354F">
        <w:rPr>
          <w:strike/>
          <w:lang w:val="pl-PL"/>
        </w:rPr>
        <w:t>jedną</w:t>
      </w:r>
      <w:r w:rsidRPr="006C354F">
        <w:rPr>
          <w:b/>
          <w:i/>
          <w:lang w:val="pl-PL"/>
        </w:rPr>
        <w:t>wykorzystuje</w:t>
      </w:r>
      <w:proofErr w:type="spellEnd"/>
      <w:r w:rsidRPr="006C354F">
        <w:rPr>
          <w:b/>
          <w:i/>
          <w:lang w:val="pl-PL"/>
        </w:rPr>
        <w:t xml:space="preserve"> się jeden</w:t>
      </w:r>
      <w:r w:rsidRPr="006C354F">
        <w:rPr>
          <w:lang w:val="pl-PL"/>
        </w:rPr>
        <w:t xml:space="preserve">, a najlepiej </w:t>
      </w:r>
      <w:r w:rsidRPr="006C354F">
        <w:rPr>
          <w:strike/>
          <w:lang w:val="pl-PL"/>
        </w:rPr>
        <w:t xml:space="preserve">z kilkoma </w:t>
      </w:r>
      <w:proofErr w:type="spellStart"/>
      <w:r w:rsidRPr="006C354F">
        <w:rPr>
          <w:strike/>
          <w:lang w:val="pl-PL"/>
        </w:rPr>
        <w:t>zatwierdzonymi</w:t>
      </w:r>
      <w:r w:rsidRPr="006C354F">
        <w:rPr>
          <w:b/>
          <w:i/>
          <w:lang w:val="pl-PL"/>
        </w:rPr>
        <w:t>kilka</w:t>
      </w:r>
      <w:proofErr w:type="spellEnd"/>
      <w:r w:rsidRPr="006C354F">
        <w:rPr>
          <w:b/>
          <w:i/>
          <w:lang w:val="pl-PL"/>
        </w:rPr>
        <w:t xml:space="preserve"> zatwierdzonych</w:t>
      </w:r>
      <w:r w:rsidRPr="006C354F">
        <w:rPr>
          <w:lang w:val="pl-PL"/>
        </w:rPr>
        <w:t xml:space="preserve"> lub wcześniej </w:t>
      </w:r>
      <w:r w:rsidRPr="006C354F">
        <w:rPr>
          <w:strike/>
          <w:lang w:val="pl-PL"/>
        </w:rPr>
        <w:t xml:space="preserve">wybranymi </w:t>
      </w:r>
      <w:proofErr w:type="spellStart"/>
      <w:r w:rsidRPr="006C354F">
        <w:rPr>
          <w:strike/>
          <w:lang w:val="pl-PL"/>
        </w:rPr>
        <w:t>wzorcami</w:t>
      </w:r>
      <w:r w:rsidRPr="006C354F">
        <w:rPr>
          <w:b/>
          <w:i/>
          <w:lang w:val="pl-PL"/>
        </w:rPr>
        <w:t>wybranych</w:t>
      </w:r>
      <w:proofErr w:type="spellEnd"/>
      <w:r w:rsidRPr="006C354F">
        <w:rPr>
          <w:b/>
          <w:i/>
          <w:lang w:val="pl-PL"/>
        </w:rPr>
        <w:t xml:space="preserve"> wzorców</w:t>
      </w:r>
      <w:r w:rsidRPr="006C354F">
        <w:rPr>
          <w:lang w:val="pl-PL"/>
        </w:rPr>
        <w:t>, jak opisano w pkt 3 lit. b).</w:t>
      </w:r>
      <w:r w:rsidR="006C6EA4">
        <w:rPr>
          <w:b/>
          <w:lang w:val="pl-PL"/>
        </w:rPr>
        <w:t xml:space="preserve"> [Popr. 93]</w:t>
      </w:r>
    </w:p>
    <w:p w:rsidR="006C6EA4" w:rsidRDefault="006C6EA4">
      <w:pPr>
        <w:widowControl/>
        <w:rPr>
          <w:b/>
          <w:i/>
          <w:szCs w:val="24"/>
          <w:lang w:eastAsia="en-US"/>
        </w:rPr>
      </w:pPr>
      <w:r>
        <w:rPr>
          <w:b/>
          <w:i/>
        </w:rPr>
        <w:br w:type="page"/>
      </w:r>
    </w:p>
    <w:p w:rsidR="006C354F" w:rsidRPr="006C6EA4" w:rsidRDefault="004564DE" w:rsidP="004564DE">
      <w:pPr>
        <w:pStyle w:val="Applicationdirecte"/>
        <w:ind w:left="851" w:hanging="851"/>
        <w:rPr>
          <w:b/>
          <w:lang w:val="pl-PL"/>
        </w:rPr>
      </w:pPr>
      <w:r>
        <w:rPr>
          <w:b/>
          <w:i/>
          <w:lang w:val="pl-PL"/>
        </w:rPr>
        <w:lastRenderedPageBreak/>
        <w:t xml:space="preserve">aa) </w:t>
      </w:r>
      <w:r>
        <w:rPr>
          <w:b/>
          <w:i/>
          <w:lang w:val="pl-PL"/>
        </w:rPr>
        <w:tab/>
      </w:r>
      <w:r w:rsidR="006C354F" w:rsidRPr="006C354F">
        <w:rPr>
          <w:b/>
          <w:i/>
          <w:lang w:val="pl-PL"/>
        </w:rPr>
        <w:t>Zapewnia się minimalną liczbę obszarów testowych o minimalnej wielkości dla każdego z gatunków drzew wymienionych w załączniku I.</w:t>
      </w:r>
      <w:r w:rsidR="006C6EA4">
        <w:rPr>
          <w:b/>
          <w:lang w:val="pl-PL"/>
        </w:rPr>
        <w:t xml:space="preserve"> [Popr. 94]</w:t>
      </w:r>
    </w:p>
    <w:p w:rsidR="006C354F" w:rsidRDefault="006C354F" w:rsidP="006845F1">
      <w:pPr>
        <w:spacing w:before="120" w:after="120" w:line="360" w:lineRule="auto"/>
        <w:ind w:left="850" w:hanging="850"/>
      </w:pPr>
      <w:r>
        <w:t>b)</w:t>
      </w:r>
      <w:r>
        <w:tab/>
        <w:t>Badane cechy charakterystyczne</w:t>
      </w:r>
    </w:p>
    <w:p w:rsidR="006C354F" w:rsidRPr="006C6EA4" w:rsidRDefault="006C354F" w:rsidP="006845F1">
      <w:pPr>
        <w:spacing w:before="120" w:after="120" w:line="360" w:lineRule="auto"/>
        <w:ind w:left="850" w:hanging="850"/>
        <w:rPr>
          <w:b/>
        </w:rPr>
      </w:pPr>
      <w:r>
        <w:t>(i)</w:t>
      </w:r>
      <w:r>
        <w:tab/>
      </w:r>
      <w:r>
        <w:rPr>
          <w:strike/>
        </w:rPr>
        <w:t xml:space="preserve">Podmiot profesjonalny opracowuje </w:t>
      </w:r>
      <w:r>
        <w:t>Testy</w:t>
      </w:r>
      <w:r>
        <w:rPr>
          <w:b/>
          <w:i/>
        </w:rPr>
        <w:t xml:space="preserve"> są opracowywane</w:t>
      </w:r>
      <w:r>
        <w:t xml:space="preserve"> na potrzeby oceny stosownych cech charakterystycznych określonych w </w:t>
      </w:r>
      <w:proofErr w:type="spellStart"/>
      <w:r>
        <w:t>ppkt</w:t>
      </w:r>
      <w:proofErr w:type="spellEnd"/>
      <w:r>
        <w:t xml:space="preserve"> (ii), które wskazuje </w:t>
      </w:r>
      <w:r>
        <w:rPr>
          <w:b/>
          <w:i/>
        </w:rPr>
        <w:t xml:space="preserve">się </w:t>
      </w:r>
      <w:r>
        <w:t>w odniesieniu do poszczególnych testów w dokumentacji testów.</w:t>
      </w:r>
      <w:r w:rsidR="006C6EA4">
        <w:rPr>
          <w:b/>
        </w:rPr>
        <w:t xml:space="preserve"> [Popr. 95]</w:t>
      </w:r>
    </w:p>
    <w:p w:rsidR="006C354F" w:rsidRDefault="006C354F" w:rsidP="006845F1">
      <w:pPr>
        <w:spacing w:before="120" w:after="120" w:line="360" w:lineRule="auto"/>
        <w:ind w:left="850" w:hanging="850"/>
      </w:pPr>
      <w:r>
        <w:t>(ii)</w:t>
      </w:r>
      <w:r>
        <w:tab/>
        <w:t>Należy przykładać wagę do istotnych czynników adaptacji i wzrostu oraz istotnych czynników biotycznych i abiotycznych. Dodatkowo ocenia się inne cechy charakterystyczne uznane za istotne ze względu na określony zamierzony cel, w związku z warunkami ekologicznymi panującymi w regionie, w którym przeprowadzany jest test, w tym obecnymi i przyszłymi przewidywanymi warunkami klimatycznymi.</w:t>
      </w:r>
    </w:p>
    <w:p w:rsidR="006C6EA4" w:rsidRDefault="006C6EA4">
      <w:pPr>
        <w:widowControl/>
      </w:pPr>
      <w:r>
        <w:br w:type="page"/>
      </w:r>
    </w:p>
    <w:p w:rsidR="006C354F" w:rsidRDefault="006C354F" w:rsidP="006C6EA4">
      <w:pPr>
        <w:spacing w:before="120" w:after="120" w:line="360" w:lineRule="auto"/>
        <w:ind w:left="850" w:hanging="850"/>
      </w:pPr>
      <w:r>
        <w:lastRenderedPageBreak/>
        <w:t>c)</w:t>
      </w:r>
      <w:r>
        <w:tab/>
        <w:t>Dokumentacja</w:t>
      </w:r>
    </w:p>
    <w:p w:rsidR="006C354F" w:rsidRPr="006C6EA4" w:rsidRDefault="006C354F" w:rsidP="006C6EA4">
      <w:pPr>
        <w:pStyle w:val="Applicationdirecte"/>
        <w:ind w:left="851"/>
        <w:rPr>
          <w:b/>
          <w:lang w:val="pl-PL"/>
        </w:rPr>
      </w:pPr>
      <w:r w:rsidRPr="006C354F">
        <w:rPr>
          <w:lang w:val="pl-PL"/>
        </w:rPr>
        <w:t xml:space="preserve">Podmiot profesjonalny </w:t>
      </w:r>
      <w:r w:rsidRPr="006C354F">
        <w:rPr>
          <w:strike/>
          <w:lang w:val="pl-PL"/>
        </w:rPr>
        <w:t xml:space="preserve">prowadzi dokumentację zawierającą opis </w:t>
      </w:r>
      <w:proofErr w:type="spellStart"/>
      <w:r w:rsidRPr="006C354F">
        <w:rPr>
          <w:strike/>
          <w:lang w:val="pl-PL"/>
        </w:rPr>
        <w:t>miejsc</w:t>
      </w:r>
      <w:r w:rsidRPr="006C354F">
        <w:rPr>
          <w:b/>
          <w:i/>
          <w:lang w:val="pl-PL"/>
        </w:rPr>
        <w:t>przekazuje</w:t>
      </w:r>
      <w:proofErr w:type="spellEnd"/>
      <w:r w:rsidRPr="006C354F">
        <w:rPr>
          <w:b/>
          <w:i/>
          <w:lang w:val="pl-PL"/>
        </w:rPr>
        <w:t xml:space="preserve"> wszystkie informacje niezbędne do oceny wyników</w:t>
      </w:r>
      <w:r w:rsidRPr="006C354F">
        <w:rPr>
          <w:lang w:val="pl-PL"/>
        </w:rPr>
        <w:t xml:space="preserve"> testów, w tym informacje na temat położenia, klimatu, gleby, wcześniejszego użytkowania, utworzenia, zagospodarowania i wszelkich szkód związanych z czynnikami abiotycznymi/biotycznymi. Podmiot profesjonalny udostępnia tę dokumentację </w:t>
      </w:r>
      <w:r w:rsidRPr="006C354F">
        <w:rPr>
          <w:strike/>
          <w:lang w:val="pl-PL"/>
        </w:rPr>
        <w:t xml:space="preserve">na żądanie </w:t>
      </w:r>
      <w:r w:rsidRPr="006C354F">
        <w:rPr>
          <w:lang w:val="pl-PL"/>
        </w:rPr>
        <w:t>właściwemu organowi. Właściwy organ rejestruje wiek materiału podstawowego i LMR oraz wyniki w momencie oceny.</w:t>
      </w:r>
      <w:r w:rsidR="006C6EA4">
        <w:rPr>
          <w:b/>
          <w:lang w:val="pl-PL"/>
        </w:rPr>
        <w:t xml:space="preserve"> [Popr. 96]</w:t>
      </w:r>
    </w:p>
    <w:p w:rsidR="006C354F" w:rsidRDefault="006C354F" w:rsidP="006845F1">
      <w:pPr>
        <w:spacing w:before="120" w:after="120" w:line="360" w:lineRule="auto"/>
        <w:ind w:left="850" w:hanging="850"/>
      </w:pPr>
      <w:r>
        <w:t>d)</w:t>
      </w:r>
      <w:r>
        <w:tab/>
        <w:t>Przygotowanie testów</w:t>
      </w:r>
    </w:p>
    <w:p w:rsidR="006C354F" w:rsidRPr="006C6EA4" w:rsidRDefault="006C354F" w:rsidP="006C6EA4">
      <w:pPr>
        <w:spacing w:before="120" w:after="120" w:line="360" w:lineRule="auto"/>
        <w:ind w:left="1418" w:hanging="567"/>
        <w:rPr>
          <w:b/>
        </w:rPr>
      </w:pPr>
      <w:r>
        <w:t>(i)</w:t>
      </w:r>
      <w:r>
        <w:tab/>
      </w:r>
      <w:r>
        <w:rPr>
          <w:strike/>
        </w:rPr>
        <w:t xml:space="preserve">Podmiot profesjonalny hoduje, sadzi i uprawia każdą próbkę </w:t>
      </w:r>
      <w:proofErr w:type="spellStart"/>
      <w:r>
        <w:rPr>
          <w:strike/>
        </w:rPr>
        <w:t>LMR</w:t>
      </w:r>
      <w:r>
        <w:rPr>
          <w:b/>
          <w:i/>
        </w:rPr>
        <w:t>Każda</w:t>
      </w:r>
      <w:proofErr w:type="spellEnd"/>
      <w:r>
        <w:rPr>
          <w:b/>
          <w:i/>
        </w:rPr>
        <w:t xml:space="preserve"> próbka LMR jest hodowana, sadzona i uprawiana</w:t>
      </w:r>
      <w:r>
        <w:t xml:space="preserve"> w identyczny sposób, na ile pozwalają na to dane rodzaje materiału roślinnego.</w:t>
      </w:r>
      <w:r w:rsidR="006C6EA4">
        <w:rPr>
          <w:b/>
        </w:rPr>
        <w:t xml:space="preserve"> [Popr. 97]</w:t>
      </w:r>
    </w:p>
    <w:p w:rsidR="006C354F" w:rsidRPr="006C6EA4" w:rsidRDefault="006C354F" w:rsidP="006C6EA4">
      <w:pPr>
        <w:spacing w:before="120" w:after="120" w:line="360" w:lineRule="auto"/>
        <w:ind w:left="1418" w:hanging="567"/>
        <w:rPr>
          <w:b/>
        </w:rPr>
      </w:pPr>
      <w:r>
        <w:t>(ii)</w:t>
      </w:r>
      <w:r>
        <w:tab/>
      </w:r>
      <w:r>
        <w:rPr>
          <w:strike/>
        </w:rPr>
        <w:t xml:space="preserve">Podmiot profesjonalny przygotowuje </w:t>
      </w:r>
      <w:r>
        <w:t>Każdy eksperyment</w:t>
      </w:r>
      <w:r>
        <w:rPr>
          <w:b/>
          <w:i/>
        </w:rPr>
        <w:t xml:space="preserve"> przygotowywany jest</w:t>
      </w:r>
      <w:r>
        <w:t xml:space="preserve"> tak, aby był wiarygodny statystycznie</w:t>
      </w:r>
      <w:r>
        <w:rPr>
          <w:strike/>
        </w:rPr>
        <w:t>, uwzględniając wystarczającą liczbą drzew,</w:t>
      </w:r>
      <w:r>
        <w:rPr>
          <w:b/>
          <w:i/>
        </w:rPr>
        <w:t xml:space="preserve"> i</w:t>
      </w:r>
      <w:r>
        <w:t xml:space="preserve"> aby można było ocenić wszystkie indywidualne cechy każdego badanego składnika.</w:t>
      </w:r>
      <w:r w:rsidR="006C6EA4">
        <w:rPr>
          <w:b/>
        </w:rPr>
        <w:t xml:space="preserve"> [Popr. 98]</w:t>
      </w:r>
    </w:p>
    <w:p w:rsidR="006C6EA4" w:rsidRDefault="006C6EA4">
      <w:pPr>
        <w:widowControl/>
      </w:pPr>
      <w:r>
        <w:br w:type="page"/>
      </w:r>
    </w:p>
    <w:p w:rsidR="006C354F" w:rsidRDefault="006C354F" w:rsidP="006845F1">
      <w:pPr>
        <w:spacing w:before="120" w:after="120" w:line="360" w:lineRule="auto"/>
        <w:ind w:left="850" w:hanging="850"/>
      </w:pPr>
      <w:r>
        <w:lastRenderedPageBreak/>
        <w:t>e)</w:t>
      </w:r>
      <w:r>
        <w:tab/>
        <w:t>Analiza i wiarygodność wyników</w:t>
      </w:r>
    </w:p>
    <w:p w:rsidR="006C354F" w:rsidRPr="006C6EA4" w:rsidRDefault="006C354F" w:rsidP="006C6EA4">
      <w:pPr>
        <w:spacing w:before="120" w:after="120" w:line="360" w:lineRule="auto"/>
        <w:ind w:left="1418" w:hanging="567"/>
        <w:rPr>
          <w:b/>
        </w:rPr>
      </w:pPr>
      <w:r>
        <w:t>(i)</w:t>
      </w:r>
      <w:r>
        <w:tab/>
      </w:r>
      <w:r>
        <w:rPr>
          <w:strike/>
        </w:rPr>
        <w:t xml:space="preserve">Podmiot profesjonalny analizuje </w:t>
      </w:r>
      <w:r>
        <w:t>Dane z eksperymentów</w:t>
      </w:r>
      <w:r>
        <w:rPr>
          <w:b/>
          <w:i/>
        </w:rPr>
        <w:t xml:space="preserve"> analizuje się</w:t>
      </w:r>
      <w:r>
        <w:t xml:space="preserve"> za pomocą metod statystycznych uznanych na szczeblu międzynarodowym, a wyniki przedstawia </w:t>
      </w:r>
      <w:r>
        <w:rPr>
          <w:b/>
          <w:i/>
        </w:rPr>
        <w:t xml:space="preserve">się </w:t>
      </w:r>
      <w:r>
        <w:t>w odniesieniu do każdej badanej cechy charakterystycznej.</w:t>
      </w:r>
      <w:r w:rsidR="006C6EA4">
        <w:rPr>
          <w:b/>
        </w:rPr>
        <w:t xml:space="preserve"> [Popr. 99]</w:t>
      </w:r>
    </w:p>
    <w:p w:rsidR="006C354F" w:rsidRDefault="006C354F" w:rsidP="006C6EA4">
      <w:pPr>
        <w:spacing w:before="120" w:after="120" w:line="360" w:lineRule="auto"/>
        <w:ind w:left="1418" w:hanging="567"/>
      </w:pPr>
      <w:r>
        <w:t>(ii)</w:t>
      </w:r>
      <w:r>
        <w:tab/>
        <w:t>Metodyka stosowana do testu i uzyskane szczegółowe wyniki powinny być ogólnie dostępne.</w:t>
      </w:r>
    </w:p>
    <w:p w:rsidR="006C354F" w:rsidRDefault="006C354F" w:rsidP="006C6EA4">
      <w:pPr>
        <w:spacing w:before="120" w:after="120" w:line="360" w:lineRule="auto"/>
        <w:ind w:left="1418" w:hanging="567"/>
      </w:pPr>
      <w:r>
        <w:t>(iii)</w:t>
      </w:r>
      <w:r>
        <w:tab/>
        <w:t>Właściwy organ państwa członkowskiego, w którym przeprowadzono test, wyznacza proponowany obszar wprowadzania i informuje o wszelkich charakterystycznych cechach LMR, które mogą ograniczać jego przydatność.</w:t>
      </w:r>
    </w:p>
    <w:p w:rsidR="006C354F" w:rsidRDefault="006C354F" w:rsidP="006C6EA4">
      <w:pPr>
        <w:spacing w:before="120" w:after="120" w:line="360" w:lineRule="auto"/>
        <w:ind w:left="1418" w:hanging="567"/>
      </w:pPr>
      <w:r>
        <w:t>(iv)</w:t>
      </w:r>
      <w:r>
        <w:tab/>
        <w:t xml:space="preserve">Jeżeli podczas testów zostanie udowodnione, że LMR nie posiada co najmniej cech materiału podstawowego, z którego został pozyskany, w tym w szczególności odporności/tolerancji na </w:t>
      </w:r>
      <w:proofErr w:type="spellStart"/>
      <w:r>
        <w:t>agrofagi</w:t>
      </w:r>
      <w:proofErr w:type="spellEnd"/>
      <w:r>
        <w:t xml:space="preserve"> roślin o znaczeniu gospodarczym, wówczas takiego LMR nie można certyfikować jako materiału kategorii „przetestowany”.</w:t>
      </w:r>
    </w:p>
    <w:p w:rsidR="006C6EA4" w:rsidRDefault="006C6EA4">
      <w:pPr>
        <w:widowControl/>
      </w:pPr>
      <w:r>
        <w:br w:type="page"/>
      </w:r>
    </w:p>
    <w:p w:rsidR="006C354F" w:rsidRDefault="006C354F" w:rsidP="006845F1">
      <w:pPr>
        <w:spacing w:before="120" w:after="120" w:line="360" w:lineRule="auto"/>
        <w:ind w:left="850" w:hanging="850"/>
      </w:pPr>
      <w:r>
        <w:lastRenderedPageBreak/>
        <w:t>2.</w:t>
      </w:r>
      <w:r>
        <w:tab/>
        <w:t>WYMOGI DOTYCZĄCE GENETYCZNEJ OCENY SKŁADNIKÓW MATERIAŁU PODSTAWOWEGO</w:t>
      </w:r>
    </w:p>
    <w:p w:rsidR="006C354F" w:rsidRDefault="006C354F" w:rsidP="006845F1">
      <w:pPr>
        <w:spacing w:before="120" w:after="120" w:line="360" w:lineRule="auto"/>
        <w:ind w:left="1416" w:hanging="566"/>
      </w:pPr>
      <w:r>
        <w:t>a)</w:t>
      </w:r>
      <w:r>
        <w:tab/>
        <w:t>Składniki następującego materiału podstawowego mogą podlegać ocenie genetycznej: plantacje nasienne, drzewa mateczne, klony i mieszanki klonów.</w:t>
      </w:r>
    </w:p>
    <w:p w:rsidR="006C354F" w:rsidRPr="006C354F" w:rsidRDefault="006C6EA4" w:rsidP="006C6EA4">
      <w:pPr>
        <w:pStyle w:val="Applicationdirecte"/>
        <w:ind w:left="1418" w:hanging="567"/>
        <w:rPr>
          <w:lang w:val="pl-PL"/>
        </w:rPr>
      </w:pPr>
      <w:r>
        <w:rPr>
          <w:lang w:val="pl-PL"/>
        </w:rPr>
        <w:t xml:space="preserve">b) </w:t>
      </w:r>
      <w:r>
        <w:rPr>
          <w:lang w:val="pl-PL"/>
        </w:rPr>
        <w:tab/>
      </w:r>
      <w:r w:rsidR="006C354F" w:rsidRPr="006C354F">
        <w:rPr>
          <w:lang w:val="pl-PL"/>
        </w:rPr>
        <w:t>Dokumentacja</w:t>
      </w:r>
    </w:p>
    <w:p w:rsidR="006C354F" w:rsidRPr="006C354F" w:rsidRDefault="006C354F" w:rsidP="006C6EA4">
      <w:pPr>
        <w:pStyle w:val="Applicationdirecte"/>
        <w:ind w:left="1418"/>
        <w:rPr>
          <w:lang w:val="pl-PL"/>
        </w:rPr>
      </w:pPr>
      <w:r w:rsidRPr="006C354F">
        <w:rPr>
          <w:lang w:val="pl-PL"/>
        </w:rPr>
        <w:t>Do zatwierdzenia materiału podstawowego wymagana jest następująca dodatkowa dokumentacja:</w:t>
      </w:r>
    </w:p>
    <w:p w:rsidR="006C354F" w:rsidRDefault="006C354F" w:rsidP="006C6EA4">
      <w:pPr>
        <w:spacing w:before="120" w:after="120" w:line="360" w:lineRule="auto"/>
        <w:ind w:left="1985" w:hanging="567"/>
      </w:pPr>
      <w:r>
        <w:t>(i)</w:t>
      </w:r>
      <w:r>
        <w:tab/>
        <w:t>tożsamość, pochodzenie pierwotne i rodowód ocenianych składników;</w:t>
      </w:r>
    </w:p>
    <w:p w:rsidR="006C354F" w:rsidRDefault="006C354F" w:rsidP="006C6EA4">
      <w:pPr>
        <w:spacing w:before="120" w:after="120" w:line="360" w:lineRule="auto"/>
        <w:ind w:left="1985" w:hanging="567"/>
      </w:pPr>
      <w:r>
        <w:t>(ii)</w:t>
      </w:r>
      <w:r>
        <w:tab/>
        <w:t>wzór krzyżowania stosowany do produkcji LMR wykorzystywanego do testów oceniających.</w:t>
      </w:r>
    </w:p>
    <w:p w:rsidR="006C354F" w:rsidRDefault="006C354F" w:rsidP="006C6EA4">
      <w:pPr>
        <w:spacing w:before="120" w:after="120" w:line="360" w:lineRule="auto"/>
        <w:ind w:left="1418" w:hanging="567"/>
      </w:pPr>
      <w:r>
        <w:t>c)</w:t>
      </w:r>
      <w:r>
        <w:tab/>
        <w:t>Procedury testowe</w:t>
      </w:r>
    </w:p>
    <w:p w:rsidR="006C354F" w:rsidRPr="006C354F" w:rsidRDefault="006C354F" w:rsidP="006C6EA4">
      <w:pPr>
        <w:pStyle w:val="Applicationdirecte"/>
        <w:ind w:left="1418"/>
        <w:rPr>
          <w:lang w:val="pl-PL"/>
        </w:rPr>
      </w:pPr>
      <w:r w:rsidRPr="006C354F">
        <w:rPr>
          <w:lang w:val="pl-PL"/>
        </w:rPr>
        <w:t>Spełnione muszą być następujące wymogi:</w:t>
      </w:r>
    </w:p>
    <w:p w:rsidR="006C354F" w:rsidRDefault="006C354F" w:rsidP="006C6EA4">
      <w:pPr>
        <w:spacing w:before="120" w:after="120" w:line="360" w:lineRule="auto"/>
        <w:ind w:left="1985" w:hanging="567"/>
      </w:pPr>
      <w:r>
        <w:t>(i)</w:t>
      </w:r>
      <w:r>
        <w:tab/>
        <w:t>Wartość genetyczna każdego składnika musi być oszacowana w przynajmniej dwóch miejscach przeprowadzania testów oceniających, z których co najmniej jedno musi znajdować się w środowisku odpowiednim do zamierzonego obszaru wprowadzania LMR.</w:t>
      </w:r>
    </w:p>
    <w:p w:rsidR="006C6EA4" w:rsidRDefault="006C6EA4">
      <w:pPr>
        <w:widowControl/>
      </w:pPr>
      <w:r>
        <w:br w:type="page"/>
      </w:r>
    </w:p>
    <w:p w:rsidR="006C354F" w:rsidRDefault="006C354F" w:rsidP="006C6EA4">
      <w:pPr>
        <w:spacing w:before="120" w:after="120" w:line="360" w:lineRule="auto"/>
        <w:ind w:left="1985" w:hanging="567"/>
      </w:pPr>
      <w:r>
        <w:lastRenderedPageBreak/>
        <w:t>(ii)</w:t>
      </w:r>
      <w:r>
        <w:tab/>
        <w:t>Okres testu musi być na tyle długi, aby mogło dość do ekspresji testowanych cech charakterystycznych.</w:t>
      </w:r>
    </w:p>
    <w:p w:rsidR="006C354F" w:rsidRDefault="006C354F" w:rsidP="006C6EA4">
      <w:pPr>
        <w:spacing w:before="120" w:after="120" w:line="360" w:lineRule="auto"/>
        <w:ind w:left="1985" w:hanging="567"/>
      </w:pPr>
      <w:r>
        <w:t>(iii)</w:t>
      </w:r>
      <w:r>
        <w:tab/>
        <w:t>Szacowaną wyższość LMR, który ma być wprowadzony do obrotu, oblicza się na podstawie tych wartości genetycznych oraz określonego wzoru krzyżowania.</w:t>
      </w:r>
    </w:p>
    <w:p w:rsidR="006C354F" w:rsidRDefault="006C354F" w:rsidP="006C6EA4">
      <w:pPr>
        <w:spacing w:before="120" w:after="120" w:line="360" w:lineRule="auto"/>
        <w:ind w:left="1985" w:hanging="567"/>
      </w:pPr>
      <w:r>
        <w:t>(iv)</w:t>
      </w:r>
      <w:r>
        <w:tab/>
        <w:t>Testy oceniające i obliczenia genetyczne muszą zostać zatwierdzone przez właściwy organ.</w:t>
      </w:r>
    </w:p>
    <w:p w:rsidR="006C354F" w:rsidRDefault="006C354F" w:rsidP="006C6EA4">
      <w:pPr>
        <w:spacing w:before="120" w:after="120" w:line="360" w:lineRule="auto"/>
        <w:ind w:left="1418" w:hanging="567"/>
      </w:pPr>
      <w:r>
        <w:t>d)</w:t>
      </w:r>
      <w:r>
        <w:tab/>
        <w:t>Interpretacja</w:t>
      </w:r>
    </w:p>
    <w:p w:rsidR="006C354F" w:rsidRPr="006C6EA4" w:rsidRDefault="006C354F" w:rsidP="006C6EA4">
      <w:pPr>
        <w:spacing w:before="120" w:after="120" w:line="360" w:lineRule="auto"/>
        <w:ind w:left="1985" w:hanging="567"/>
        <w:rPr>
          <w:b/>
        </w:rPr>
      </w:pPr>
      <w:r>
        <w:t>(i)</w:t>
      </w:r>
      <w:r>
        <w:tab/>
        <w:t xml:space="preserve">Szacowaną wyższość LMR oblicza się w stosunku do populacji referencyjnej ze względu na cechę lub zestaw cech charakterystycznych. </w:t>
      </w:r>
      <w:r>
        <w:rPr>
          <w:strike/>
        </w:rPr>
        <w:t xml:space="preserve">Podmiot profesjonalny określa </w:t>
      </w:r>
      <w:r>
        <w:t xml:space="preserve">Populację referencyjną </w:t>
      </w:r>
      <w:r>
        <w:rPr>
          <w:strike/>
        </w:rPr>
        <w:t xml:space="preserve">w ramach programu hodowli i umieszcza opis tej populacji </w:t>
      </w:r>
      <w:proofErr w:type="spellStart"/>
      <w:r>
        <w:rPr>
          <w:strike/>
        </w:rPr>
        <w:t>referencyjnej</w:t>
      </w:r>
      <w:r>
        <w:rPr>
          <w:b/>
          <w:i/>
        </w:rPr>
        <w:t>określa</w:t>
      </w:r>
      <w:proofErr w:type="spellEnd"/>
      <w:r>
        <w:rPr>
          <w:b/>
          <w:i/>
        </w:rPr>
        <w:t xml:space="preserve"> się i opisuje</w:t>
      </w:r>
      <w:r>
        <w:t xml:space="preserve"> w sprawozdaniach z testów.</w:t>
      </w:r>
      <w:r w:rsidR="006C6EA4">
        <w:rPr>
          <w:b/>
        </w:rPr>
        <w:t xml:space="preserve"> [Popr. 100]</w:t>
      </w:r>
    </w:p>
    <w:p w:rsidR="006C354F" w:rsidRDefault="006C354F" w:rsidP="006C6EA4">
      <w:pPr>
        <w:spacing w:before="120" w:after="120" w:line="360" w:lineRule="auto"/>
        <w:ind w:left="1985" w:hanging="567"/>
      </w:pPr>
      <w:r>
        <w:t>(ii)</w:t>
      </w:r>
      <w:r>
        <w:tab/>
        <w:t>Należy wskazać, czy oceniana wartość genetyczna LMR jest niższa od populacji referencyjnej w przypadku którejkolwiek istotnej cechy.</w:t>
      </w:r>
    </w:p>
    <w:p w:rsidR="006C6EA4" w:rsidRDefault="006C6EA4">
      <w:pPr>
        <w:widowControl/>
      </w:pPr>
      <w:r>
        <w:br w:type="page"/>
      </w:r>
    </w:p>
    <w:p w:rsidR="006C354F" w:rsidRDefault="006C354F" w:rsidP="006845F1">
      <w:pPr>
        <w:spacing w:before="120" w:after="120" w:line="360" w:lineRule="auto"/>
        <w:ind w:left="850" w:hanging="850"/>
      </w:pPr>
      <w:r>
        <w:lastRenderedPageBreak/>
        <w:t>3.</w:t>
      </w:r>
      <w:r>
        <w:tab/>
        <w:t>WYMOGI DOTYCZĄCE TESTÓW PORÓWNAWCZYCH LMR</w:t>
      </w:r>
    </w:p>
    <w:p w:rsidR="006C354F" w:rsidRDefault="006C354F" w:rsidP="006845F1">
      <w:pPr>
        <w:spacing w:before="120" w:after="120" w:line="360" w:lineRule="auto"/>
        <w:ind w:left="1416" w:hanging="566"/>
      </w:pPr>
      <w:r>
        <w:t>a)</w:t>
      </w:r>
      <w:r>
        <w:tab/>
        <w:t>Pobieranie próbek LMR</w:t>
      </w:r>
    </w:p>
    <w:p w:rsidR="006C354F" w:rsidRDefault="006C354F" w:rsidP="006845F1">
      <w:pPr>
        <w:spacing w:before="120" w:after="120" w:line="360" w:lineRule="auto"/>
        <w:ind w:left="1982" w:hanging="566"/>
      </w:pPr>
      <w:r>
        <w:t>(i)</w:t>
      </w:r>
      <w:r>
        <w:tab/>
        <w:t>Próbka LMR do testów porównawczych musi być faktycznie reprezentatywna dla LMR pozyskanego z materiału podstawowego, który ma być zatwierdzony.</w:t>
      </w:r>
    </w:p>
    <w:p w:rsidR="006C354F" w:rsidRDefault="006C354F" w:rsidP="006845F1">
      <w:pPr>
        <w:spacing w:before="120" w:after="120" w:line="360" w:lineRule="auto"/>
        <w:ind w:left="1982" w:hanging="566"/>
      </w:pPr>
      <w:r>
        <w:t>(ii)</w:t>
      </w:r>
      <w:r>
        <w:tab/>
        <w:t>LMR do testów porównawczych produkowany metodą płciową:</w:t>
      </w:r>
    </w:p>
    <w:p w:rsidR="006C354F" w:rsidRDefault="006C354F" w:rsidP="006C6EA4">
      <w:pPr>
        <w:spacing w:before="120" w:after="120" w:line="360" w:lineRule="auto"/>
        <w:ind w:left="2552" w:hanging="567"/>
      </w:pPr>
      <w:r>
        <w:t>-</w:t>
      </w:r>
      <w:r>
        <w:tab/>
        <w:t>jest zbierany w roku dobrego kwitnienia i dobrej produkcji owoców/nasion oraz</w:t>
      </w:r>
    </w:p>
    <w:p w:rsidR="006C354F" w:rsidRDefault="006C354F" w:rsidP="006C6EA4">
      <w:pPr>
        <w:spacing w:before="120" w:after="120" w:line="360" w:lineRule="auto"/>
        <w:ind w:left="2552" w:hanging="567"/>
      </w:pPr>
      <w:r>
        <w:t>-</w:t>
      </w:r>
      <w:r>
        <w:tab/>
        <w:t>jest zbierany metodami, które zapewniają reprezentatywność uzyskanych próbek.</w:t>
      </w:r>
    </w:p>
    <w:p w:rsidR="006C354F" w:rsidRPr="006C354F" w:rsidRDefault="006C354F" w:rsidP="006C6EA4">
      <w:pPr>
        <w:pStyle w:val="Applicationdirecte"/>
        <w:ind w:left="1418"/>
        <w:rPr>
          <w:lang w:val="pl-PL"/>
        </w:rPr>
      </w:pPr>
      <w:r w:rsidRPr="006C354F">
        <w:rPr>
          <w:lang w:val="pl-PL"/>
        </w:rPr>
        <w:t>Do produkcji LMR może być stosowane sztuczne zapylanie.</w:t>
      </w:r>
    </w:p>
    <w:p w:rsidR="006C6EA4" w:rsidRDefault="006C6EA4">
      <w:pPr>
        <w:widowControl/>
      </w:pPr>
      <w:r>
        <w:br w:type="page"/>
      </w:r>
    </w:p>
    <w:p w:rsidR="006C354F" w:rsidRDefault="006C354F" w:rsidP="006C6EA4">
      <w:pPr>
        <w:spacing w:before="120" w:after="120" w:line="360" w:lineRule="auto"/>
        <w:ind w:left="1418" w:hanging="567"/>
      </w:pPr>
      <w:r>
        <w:lastRenderedPageBreak/>
        <w:t>b)</w:t>
      </w:r>
      <w:r>
        <w:tab/>
        <w:t>Wzorce</w:t>
      </w:r>
    </w:p>
    <w:p w:rsidR="006C354F" w:rsidRDefault="006C354F" w:rsidP="006C6EA4">
      <w:pPr>
        <w:spacing w:before="120" w:after="120" w:line="360" w:lineRule="auto"/>
        <w:ind w:left="1985" w:hanging="567"/>
      </w:pPr>
      <w:r>
        <w:t>(i)</w:t>
      </w:r>
      <w:r>
        <w:tab/>
        <w:t>Funkcjonowanie wzorców stosowanych do celów porównawczych w testach powinno, jeśli to możliwe, być znane przez wystarczająco długi czas w regionie, w którym ma być przeprowadzony test. Wzorce zasadniczo reprezentują materiał podstawowy, którego przydatność dla leśnictwa w zakresie zamierzonego zastosowania jest znana w momencie rozpoczęcia testu i w warunkach ekologicznych, w których proponuje się certyfikowanie LMR. Wzorce wykorzystywane do celów porównawczych w miarę możliwości stanowią:</w:t>
      </w:r>
    </w:p>
    <w:p w:rsidR="006C354F" w:rsidRDefault="006C354F" w:rsidP="006C6EA4">
      <w:pPr>
        <w:spacing w:before="120" w:after="120" w:line="360" w:lineRule="auto"/>
        <w:ind w:left="2552" w:hanging="567"/>
      </w:pPr>
      <w:r>
        <w:t>-</w:t>
      </w:r>
      <w:r>
        <w:tab/>
        <w:t>drzewostany wyselekcjonowane zgodnie z kryteriami określonymi w załączniku III lub</w:t>
      </w:r>
    </w:p>
    <w:p w:rsidR="006C354F" w:rsidRDefault="006C354F" w:rsidP="006C6EA4">
      <w:pPr>
        <w:spacing w:before="120" w:after="120" w:line="360" w:lineRule="auto"/>
        <w:ind w:left="2552" w:hanging="567"/>
      </w:pPr>
      <w:r>
        <w:t>-</w:t>
      </w:r>
      <w:r>
        <w:tab/>
        <w:t>materiał podstawowy urzędowo zatwierdzony do produkcji LMR kategorii „przetestowany”.</w:t>
      </w:r>
    </w:p>
    <w:p w:rsidR="006C354F" w:rsidRDefault="006C354F" w:rsidP="006C6EA4">
      <w:pPr>
        <w:spacing w:before="120" w:after="120" w:line="360" w:lineRule="auto"/>
        <w:ind w:left="1985" w:hanging="567"/>
      </w:pPr>
      <w:r>
        <w:t>(ii)</w:t>
      </w:r>
      <w:r>
        <w:tab/>
        <w:t>W przypadku testów porównawczych sztucznych mieszańców oba gatunki drzew rodzicielskich muszą, jeśli to możliwe, należeć do wzorców.</w:t>
      </w:r>
    </w:p>
    <w:p w:rsidR="006C6EA4" w:rsidRDefault="006C6EA4">
      <w:pPr>
        <w:widowControl/>
      </w:pPr>
      <w:r>
        <w:br w:type="page"/>
      </w:r>
    </w:p>
    <w:p w:rsidR="006C354F" w:rsidRDefault="006C354F" w:rsidP="006C6EA4">
      <w:pPr>
        <w:spacing w:before="120" w:after="120" w:line="360" w:lineRule="auto"/>
        <w:ind w:left="1985" w:hanging="567"/>
      </w:pPr>
      <w:r>
        <w:lastRenderedPageBreak/>
        <w:t>(iii)</w:t>
      </w:r>
      <w:r>
        <w:tab/>
        <w:t>Jeśli to tylko możliwe, wykorzystuje się kilka wzorców. W uzasadnionych przypadkach wzorce mogą zostać zastąpione przez najbardziej odpowiedni testowany LMR lub średnią składników testu.</w:t>
      </w:r>
    </w:p>
    <w:p w:rsidR="006C354F" w:rsidRDefault="006C354F" w:rsidP="006C6EA4">
      <w:pPr>
        <w:spacing w:before="120" w:after="120" w:line="360" w:lineRule="auto"/>
        <w:ind w:left="1985" w:hanging="567"/>
      </w:pPr>
      <w:r>
        <w:t>(iv)</w:t>
      </w:r>
      <w:r>
        <w:tab/>
        <w:t>Te same wzorce stosuje się we wszystkich testach przy możliwie najszerszym zakresie warunków miejscowych.</w:t>
      </w:r>
    </w:p>
    <w:p w:rsidR="006C354F" w:rsidRDefault="006C354F" w:rsidP="006C6EA4">
      <w:pPr>
        <w:spacing w:before="120" w:after="120" w:line="360" w:lineRule="auto"/>
        <w:ind w:left="1418" w:hanging="567"/>
      </w:pPr>
      <w:r>
        <w:t>c)</w:t>
      </w:r>
      <w:r>
        <w:tab/>
        <w:t>Interpretacja</w:t>
      </w:r>
    </w:p>
    <w:p w:rsidR="006C354F" w:rsidRDefault="006C354F" w:rsidP="006C6EA4">
      <w:pPr>
        <w:spacing w:before="120" w:after="120" w:line="360" w:lineRule="auto"/>
        <w:ind w:left="1985" w:hanging="567"/>
      </w:pPr>
      <w:r>
        <w:t>(i)</w:t>
      </w:r>
      <w:r>
        <w:tab/>
        <w:t>Należy wykazać statystycznie istotną wyższość w porównaniu z wzorcami przynajmniej dla jednej ważnej cechy charakterystycznej.</w:t>
      </w:r>
    </w:p>
    <w:p w:rsidR="006C354F" w:rsidRPr="006C6EA4" w:rsidRDefault="006C354F" w:rsidP="006C6EA4">
      <w:pPr>
        <w:spacing w:before="120" w:after="120" w:line="360" w:lineRule="auto"/>
        <w:ind w:left="1985" w:hanging="567"/>
        <w:rPr>
          <w:b/>
        </w:rPr>
      </w:pPr>
      <w:r>
        <w:t>(ii)</w:t>
      </w:r>
      <w:r>
        <w:tab/>
      </w:r>
      <w:r>
        <w:rPr>
          <w:strike/>
        </w:rPr>
        <w:t xml:space="preserve">Podmiot profesjonalny </w:t>
      </w:r>
      <w:proofErr w:type="spellStart"/>
      <w:r>
        <w:rPr>
          <w:strike/>
        </w:rPr>
        <w:t>wskazuje</w:t>
      </w:r>
      <w:r>
        <w:rPr>
          <w:b/>
          <w:i/>
        </w:rPr>
        <w:t>Należy</w:t>
      </w:r>
      <w:proofErr w:type="spellEnd"/>
      <w:r>
        <w:rPr>
          <w:b/>
          <w:i/>
        </w:rPr>
        <w:t xml:space="preserve"> wskazać</w:t>
      </w:r>
      <w:r>
        <w:t>, czy jakiekolwiek cechy charakterystyczne istotne ze względów gospodarczych lub środowiskowych wykazują wyraźnie gorsze wyniki w porównaniu z wzorcami, a skutki tego muszą zostać zrekompensowane przez korzystne cechy charakterystyczne.</w:t>
      </w:r>
      <w:r w:rsidR="006C6EA4">
        <w:rPr>
          <w:b/>
        </w:rPr>
        <w:t xml:space="preserve"> [Popr. 101]</w:t>
      </w:r>
    </w:p>
    <w:p w:rsidR="006C6EA4" w:rsidRDefault="006C6EA4">
      <w:pPr>
        <w:widowControl/>
      </w:pPr>
      <w:r>
        <w:br w:type="page"/>
      </w:r>
    </w:p>
    <w:p w:rsidR="006C354F" w:rsidRDefault="006C354F" w:rsidP="006845F1">
      <w:pPr>
        <w:spacing w:before="120" w:after="120" w:line="360" w:lineRule="auto"/>
        <w:ind w:left="850" w:hanging="850"/>
      </w:pPr>
      <w:r>
        <w:lastRenderedPageBreak/>
        <w:t>4.</w:t>
      </w:r>
      <w:r>
        <w:tab/>
        <w:t>ZATWIERDZENIE WARUNKOWE</w:t>
      </w:r>
    </w:p>
    <w:p w:rsidR="006C354F" w:rsidRDefault="006C354F" w:rsidP="006845F1">
      <w:pPr>
        <w:spacing w:before="120" w:after="120" w:line="360" w:lineRule="auto"/>
        <w:ind w:left="850"/>
      </w:pPr>
      <w:r>
        <w:t>Wstępna ocena testów wczesnych może stanowić podstawę warunkowego zatwierdzenia. Twierdzenie o wyższości w oparciu o wstępną ocenę musi być ponownie zbadane w odstępie czasowym nie większym niż 10 lat.</w:t>
      </w:r>
    </w:p>
    <w:p w:rsidR="006C354F" w:rsidRDefault="006C354F" w:rsidP="006845F1">
      <w:pPr>
        <w:spacing w:before="120" w:after="120" w:line="360" w:lineRule="auto"/>
        <w:ind w:left="850" w:hanging="850"/>
      </w:pPr>
      <w:r>
        <w:t>5.</w:t>
      </w:r>
      <w:r>
        <w:tab/>
        <w:t>WSTĘPNE TESTY</w:t>
      </w:r>
    </w:p>
    <w:p w:rsidR="006C354F" w:rsidRDefault="006C354F" w:rsidP="006845F1">
      <w:pPr>
        <w:spacing w:before="120" w:after="120" w:line="360" w:lineRule="auto"/>
        <w:ind w:left="850"/>
      </w:pPr>
      <w:r>
        <w:t>Testy w szkółce, szklarni i laboratorium mogą być przyjęte przez właściwy organ do warunkowego lub ostatecznego zatwierdzenia, jeśli można wykazać bliski związek między mierzonymi cechami a cechami, które normalnie byłyby oceniane w testach w terenie leśnym. Pozostałe testowane cechy charakterystyczne muszą spełniać wymogi określone w pkt 3.</w:t>
      </w:r>
    </w:p>
    <w:p w:rsidR="006C354F" w:rsidRDefault="006C354F" w:rsidP="006845F1">
      <w:pPr>
        <w:spacing w:before="120" w:after="120" w:line="360" w:lineRule="auto"/>
        <w:sectPr w:rsidR="006C354F">
          <w:pgSz w:w="11909" w:h="16834"/>
          <w:pgMar w:top="1134" w:right="1417" w:bottom="1417" w:left="1417" w:header="1134" w:footer="567" w:gutter="0"/>
          <w:cols w:space="720"/>
        </w:sectPr>
      </w:pPr>
    </w:p>
    <w:p w:rsidR="006C354F" w:rsidRDefault="006C354F" w:rsidP="006845F1">
      <w:pPr>
        <w:spacing w:before="120" w:after="120" w:line="360" w:lineRule="auto"/>
      </w:pPr>
    </w:p>
    <w:p w:rsidR="006C354F" w:rsidRPr="006C354F" w:rsidRDefault="006C354F" w:rsidP="006845F1">
      <w:pPr>
        <w:pStyle w:val="Normale"/>
        <w:jc w:val="center"/>
        <w:rPr>
          <w:lang w:val="pl-PL"/>
        </w:rPr>
      </w:pPr>
      <w:r w:rsidRPr="006C354F">
        <w:rPr>
          <w:lang w:val="pl-PL"/>
        </w:rPr>
        <w:t>ZAŁĄCZNIK VI</w:t>
      </w:r>
    </w:p>
    <w:p w:rsidR="006C354F" w:rsidRPr="006C354F" w:rsidRDefault="006C354F" w:rsidP="006845F1">
      <w:pPr>
        <w:pStyle w:val="Applicationdirecte"/>
        <w:rPr>
          <w:lang w:val="pl-PL"/>
        </w:rPr>
      </w:pPr>
      <w:r w:rsidRPr="006C354F">
        <w:rPr>
          <w:lang w:val="pl-PL"/>
        </w:rPr>
        <w:t>KATEGORIE, W RAMACH KTÓRYCH LMR Z RÓŻNYCH RODZAJÓW MATERIAŁU PODSTAWOWEGO MOŻE BYĆ WPROWADZANY DO OBROTU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556"/>
        <w:gridCol w:w="2010"/>
        <w:gridCol w:w="2048"/>
        <w:gridCol w:w="1759"/>
        <w:gridCol w:w="1692"/>
      </w:tblGrid>
      <w:tr w:rsidR="006C354F" w:rsidTr="006C354F">
        <w:trPr>
          <w:tblHeader/>
        </w:trPr>
        <w:tc>
          <w:tcPr>
            <w:tcW w:w="0" w:type="auto"/>
            <w:vMerge w:val="restart"/>
          </w:tcPr>
          <w:p w:rsidR="006C354F" w:rsidRDefault="006C354F" w:rsidP="006845F1">
            <w:pPr>
              <w:spacing w:before="120" w:after="120" w:line="360" w:lineRule="auto"/>
            </w:pPr>
            <w:r>
              <w:t>Materiał podstawowy</w:t>
            </w:r>
          </w:p>
        </w:tc>
        <w:tc>
          <w:tcPr>
            <w:tcW w:w="0" w:type="auto"/>
            <w:gridSpan w:val="4"/>
          </w:tcPr>
          <w:p w:rsidR="006C354F" w:rsidRDefault="006C354F" w:rsidP="006845F1">
            <w:pPr>
              <w:spacing w:before="120" w:after="120" w:line="360" w:lineRule="auto"/>
            </w:pPr>
            <w:r>
              <w:t>Kategoria LMR (Kolor etykiety w przypadku stosowania kolorowych etykiet urzędowych)</w:t>
            </w:r>
          </w:p>
        </w:tc>
      </w:tr>
      <w:tr w:rsidR="006C354F" w:rsidTr="006C354F">
        <w:trPr>
          <w:tblHeader/>
        </w:trPr>
        <w:tc>
          <w:tcPr>
            <w:tcW w:w="0" w:type="auto"/>
            <w:vMerge/>
          </w:tcPr>
          <w:p w:rsidR="006C354F" w:rsidRDefault="006C354F" w:rsidP="006845F1">
            <w:pPr>
              <w:spacing w:before="120" w:after="120" w:line="360" w:lineRule="auto"/>
            </w:pPr>
          </w:p>
        </w:tc>
        <w:tc>
          <w:tcPr>
            <w:tcW w:w="0" w:type="auto"/>
          </w:tcPr>
          <w:p w:rsidR="006C354F" w:rsidRDefault="006C354F" w:rsidP="006845F1">
            <w:pPr>
              <w:spacing w:before="120" w:after="120" w:line="360" w:lineRule="auto"/>
            </w:pPr>
            <w:r>
              <w:t>Ze zidentyfikowanego źródła (żółty)</w:t>
            </w:r>
          </w:p>
        </w:tc>
        <w:tc>
          <w:tcPr>
            <w:tcW w:w="0" w:type="auto"/>
          </w:tcPr>
          <w:p w:rsidR="006C354F" w:rsidRDefault="006C354F" w:rsidP="006845F1">
            <w:pPr>
              <w:spacing w:before="120" w:after="120" w:line="360" w:lineRule="auto"/>
            </w:pPr>
            <w:r>
              <w:t>Wyselekcjonowany (zielony)</w:t>
            </w:r>
          </w:p>
        </w:tc>
        <w:tc>
          <w:tcPr>
            <w:tcW w:w="0" w:type="auto"/>
          </w:tcPr>
          <w:p w:rsidR="006C354F" w:rsidRDefault="006C354F" w:rsidP="006845F1">
            <w:pPr>
              <w:spacing w:before="120" w:after="120" w:line="360" w:lineRule="auto"/>
            </w:pPr>
            <w:r>
              <w:t>Kwalifikowany (różowy)</w:t>
            </w:r>
          </w:p>
        </w:tc>
        <w:tc>
          <w:tcPr>
            <w:tcW w:w="0" w:type="auto"/>
          </w:tcPr>
          <w:p w:rsidR="006C354F" w:rsidRDefault="006C354F" w:rsidP="006845F1">
            <w:pPr>
              <w:spacing w:before="120" w:after="120" w:line="360" w:lineRule="auto"/>
            </w:pPr>
            <w:r>
              <w:t>Przetestowany (niebieski)</w:t>
            </w:r>
          </w:p>
        </w:tc>
      </w:tr>
      <w:tr w:rsidR="006C354F" w:rsidTr="006C354F">
        <w:tc>
          <w:tcPr>
            <w:tcW w:w="0" w:type="auto"/>
          </w:tcPr>
          <w:p w:rsidR="006C354F" w:rsidRDefault="006C354F" w:rsidP="006845F1">
            <w:pPr>
              <w:spacing w:before="120" w:after="120" w:line="360" w:lineRule="auto"/>
            </w:pPr>
            <w:r>
              <w:t>Źródło nasion</w:t>
            </w:r>
          </w:p>
        </w:tc>
        <w:tc>
          <w:tcPr>
            <w:tcW w:w="0" w:type="auto"/>
          </w:tcPr>
          <w:p w:rsidR="006C354F" w:rsidRDefault="006C354F" w:rsidP="006845F1">
            <w:pPr>
              <w:spacing w:before="120" w:after="120" w:line="360" w:lineRule="auto"/>
            </w:pPr>
            <w:r>
              <w:t>x</w:t>
            </w:r>
          </w:p>
        </w:tc>
        <w:tc>
          <w:tcPr>
            <w:tcW w:w="0" w:type="auto"/>
          </w:tcPr>
          <w:p w:rsidR="006C354F" w:rsidRDefault="006C354F" w:rsidP="006845F1">
            <w:pPr>
              <w:spacing w:before="120" w:after="120" w:line="360" w:lineRule="auto"/>
            </w:pPr>
          </w:p>
        </w:tc>
        <w:tc>
          <w:tcPr>
            <w:tcW w:w="0" w:type="auto"/>
          </w:tcPr>
          <w:p w:rsidR="006C354F" w:rsidRDefault="006C354F" w:rsidP="006845F1">
            <w:pPr>
              <w:spacing w:before="120" w:after="120" w:line="360" w:lineRule="auto"/>
            </w:pPr>
          </w:p>
        </w:tc>
        <w:tc>
          <w:tcPr>
            <w:tcW w:w="0" w:type="auto"/>
          </w:tcPr>
          <w:p w:rsidR="006C354F" w:rsidRDefault="006C354F" w:rsidP="006845F1">
            <w:pPr>
              <w:spacing w:before="120" w:after="120" w:line="360" w:lineRule="auto"/>
            </w:pPr>
          </w:p>
        </w:tc>
      </w:tr>
      <w:tr w:rsidR="006C354F" w:rsidTr="006C354F">
        <w:tc>
          <w:tcPr>
            <w:tcW w:w="0" w:type="auto"/>
          </w:tcPr>
          <w:p w:rsidR="006C354F" w:rsidRDefault="006C354F" w:rsidP="006845F1">
            <w:pPr>
              <w:spacing w:before="120" w:after="120" w:line="360" w:lineRule="auto"/>
            </w:pPr>
            <w:r>
              <w:t>Drzewostan</w:t>
            </w:r>
          </w:p>
        </w:tc>
        <w:tc>
          <w:tcPr>
            <w:tcW w:w="0" w:type="auto"/>
          </w:tcPr>
          <w:p w:rsidR="006C354F" w:rsidRDefault="006C354F" w:rsidP="006845F1">
            <w:pPr>
              <w:spacing w:before="120" w:after="120" w:line="360" w:lineRule="auto"/>
            </w:pPr>
            <w:r>
              <w:t>x</w:t>
            </w:r>
          </w:p>
        </w:tc>
        <w:tc>
          <w:tcPr>
            <w:tcW w:w="0" w:type="auto"/>
          </w:tcPr>
          <w:p w:rsidR="006C354F" w:rsidRDefault="006C354F" w:rsidP="006845F1">
            <w:pPr>
              <w:spacing w:before="120" w:after="120" w:line="360" w:lineRule="auto"/>
            </w:pPr>
            <w:r>
              <w:t>x</w:t>
            </w:r>
          </w:p>
        </w:tc>
        <w:tc>
          <w:tcPr>
            <w:tcW w:w="0" w:type="auto"/>
          </w:tcPr>
          <w:p w:rsidR="006C354F" w:rsidRDefault="006C354F" w:rsidP="006845F1">
            <w:pPr>
              <w:spacing w:before="120" w:after="120" w:line="360" w:lineRule="auto"/>
            </w:pPr>
          </w:p>
        </w:tc>
        <w:tc>
          <w:tcPr>
            <w:tcW w:w="0" w:type="auto"/>
          </w:tcPr>
          <w:p w:rsidR="006C354F" w:rsidRDefault="006C354F" w:rsidP="006845F1">
            <w:pPr>
              <w:spacing w:before="120" w:after="120" w:line="360" w:lineRule="auto"/>
            </w:pPr>
            <w:r>
              <w:t>x</w:t>
            </w:r>
          </w:p>
        </w:tc>
      </w:tr>
      <w:tr w:rsidR="006C354F" w:rsidTr="006C354F">
        <w:tc>
          <w:tcPr>
            <w:tcW w:w="0" w:type="auto"/>
          </w:tcPr>
          <w:p w:rsidR="006C354F" w:rsidRDefault="006C354F" w:rsidP="006845F1">
            <w:pPr>
              <w:spacing w:before="120" w:after="120" w:line="360" w:lineRule="auto"/>
            </w:pPr>
            <w:r>
              <w:t>Plantacja nasienna</w:t>
            </w:r>
          </w:p>
        </w:tc>
        <w:tc>
          <w:tcPr>
            <w:tcW w:w="0" w:type="auto"/>
          </w:tcPr>
          <w:p w:rsidR="006C354F" w:rsidRDefault="006C354F" w:rsidP="006845F1">
            <w:pPr>
              <w:spacing w:before="120" w:after="120" w:line="360" w:lineRule="auto"/>
            </w:pPr>
          </w:p>
        </w:tc>
        <w:tc>
          <w:tcPr>
            <w:tcW w:w="0" w:type="auto"/>
          </w:tcPr>
          <w:p w:rsidR="006C354F" w:rsidRDefault="006C354F" w:rsidP="006845F1">
            <w:pPr>
              <w:spacing w:before="120" w:after="120" w:line="360" w:lineRule="auto"/>
            </w:pPr>
          </w:p>
        </w:tc>
        <w:tc>
          <w:tcPr>
            <w:tcW w:w="0" w:type="auto"/>
          </w:tcPr>
          <w:p w:rsidR="006C354F" w:rsidRDefault="006C354F" w:rsidP="006845F1">
            <w:pPr>
              <w:spacing w:before="120" w:after="120" w:line="360" w:lineRule="auto"/>
            </w:pPr>
            <w:r>
              <w:t>x</w:t>
            </w:r>
          </w:p>
        </w:tc>
        <w:tc>
          <w:tcPr>
            <w:tcW w:w="0" w:type="auto"/>
          </w:tcPr>
          <w:p w:rsidR="006C354F" w:rsidRDefault="006C354F" w:rsidP="006845F1">
            <w:pPr>
              <w:spacing w:before="120" w:after="120" w:line="360" w:lineRule="auto"/>
            </w:pPr>
            <w:r>
              <w:t>x</w:t>
            </w:r>
          </w:p>
        </w:tc>
      </w:tr>
      <w:tr w:rsidR="006C354F" w:rsidTr="006C354F">
        <w:tc>
          <w:tcPr>
            <w:tcW w:w="0" w:type="auto"/>
          </w:tcPr>
          <w:p w:rsidR="006C354F" w:rsidRDefault="006C354F" w:rsidP="006845F1">
            <w:pPr>
              <w:spacing w:before="120" w:after="120" w:line="360" w:lineRule="auto"/>
            </w:pPr>
            <w:r>
              <w:t>Drzewa mateczne</w:t>
            </w:r>
          </w:p>
        </w:tc>
        <w:tc>
          <w:tcPr>
            <w:tcW w:w="0" w:type="auto"/>
          </w:tcPr>
          <w:p w:rsidR="006C354F" w:rsidRDefault="006C354F" w:rsidP="006845F1">
            <w:pPr>
              <w:spacing w:before="120" w:after="120" w:line="360" w:lineRule="auto"/>
            </w:pPr>
          </w:p>
        </w:tc>
        <w:tc>
          <w:tcPr>
            <w:tcW w:w="0" w:type="auto"/>
          </w:tcPr>
          <w:p w:rsidR="006C354F" w:rsidRDefault="006C354F" w:rsidP="006845F1">
            <w:pPr>
              <w:spacing w:before="120" w:after="120" w:line="360" w:lineRule="auto"/>
            </w:pPr>
          </w:p>
        </w:tc>
        <w:tc>
          <w:tcPr>
            <w:tcW w:w="0" w:type="auto"/>
          </w:tcPr>
          <w:p w:rsidR="006C354F" w:rsidRDefault="006C354F" w:rsidP="006845F1">
            <w:pPr>
              <w:spacing w:before="120" w:after="120" w:line="360" w:lineRule="auto"/>
            </w:pPr>
            <w:r>
              <w:t>x</w:t>
            </w:r>
          </w:p>
        </w:tc>
        <w:tc>
          <w:tcPr>
            <w:tcW w:w="0" w:type="auto"/>
          </w:tcPr>
          <w:p w:rsidR="006C354F" w:rsidRDefault="006C354F" w:rsidP="006845F1">
            <w:pPr>
              <w:spacing w:before="120" w:after="120" w:line="360" w:lineRule="auto"/>
            </w:pPr>
            <w:r>
              <w:t>x</w:t>
            </w:r>
          </w:p>
        </w:tc>
      </w:tr>
      <w:tr w:rsidR="006C354F" w:rsidTr="006C354F">
        <w:tc>
          <w:tcPr>
            <w:tcW w:w="0" w:type="auto"/>
          </w:tcPr>
          <w:p w:rsidR="006C354F" w:rsidRDefault="006C354F" w:rsidP="006845F1">
            <w:pPr>
              <w:spacing w:before="120" w:after="120" w:line="360" w:lineRule="auto"/>
            </w:pPr>
            <w:r>
              <w:t>Klon</w:t>
            </w:r>
          </w:p>
        </w:tc>
        <w:tc>
          <w:tcPr>
            <w:tcW w:w="0" w:type="auto"/>
          </w:tcPr>
          <w:p w:rsidR="006C354F" w:rsidRDefault="006C354F" w:rsidP="006845F1">
            <w:pPr>
              <w:spacing w:before="120" w:after="120" w:line="360" w:lineRule="auto"/>
            </w:pPr>
          </w:p>
        </w:tc>
        <w:tc>
          <w:tcPr>
            <w:tcW w:w="0" w:type="auto"/>
          </w:tcPr>
          <w:p w:rsidR="006C354F" w:rsidRDefault="006C354F" w:rsidP="006845F1">
            <w:pPr>
              <w:spacing w:before="120" w:after="120" w:line="360" w:lineRule="auto"/>
            </w:pPr>
          </w:p>
        </w:tc>
        <w:tc>
          <w:tcPr>
            <w:tcW w:w="0" w:type="auto"/>
          </w:tcPr>
          <w:p w:rsidR="006C354F" w:rsidRDefault="006C354F" w:rsidP="006845F1">
            <w:pPr>
              <w:spacing w:before="120" w:after="120" w:line="360" w:lineRule="auto"/>
            </w:pPr>
            <w:r>
              <w:t>x</w:t>
            </w:r>
          </w:p>
        </w:tc>
        <w:tc>
          <w:tcPr>
            <w:tcW w:w="0" w:type="auto"/>
          </w:tcPr>
          <w:p w:rsidR="006C354F" w:rsidRDefault="006C354F" w:rsidP="006845F1">
            <w:pPr>
              <w:spacing w:before="120" w:after="120" w:line="360" w:lineRule="auto"/>
            </w:pPr>
            <w:r>
              <w:t>x</w:t>
            </w:r>
          </w:p>
        </w:tc>
      </w:tr>
      <w:tr w:rsidR="006C354F" w:rsidTr="006C354F">
        <w:tc>
          <w:tcPr>
            <w:tcW w:w="0" w:type="auto"/>
          </w:tcPr>
          <w:p w:rsidR="006C354F" w:rsidRDefault="006C354F" w:rsidP="006845F1">
            <w:pPr>
              <w:spacing w:before="120" w:after="120" w:line="360" w:lineRule="auto"/>
            </w:pPr>
            <w:r>
              <w:t>Mieszanka klonów</w:t>
            </w:r>
          </w:p>
        </w:tc>
        <w:tc>
          <w:tcPr>
            <w:tcW w:w="0" w:type="auto"/>
          </w:tcPr>
          <w:p w:rsidR="006C354F" w:rsidRDefault="006C354F" w:rsidP="006845F1">
            <w:pPr>
              <w:spacing w:before="120" w:after="120" w:line="360" w:lineRule="auto"/>
            </w:pPr>
          </w:p>
        </w:tc>
        <w:tc>
          <w:tcPr>
            <w:tcW w:w="0" w:type="auto"/>
          </w:tcPr>
          <w:p w:rsidR="006C354F" w:rsidRDefault="006C354F" w:rsidP="006845F1">
            <w:pPr>
              <w:spacing w:before="120" w:after="120" w:line="360" w:lineRule="auto"/>
            </w:pPr>
          </w:p>
        </w:tc>
        <w:tc>
          <w:tcPr>
            <w:tcW w:w="0" w:type="auto"/>
          </w:tcPr>
          <w:p w:rsidR="006C354F" w:rsidRDefault="006C354F" w:rsidP="006845F1">
            <w:pPr>
              <w:spacing w:before="120" w:after="120" w:line="360" w:lineRule="auto"/>
            </w:pPr>
            <w:r>
              <w:t>x</w:t>
            </w:r>
          </w:p>
        </w:tc>
        <w:tc>
          <w:tcPr>
            <w:tcW w:w="0" w:type="auto"/>
          </w:tcPr>
          <w:p w:rsidR="006C354F" w:rsidRDefault="006C354F" w:rsidP="006845F1">
            <w:pPr>
              <w:spacing w:before="120" w:after="120" w:line="360" w:lineRule="auto"/>
            </w:pPr>
            <w:r>
              <w:t>x</w:t>
            </w:r>
          </w:p>
        </w:tc>
      </w:tr>
    </w:tbl>
    <w:p w:rsidR="006C354F" w:rsidRDefault="006C354F" w:rsidP="006845F1">
      <w:pPr>
        <w:spacing w:before="120" w:after="120" w:line="360" w:lineRule="auto"/>
        <w:sectPr w:rsidR="006C354F">
          <w:pgSz w:w="11909" w:h="16834"/>
          <w:pgMar w:top="1134" w:right="1417" w:bottom="1417" w:left="1417" w:header="1134" w:footer="567" w:gutter="0"/>
          <w:cols w:space="720"/>
        </w:sectPr>
      </w:pPr>
    </w:p>
    <w:p w:rsidR="006C354F" w:rsidRDefault="006C354F" w:rsidP="006845F1">
      <w:pPr>
        <w:spacing w:before="120" w:after="120" w:line="360" w:lineRule="auto"/>
      </w:pPr>
    </w:p>
    <w:p w:rsidR="006C354F" w:rsidRDefault="006C354F" w:rsidP="006845F1">
      <w:pPr>
        <w:pStyle w:val="Normale"/>
        <w:jc w:val="center"/>
      </w:pPr>
      <w:r>
        <w:t>ZAŁĄCZNIK VII</w:t>
      </w:r>
    </w:p>
    <w:p w:rsidR="006C354F" w:rsidRPr="006C354F" w:rsidRDefault="006C354F" w:rsidP="006C6EA4">
      <w:pPr>
        <w:pStyle w:val="Applicationdirecte"/>
        <w:jc w:val="center"/>
        <w:rPr>
          <w:lang w:val="pl-PL"/>
        </w:rPr>
      </w:pPr>
      <w:r w:rsidRPr="006C354F">
        <w:rPr>
          <w:lang w:val="pl-PL"/>
        </w:rPr>
        <w:t>Zmiana załącznika VII do rozporządzenia (UE) 2016/2031</w:t>
      </w:r>
    </w:p>
    <w:p w:rsidR="006C354F" w:rsidRDefault="006C354F" w:rsidP="006845F1">
      <w:pPr>
        <w:spacing w:before="120" w:after="120" w:line="360" w:lineRule="auto"/>
        <w:ind w:left="850" w:hanging="850"/>
      </w:pPr>
      <w:r>
        <w:t>W załączniku VII do rozporządzenia (UE) 2016/2031 dodaje się następujące części:</w:t>
      </w:r>
    </w:p>
    <w:p w:rsidR="006C354F" w:rsidRDefault="006C354F" w:rsidP="006C6EA4">
      <w:pPr>
        <w:spacing w:before="120" w:after="120" w:line="360" w:lineRule="auto"/>
      </w:pPr>
      <w:r>
        <w:t>„CZĘŚĆ G</w:t>
      </w:r>
    </w:p>
    <w:p w:rsidR="006C354F" w:rsidRDefault="006C354F" w:rsidP="006C6EA4">
      <w:pPr>
        <w:spacing w:before="120" w:after="120" w:line="360" w:lineRule="auto"/>
      </w:pPr>
      <w:r>
        <w:t>Paszporty roślin służące przemieszczaniu na terytorium Unii, połączone z etykietą urzędową, o których mowa w art. 83 ust. 5 akapit drugi</w:t>
      </w:r>
    </w:p>
    <w:p w:rsidR="006C354F" w:rsidRDefault="006C354F" w:rsidP="006C6EA4">
      <w:pPr>
        <w:spacing w:before="120" w:after="120" w:line="360" w:lineRule="auto"/>
        <w:ind w:left="851" w:hanging="851"/>
      </w:pPr>
      <w:r>
        <w:t>1)</w:t>
      </w:r>
      <w:r>
        <w:tab/>
        <w:t>Paszport roślin służący przemieszczaniu na terytorium Unii, połączony we wspólną etykietę z etykietą urzędową, o którym mowa w art. 83 ust. 5, zawiera następujące elementy:</w:t>
      </w:r>
    </w:p>
    <w:p w:rsidR="006C354F" w:rsidRDefault="006C354F" w:rsidP="006C6EA4">
      <w:pPr>
        <w:spacing w:before="120" w:after="120" w:line="360" w:lineRule="auto"/>
        <w:ind w:left="1418" w:hanging="567"/>
      </w:pPr>
      <w:r>
        <w:t>a)</w:t>
      </w:r>
      <w:r>
        <w:tab/>
        <w:t>wyrazy »Paszport roślin« w prawym górnym rogu wspólnej etykiety w jednym z urzędowych języków Unii i w języku angielskim, jeżeli nie jest językiem urzędowym, oddzielone ukośnikiem;</w:t>
      </w:r>
    </w:p>
    <w:p w:rsidR="006C354F" w:rsidRDefault="006C354F" w:rsidP="006C6EA4">
      <w:pPr>
        <w:spacing w:before="120" w:after="120" w:line="360" w:lineRule="auto"/>
        <w:ind w:left="1418" w:hanging="567"/>
      </w:pPr>
      <w:r>
        <w:t>b)</w:t>
      </w:r>
      <w:r>
        <w:tab/>
        <w:t>flagę Unii w lewym górnym rogu wspólnej etykiety, kolorową lub czarno-</w:t>
      </w:r>
      <w:proofErr w:type="spellStart"/>
      <w:r>
        <w:t>białą.W</w:t>
      </w:r>
      <w:proofErr w:type="spellEnd"/>
      <w:r>
        <w:t xml:space="preserve"> ramach wspólnej etykiety paszport roślin jest umieszczony bezpośrednio nad etykietą urzędową i ma taką samą szerokość jak etykieta urzędowa.</w:t>
      </w:r>
    </w:p>
    <w:p w:rsidR="006C6EA4" w:rsidRDefault="006C6EA4">
      <w:pPr>
        <w:widowControl/>
      </w:pPr>
      <w:r>
        <w:br w:type="page"/>
      </w:r>
    </w:p>
    <w:p w:rsidR="006C354F" w:rsidRDefault="006C354F" w:rsidP="006C6EA4">
      <w:pPr>
        <w:spacing w:before="120" w:after="120" w:line="360" w:lineRule="auto"/>
        <w:ind w:left="851" w:hanging="851"/>
      </w:pPr>
      <w:r>
        <w:lastRenderedPageBreak/>
        <w:t>2)</w:t>
      </w:r>
      <w:r>
        <w:tab/>
        <w:t>Część A pkt 2 stosuje się odpowiednio.</w:t>
      </w:r>
    </w:p>
    <w:p w:rsidR="006C354F" w:rsidRDefault="006C354F" w:rsidP="006C6EA4">
      <w:pPr>
        <w:spacing w:before="120" w:after="120" w:line="360" w:lineRule="auto"/>
      </w:pPr>
      <w:r>
        <w:t>CZĘŚĆ H</w:t>
      </w:r>
    </w:p>
    <w:p w:rsidR="006C354F" w:rsidRDefault="006C354F" w:rsidP="006C6EA4">
      <w:pPr>
        <w:spacing w:before="120" w:after="120" w:line="360" w:lineRule="auto"/>
      </w:pPr>
      <w:r>
        <w:t>Paszporty roślin do celów wprowadzania do stref chronionych i przemieszczania w nich, w połączeniu z etykietą urzędową, o których mowa w art. 83 ust. 5 akapit trzeci</w:t>
      </w:r>
    </w:p>
    <w:p w:rsidR="006C354F" w:rsidRDefault="006C354F" w:rsidP="006C6EA4">
      <w:pPr>
        <w:spacing w:before="120" w:after="120" w:line="360" w:lineRule="auto"/>
        <w:ind w:left="851" w:hanging="851"/>
      </w:pPr>
      <w:r>
        <w:t>1)</w:t>
      </w:r>
      <w:r>
        <w:tab/>
        <w:t>Paszport roślin do celów wprowadzania do stref chronionych i przemieszczania w nich, połączony we wspólną etykietę z etykietą urzędową dla LMR, o którym mowa w art. 83 ust. 5, zawiera następujące elementy:</w:t>
      </w:r>
    </w:p>
    <w:p w:rsidR="006C354F" w:rsidRDefault="006C354F" w:rsidP="006C6EA4">
      <w:pPr>
        <w:spacing w:before="120" w:after="120" w:line="360" w:lineRule="auto"/>
        <w:ind w:left="1418" w:hanging="567"/>
      </w:pPr>
      <w:r>
        <w:t>a)</w:t>
      </w:r>
      <w:r>
        <w:tab/>
        <w:t>wyrazy »Paszport roślin – strefa chroniona« w prawym górnym rogu wspólnej etykiety w jednym z urzędowych języków Unii i w języku angielskim, jeżeli nie jest językiem urzędowym, oddzielone ukośnikiem;</w:t>
      </w:r>
    </w:p>
    <w:p w:rsidR="006C354F" w:rsidRDefault="006C354F" w:rsidP="006C6EA4">
      <w:pPr>
        <w:spacing w:before="120" w:after="120" w:line="360" w:lineRule="auto"/>
        <w:ind w:left="1418" w:hanging="567"/>
      </w:pPr>
      <w:r>
        <w:t>b)</w:t>
      </w:r>
      <w:r>
        <w:tab/>
        <w:t xml:space="preserve">bezpośrednio pod tymi słowami nazwę naukową/nazwy naukowe lub kod/kody danego </w:t>
      </w:r>
      <w:proofErr w:type="spellStart"/>
      <w:r>
        <w:t>agrofaga</w:t>
      </w:r>
      <w:proofErr w:type="spellEnd"/>
      <w:r>
        <w:t xml:space="preserve"> lub </w:t>
      </w:r>
      <w:proofErr w:type="spellStart"/>
      <w:r>
        <w:t>agrofagów</w:t>
      </w:r>
      <w:proofErr w:type="spellEnd"/>
      <w:r>
        <w:t xml:space="preserve"> kwarantannowych dla strefy chronionej;</w:t>
      </w:r>
    </w:p>
    <w:p w:rsidR="006C354F" w:rsidRDefault="006C354F" w:rsidP="006C6EA4">
      <w:pPr>
        <w:spacing w:before="120" w:after="120" w:line="360" w:lineRule="auto"/>
        <w:ind w:left="1418" w:hanging="567"/>
      </w:pPr>
      <w:r>
        <w:t>c)</w:t>
      </w:r>
      <w:r>
        <w:tab/>
        <w:t>flagę Unii w lewym górnym rogu wspólnej etykiety, kolorową lub czarno-białą.</w:t>
      </w:r>
    </w:p>
    <w:p w:rsidR="006C354F" w:rsidRDefault="006C354F" w:rsidP="006845F1">
      <w:pPr>
        <w:spacing w:before="120" w:after="120" w:line="360" w:lineRule="auto"/>
        <w:ind w:left="1416"/>
      </w:pPr>
      <w:r>
        <w:t>W ramach wspólnej etykiety paszport roślin jest umieszczony bezpośrednio nad etykietą urzędową i ma taką samą szerokość jak etykieta urzędowa.</w:t>
      </w:r>
    </w:p>
    <w:p w:rsidR="006C354F" w:rsidRDefault="006C354F" w:rsidP="006C6EA4">
      <w:pPr>
        <w:spacing w:before="120" w:after="120" w:line="360" w:lineRule="auto"/>
        <w:ind w:left="851" w:hanging="851"/>
      </w:pPr>
      <w:r>
        <w:t>2)</w:t>
      </w:r>
      <w:r>
        <w:tab/>
        <w:t>Część B pkt 2 stosuje się odpowiednio..”</w:t>
      </w:r>
    </w:p>
    <w:p w:rsidR="006C354F" w:rsidRDefault="006C354F" w:rsidP="006845F1">
      <w:pPr>
        <w:spacing w:before="120" w:after="120" w:line="360" w:lineRule="auto"/>
        <w:sectPr w:rsidR="006C354F">
          <w:pgSz w:w="11909" w:h="16834"/>
          <w:pgMar w:top="1134" w:right="1417" w:bottom="1417" w:left="1417" w:header="1134" w:footer="567" w:gutter="0"/>
          <w:cols w:space="720"/>
        </w:sectPr>
      </w:pPr>
    </w:p>
    <w:p w:rsidR="006C354F" w:rsidRDefault="006C354F" w:rsidP="006845F1">
      <w:pPr>
        <w:spacing w:before="120" w:after="120" w:line="360" w:lineRule="auto"/>
      </w:pPr>
    </w:p>
    <w:p w:rsidR="006C354F" w:rsidRDefault="006C354F" w:rsidP="006845F1">
      <w:pPr>
        <w:pStyle w:val="Normale"/>
        <w:jc w:val="center"/>
      </w:pPr>
      <w:r>
        <w:t>ZAŁĄCZNIK VIII</w:t>
      </w:r>
    </w:p>
    <w:p w:rsidR="006C354F" w:rsidRDefault="006C354F" w:rsidP="006C6EA4">
      <w:pPr>
        <w:pStyle w:val="Applicationdirecte"/>
        <w:jc w:val="center"/>
      </w:pPr>
      <w:proofErr w:type="spellStart"/>
      <w:r>
        <w:t>Tabela</w:t>
      </w:r>
      <w:proofErr w:type="spellEnd"/>
      <w:r>
        <w:t xml:space="preserve"> </w:t>
      </w:r>
      <w:proofErr w:type="spellStart"/>
      <w:r>
        <w:t>korelacji</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802"/>
        <w:gridCol w:w="6263"/>
      </w:tblGrid>
      <w:tr w:rsidR="006C354F" w:rsidTr="006C354F">
        <w:trPr>
          <w:tblHeader/>
        </w:trPr>
        <w:tc>
          <w:tcPr>
            <w:tcW w:w="0" w:type="auto"/>
          </w:tcPr>
          <w:p w:rsidR="006C354F" w:rsidRDefault="006C354F" w:rsidP="006845F1">
            <w:pPr>
              <w:spacing w:before="120" w:after="120" w:line="360" w:lineRule="auto"/>
            </w:pPr>
            <w:r>
              <w:t>Dyrektywa Rady 1999/105/WE</w:t>
            </w:r>
          </w:p>
        </w:tc>
        <w:tc>
          <w:tcPr>
            <w:tcW w:w="0" w:type="auto"/>
          </w:tcPr>
          <w:p w:rsidR="006C354F" w:rsidRDefault="006C354F" w:rsidP="006845F1">
            <w:pPr>
              <w:spacing w:before="120" w:after="120" w:line="360" w:lineRule="auto"/>
            </w:pPr>
            <w:r>
              <w:t>Niniejsze rozporządzenie</w:t>
            </w:r>
          </w:p>
        </w:tc>
      </w:tr>
      <w:tr w:rsidR="006C354F" w:rsidTr="006C354F">
        <w:tc>
          <w:tcPr>
            <w:tcW w:w="0" w:type="auto"/>
          </w:tcPr>
          <w:p w:rsidR="006C354F" w:rsidRDefault="006C354F" w:rsidP="006845F1">
            <w:pPr>
              <w:spacing w:before="120" w:after="120" w:line="360" w:lineRule="auto"/>
            </w:pPr>
            <w:r>
              <w:t>Art. 1</w:t>
            </w:r>
          </w:p>
        </w:tc>
        <w:tc>
          <w:tcPr>
            <w:tcW w:w="0" w:type="auto"/>
          </w:tcPr>
          <w:p w:rsidR="006C354F" w:rsidRDefault="006C354F" w:rsidP="006845F1">
            <w:pPr>
              <w:spacing w:before="120" w:after="120" w:line="360" w:lineRule="auto"/>
            </w:pPr>
            <w:r>
              <w:t>Art. 1 akapit pierwszy</w:t>
            </w:r>
          </w:p>
        </w:tc>
      </w:tr>
      <w:tr w:rsidR="006C354F" w:rsidTr="006C354F">
        <w:tc>
          <w:tcPr>
            <w:tcW w:w="0" w:type="auto"/>
          </w:tcPr>
          <w:p w:rsidR="006C354F" w:rsidRDefault="006C354F" w:rsidP="006845F1">
            <w:pPr>
              <w:spacing w:before="120" w:after="120" w:line="360" w:lineRule="auto"/>
            </w:pPr>
            <w:r>
              <w:t>Art. 2</w:t>
            </w:r>
          </w:p>
        </w:tc>
        <w:tc>
          <w:tcPr>
            <w:tcW w:w="0" w:type="auto"/>
          </w:tcPr>
          <w:p w:rsidR="006C354F" w:rsidRDefault="006C354F" w:rsidP="006845F1">
            <w:pPr>
              <w:spacing w:before="120" w:after="120" w:line="360" w:lineRule="auto"/>
            </w:pPr>
            <w:r>
              <w:t>Art. 3</w:t>
            </w:r>
          </w:p>
        </w:tc>
      </w:tr>
      <w:tr w:rsidR="006C354F" w:rsidTr="006C354F">
        <w:tc>
          <w:tcPr>
            <w:tcW w:w="0" w:type="auto"/>
          </w:tcPr>
          <w:p w:rsidR="006C354F" w:rsidRDefault="006C354F" w:rsidP="006845F1">
            <w:pPr>
              <w:spacing w:before="120" w:after="120" w:line="360" w:lineRule="auto"/>
            </w:pPr>
            <w:r>
              <w:t>Art. 3 ust. 1</w:t>
            </w:r>
          </w:p>
        </w:tc>
        <w:tc>
          <w:tcPr>
            <w:tcW w:w="0" w:type="auto"/>
          </w:tcPr>
          <w:p w:rsidR="006C354F" w:rsidRDefault="006C354F" w:rsidP="006845F1">
            <w:pPr>
              <w:spacing w:before="120" w:after="120" w:line="360" w:lineRule="auto"/>
            </w:pPr>
            <w:r>
              <w:t>Art. 2 ust. 1</w:t>
            </w:r>
          </w:p>
        </w:tc>
      </w:tr>
      <w:tr w:rsidR="006C354F" w:rsidTr="006C354F">
        <w:tc>
          <w:tcPr>
            <w:tcW w:w="0" w:type="auto"/>
          </w:tcPr>
          <w:p w:rsidR="006C354F" w:rsidRDefault="006C354F" w:rsidP="006845F1">
            <w:pPr>
              <w:spacing w:before="120" w:after="120" w:line="360" w:lineRule="auto"/>
            </w:pPr>
            <w:r>
              <w:t>Art. 3 ust. 2</w:t>
            </w:r>
          </w:p>
        </w:tc>
        <w:tc>
          <w:tcPr>
            <w:tcW w:w="0" w:type="auto"/>
          </w:tcPr>
          <w:p w:rsidR="006C354F" w:rsidRDefault="006C354F" w:rsidP="006845F1">
            <w:pPr>
              <w:spacing w:before="120" w:after="120" w:line="360" w:lineRule="auto"/>
            </w:pPr>
            <w:r>
              <w:t>Art. 2 ust. 5</w:t>
            </w:r>
          </w:p>
        </w:tc>
      </w:tr>
      <w:tr w:rsidR="006C354F" w:rsidTr="006C354F">
        <w:tc>
          <w:tcPr>
            <w:tcW w:w="0" w:type="auto"/>
          </w:tcPr>
          <w:p w:rsidR="006C354F" w:rsidRDefault="006C354F" w:rsidP="006845F1">
            <w:pPr>
              <w:spacing w:before="120" w:after="120" w:line="360" w:lineRule="auto"/>
            </w:pPr>
            <w:r>
              <w:t>Art. 3 ust. 3</w:t>
            </w:r>
          </w:p>
        </w:tc>
        <w:tc>
          <w:tcPr>
            <w:tcW w:w="0" w:type="auto"/>
          </w:tcPr>
          <w:p w:rsidR="006C354F" w:rsidRDefault="006C354F" w:rsidP="006845F1">
            <w:pPr>
              <w:spacing w:before="120" w:after="120" w:line="360" w:lineRule="auto"/>
            </w:pPr>
            <w:r>
              <w:t></w:t>
            </w:r>
          </w:p>
        </w:tc>
      </w:tr>
      <w:tr w:rsidR="006C354F" w:rsidTr="006C354F">
        <w:tc>
          <w:tcPr>
            <w:tcW w:w="0" w:type="auto"/>
          </w:tcPr>
          <w:p w:rsidR="006C354F" w:rsidRDefault="006C354F" w:rsidP="006845F1">
            <w:pPr>
              <w:spacing w:before="120" w:after="120" w:line="360" w:lineRule="auto"/>
            </w:pPr>
            <w:r>
              <w:t>Art. 3 ust. 4</w:t>
            </w:r>
          </w:p>
        </w:tc>
        <w:tc>
          <w:tcPr>
            <w:tcW w:w="0" w:type="auto"/>
          </w:tcPr>
          <w:p w:rsidR="006C354F" w:rsidRDefault="006C354F" w:rsidP="006845F1">
            <w:pPr>
              <w:spacing w:before="120" w:after="120" w:line="360" w:lineRule="auto"/>
            </w:pPr>
            <w:r>
              <w:t>Art. 2 ust. 4 lit. c)</w:t>
            </w:r>
          </w:p>
        </w:tc>
      </w:tr>
      <w:tr w:rsidR="006C354F" w:rsidTr="006C354F">
        <w:tc>
          <w:tcPr>
            <w:tcW w:w="0" w:type="auto"/>
          </w:tcPr>
          <w:p w:rsidR="006C354F" w:rsidRDefault="006C354F" w:rsidP="006845F1">
            <w:pPr>
              <w:spacing w:before="120" w:after="120" w:line="360" w:lineRule="auto"/>
            </w:pPr>
            <w:r>
              <w:t>Art. 4 ust. 1</w:t>
            </w:r>
          </w:p>
        </w:tc>
        <w:tc>
          <w:tcPr>
            <w:tcW w:w="0" w:type="auto"/>
          </w:tcPr>
          <w:p w:rsidR="006C354F" w:rsidRDefault="006C354F" w:rsidP="006845F1">
            <w:pPr>
              <w:spacing w:before="120" w:after="120" w:line="360" w:lineRule="auto"/>
            </w:pPr>
            <w:r>
              <w:t>Art. 4 ust. 1</w:t>
            </w:r>
          </w:p>
        </w:tc>
      </w:tr>
      <w:tr w:rsidR="006C354F" w:rsidTr="006C354F">
        <w:tc>
          <w:tcPr>
            <w:tcW w:w="0" w:type="auto"/>
          </w:tcPr>
          <w:p w:rsidR="006C354F" w:rsidRDefault="006C354F" w:rsidP="006845F1">
            <w:pPr>
              <w:spacing w:before="120" w:after="120" w:line="360" w:lineRule="auto"/>
            </w:pPr>
            <w:r>
              <w:t>Art. 4 ust. 2 lit. a)</w:t>
            </w:r>
          </w:p>
        </w:tc>
        <w:tc>
          <w:tcPr>
            <w:tcW w:w="0" w:type="auto"/>
          </w:tcPr>
          <w:p w:rsidR="006C354F" w:rsidRDefault="006C354F" w:rsidP="006845F1">
            <w:pPr>
              <w:spacing w:before="120" w:after="120" w:line="360" w:lineRule="auto"/>
            </w:pPr>
            <w:r>
              <w:t>Art. 4 ust. 2 akapity od pierwszego do czwartego</w:t>
            </w:r>
          </w:p>
        </w:tc>
      </w:tr>
      <w:tr w:rsidR="006C354F" w:rsidTr="006C354F">
        <w:tc>
          <w:tcPr>
            <w:tcW w:w="0" w:type="auto"/>
          </w:tcPr>
          <w:p w:rsidR="006C354F" w:rsidRDefault="006C354F" w:rsidP="006845F1">
            <w:pPr>
              <w:spacing w:before="120" w:after="120" w:line="360" w:lineRule="auto"/>
            </w:pPr>
            <w:r>
              <w:t>Art. 4 ust. 2 lit. b)</w:t>
            </w:r>
          </w:p>
        </w:tc>
        <w:tc>
          <w:tcPr>
            <w:tcW w:w="0" w:type="auto"/>
          </w:tcPr>
          <w:p w:rsidR="006C354F" w:rsidRDefault="006C354F" w:rsidP="006845F1">
            <w:pPr>
              <w:spacing w:before="120" w:after="120" w:line="360" w:lineRule="auto"/>
            </w:pPr>
            <w:r>
              <w:t>Art. 4 ust. 2 akapit siódmy i art. 4 ust. 3</w:t>
            </w:r>
          </w:p>
        </w:tc>
      </w:tr>
      <w:tr w:rsidR="006C354F" w:rsidTr="006C354F">
        <w:tc>
          <w:tcPr>
            <w:tcW w:w="0" w:type="auto"/>
          </w:tcPr>
          <w:p w:rsidR="006C354F" w:rsidRDefault="006C354F" w:rsidP="006845F1">
            <w:pPr>
              <w:spacing w:before="120" w:after="120" w:line="360" w:lineRule="auto"/>
            </w:pPr>
            <w:r>
              <w:t>Art. 4 ust. 3 lit. a)</w:t>
            </w:r>
          </w:p>
        </w:tc>
        <w:tc>
          <w:tcPr>
            <w:tcW w:w="0" w:type="auto"/>
          </w:tcPr>
          <w:p w:rsidR="006C354F" w:rsidRDefault="006C354F" w:rsidP="006845F1">
            <w:pPr>
              <w:spacing w:before="120" w:after="120" w:line="360" w:lineRule="auto"/>
            </w:pPr>
            <w:r>
              <w:t>Art. 4 ust. 4</w:t>
            </w:r>
          </w:p>
        </w:tc>
      </w:tr>
      <w:tr w:rsidR="006C354F" w:rsidTr="006C354F">
        <w:tc>
          <w:tcPr>
            <w:tcW w:w="0" w:type="auto"/>
          </w:tcPr>
          <w:p w:rsidR="006C354F" w:rsidRDefault="006C354F" w:rsidP="006845F1">
            <w:pPr>
              <w:spacing w:before="120" w:after="120" w:line="360" w:lineRule="auto"/>
            </w:pPr>
            <w:r>
              <w:t>Art. 4 ust. 3 lit. b)</w:t>
            </w:r>
          </w:p>
        </w:tc>
        <w:tc>
          <w:tcPr>
            <w:tcW w:w="0" w:type="auto"/>
          </w:tcPr>
          <w:p w:rsidR="006C354F" w:rsidRDefault="006C354F" w:rsidP="006845F1">
            <w:pPr>
              <w:spacing w:before="120" w:after="120" w:line="360" w:lineRule="auto"/>
            </w:pPr>
            <w:r>
              <w:t>Art. 4 ust. 5</w:t>
            </w:r>
          </w:p>
        </w:tc>
      </w:tr>
      <w:tr w:rsidR="006C354F" w:rsidTr="006C354F">
        <w:tc>
          <w:tcPr>
            <w:tcW w:w="0" w:type="auto"/>
          </w:tcPr>
          <w:p w:rsidR="006C354F" w:rsidRDefault="006C354F" w:rsidP="006845F1">
            <w:pPr>
              <w:spacing w:before="120" w:after="120" w:line="360" w:lineRule="auto"/>
            </w:pPr>
            <w:r>
              <w:t>Art. 4 ust. 4</w:t>
            </w:r>
          </w:p>
        </w:tc>
        <w:tc>
          <w:tcPr>
            <w:tcW w:w="0" w:type="auto"/>
          </w:tcPr>
          <w:p w:rsidR="006C354F" w:rsidRDefault="006C354F" w:rsidP="006845F1">
            <w:pPr>
              <w:spacing w:before="120" w:after="120" w:line="360" w:lineRule="auto"/>
            </w:pPr>
            <w:r>
              <w:t>Art. 6 i 18</w:t>
            </w:r>
          </w:p>
        </w:tc>
      </w:tr>
      <w:tr w:rsidR="006C354F" w:rsidTr="006C354F">
        <w:tc>
          <w:tcPr>
            <w:tcW w:w="0" w:type="auto"/>
          </w:tcPr>
          <w:p w:rsidR="006C354F" w:rsidRDefault="006C354F" w:rsidP="006845F1">
            <w:pPr>
              <w:spacing w:before="120" w:after="120" w:line="360" w:lineRule="auto"/>
            </w:pPr>
            <w:r>
              <w:t>Art. 4 ust. 5</w:t>
            </w:r>
          </w:p>
        </w:tc>
        <w:tc>
          <w:tcPr>
            <w:tcW w:w="0" w:type="auto"/>
          </w:tcPr>
          <w:p w:rsidR="006C354F" w:rsidRDefault="006C354F" w:rsidP="006845F1">
            <w:pPr>
              <w:spacing w:before="120" w:after="120" w:line="360" w:lineRule="auto"/>
            </w:pPr>
            <w:r>
              <w:t>Art. 21</w:t>
            </w:r>
          </w:p>
        </w:tc>
      </w:tr>
      <w:tr w:rsidR="006C354F" w:rsidTr="006C354F">
        <w:tc>
          <w:tcPr>
            <w:tcW w:w="0" w:type="auto"/>
          </w:tcPr>
          <w:p w:rsidR="006C354F" w:rsidRDefault="006C354F" w:rsidP="006845F1">
            <w:pPr>
              <w:spacing w:before="120" w:after="120" w:line="360" w:lineRule="auto"/>
            </w:pPr>
            <w:r>
              <w:t>Art. 5</w:t>
            </w:r>
          </w:p>
        </w:tc>
        <w:tc>
          <w:tcPr>
            <w:tcW w:w="0" w:type="auto"/>
          </w:tcPr>
          <w:p w:rsidR="006C354F" w:rsidRDefault="006C354F" w:rsidP="006845F1">
            <w:pPr>
              <w:spacing w:before="120" w:after="120" w:line="360" w:lineRule="auto"/>
            </w:pPr>
            <w:r>
              <w:t></w:t>
            </w:r>
          </w:p>
        </w:tc>
      </w:tr>
      <w:tr w:rsidR="006C354F" w:rsidTr="006C354F">
        <w:tc>
          <w:tcPr>
            <w:tcW w:w="0" w:type="auto"/>
          </w:tcPr>
          <w:p w:rsidR="006C354F" w:rsidRDefault="006C354F" w:rsidP="006845F1">
            <w:pPr>
              <w:spacing w:before="120" w:after="120" w:line="360" w:lineRule="auto"/>
            </w:pPr>
            <w:r>
              <w:t>Art. 6 ust. 1</w:t>
            </w:r>
          </w:p>
        </w:tc>
        <w:tc>
          <w:tcPr>
            <w:tcW w:w="0" w:type="auto"/>
          </w:tcPr>
          <w:p w:rsidR="006C354F" w:rsidRDefault="006C354F" w:rsidP="006845F1">
            <w:pPr>
              <w:spacing w:before="120" w:after="120" w:line="360" w:lineRule="auto"/>
            </w:pPr>
            <w:r>
              <w:t>Art. 5 ust. 1</w:t>
            </w:r>
          </w:p>
        </w:tc>
      </w:tr>
      <w:tr w:rsidR="006C354F" w:rsidTr="006C354F">
        <w:tc>
          <w:tcPr>
            <w:tcW w:w="0" w:type="auto"/>
          </w:tcPr>
          <w:p w:rsidR="006C354F" w:rsidRDefault="006C354F" w:rsidP="006845F1">
            <w:pPr>
              <w:spacing w:before="120" w:after="120" w:line="360" w:lineRule="auto"/>
            </w:pPr>
            <w:r>
              <w:t>Art. 6 ust. 2</w:t>
            </w:r>
          </w:p>
        </w:tc>
        <w:tc>
          <w:tcPr>
            <w:tcW w:w="0" w:type="auto"/>
          </w:tcPr>
          <w:p w:rsidR="006C354F" w:rsidRDefault="006C354F" w:rsidP="006845F1">
            <w:pPr>
              <w:spacing w:before="120" w:after="120" w:line="360" w:lineRule="auto"/>
            </w:pPr>
            <w:r>
              <w:t>Art. 5 ust. 2</w:t>
            </w:r>
          </w:p>
        </w:tc>
      </w:tr>
      <w:tr w:rsidR="006C354F" w:rsidTr="006C354F">
        <w:tc>
          <w:tcPr>
            <w:tcW w:w="0" w:type="auto"/>
          </w:tcPr>
          <w:p w:rsidR="006C354F" w:rsidRDefault="006C354F" w:rsidP="006845F1">
            <w:pPr>
              <w:spacing w:before="120" w:after="120" w:line="360" w:lineRule="auto"/>
            </w:pPr>
            <w:r>
              <w:t xml:space="preserve">Art. 6 ust. 3 akapit </w:t>
            </w:r>
            <w:r>
              <w:lastRenderedPageBreak/>
              <w:t>pierwszy</w:t>
            </w:r>
          </w:p>
        </w:tc>
        <w:tc>
          <w:tcPr>
            <w:tcW w:w="0" w:type="auto"/>
          </w:tcPr>
          <w:p w:rsidR="006C354F" w:rsidRDefault="006C354F" w:rsidP="006845F1">
            <w:pPr>
              <w:spacing w:before="120" w:after="120" w:line="360" w:lineRule="auto"/>
            </w:pPr>
            <w:r>
              <w:lastRenderedPageBreak/>
              <w:t>Art. 8 akapit pierwszy</w:t>
            </w:r>
          </w:p>
        </w:tc>
      </w:tr>
      <w:tr w:rsidR="006C354F" w:rsidTr="006C354F">
        <w:tc>
          <w:tcPr>
            <w:tcW w:w="0" w:type="auto"/>
          </w:tcPr>
          <w:p w:rsidR="006C354F" w:rsidRDefault="006C354F" w:rsidP="006845F1">
            <w:pPr>
              <w:spacing w:before="120" w:after="120" w:line="360" w:lineRule="auto"/>
            </w:pPr>
            <w:r>
              <w:t>Art. 6 ust. 3 akapit drugi</w:t>
            </w:r>
          </w:p>
        </w:tc>
        <w:tc>
          <w:tcPr>
            <w:tcW w:w="0" w:type="auto"/>
          </w:tcPr>
          <w:p w:rsidR="006C354F" w:rsidRDefault="006C354F" w:rsidP="006845F1">
            <w:pPr>
              <w:spacing w:before="120" w:after="120" w:line="360" w:lineRule="auto"/>
            </w:pPr>
            <w:r>
              <w:t>Art. 8 akapit drugi</w:t>
            </w:r>
          </w:p>
        </w:tc>
      </w:tr>
      <w:tr w:rsidR="006C354F" w:rsidTr="006C354F">
        <w:tc>
          <w:tcPr>
            <w:tcW w:w="0" w:type="auto"/>
          </w:tcPr>
          <w:p w:rsidR="006C354F" w:rsidRDefault="006C354F" w:rsidP="006845F1">
            <w:pPr>
              <w:spacing w:before="120" w:after="120" w:line="360" w:lineRule="auto"/>
            </w:pPr>
            <w:r>
              <w:t>Art. 6 ust. 4</w:t>
            </w:r>
          </w:p>
        </w:tc>
        <w:tc>
          <w:tcPr>
            <w:tcW w:w="0" w:type="auto"/>
          </w:tcPr>
          <w:p w:rsidR="006C354F" w:rsidRDefault="006C354F" w:rsidP="006845F1">
            <w:pPr>
              <w:spacing w:before="120" w:after="120" w:line="360" w:lineRule="auto"/>
            </w:pPr>
            <w:r>
              <w:t>Art. 10 ust. 1</w:t>
            </w:r>
          </w:p>
        </w:tc>
      </w:tr>
      <w:tr w:rsidR="006C354F" w:rsidTr="006C354F">
        <w:tc>
          <w:tcPr>
            <w:tcW w:w="0" w:type="auto"/>
          </w:tcPr>
          <w:p w:rsidR="006C354F" w:rsidRDefault="006C354F" w:rsidP="006845F1">
            <w:pPr>
              <w:spacing w:before="120" w:after="120" w:line="360" w:lineRule="auto"/>
            </w:pPr>
            <w:r>
              <w:t>Art. 6 ust. 5 lit. a)</w:t>
            </w:r>
          </w:p>
        </w:tc>
        <w:tc>
          <w:tcPr>
            <w:tcW w:w="0" w:type="auto"/>
          </w:tcPr>
          <w:p w:rsidR="006C354F" w:rsidRDefault="006C354F" w:rsidP="006845F1">
            <w:pPr>
              <w:spacing w:before="120" w:after="120" w:line="360" w:lineRule="auto"/>
            </w:pPr>
            <w:r>
              <w:t>Art. 2 ust. 4 lit. d)</w:t>
            </w:r>
          </w:p>
        </w:tc>
      </w:tr>
      <w:tr w:rsidR="006C354F" w:rsidTr="006C354F">
        <w:tc>
          <w:tcPr>
            <w:tcW w:w="0" w:type="auto"/>
          </w:tcPr>
          <w:p w:rsidR="006C354F" w:rsidRDefault="006C354F" w:rsidP="006845F1">
            <w:pPr>
              <w:spacing w:before="120" w:after="120" w:line="360" w:lineRule="auto"/>
            </w:pPr>
            <w:r>
              <w:t>Art. 6 ust. 5 lit. b)</w:t>
            </w:r>
          </w:p>
        </w:tc>
        <w:tc>
          <w:tcPr>
            <w:tcW w:w="0" w:type="auto"/>
          </w:tcPr>
          <w:p w:rsidR="006C354F" w:rsidRDefault="006C354F" w:rsidP="006845F1">
            <w:pPr>
              <w:spacing w:before="120" w:after="120" w:line="360" w:lineRule="auto"/>
            </w:pPr>
            <w:r>
              <w:t></w:t>
            </w:r>
          </w:p>
        </w:tc>
      </w:tr>
      <w:tr w:rsidR="006C354F" w:rsidTr="006C354F">
        <w:tc>
          <w:tcPr>
            <w:tcW w:w="0" w:type="auto"/>
          </w:tcPr>
          <w:p w:rsidR="006C354F" w:rsidRDefault="006C354F" w:rsidP="006845F1">
            <w:pPr>
              <w:spacing w:before="120" w:after="120" w:line="360" w:lineRule="auto"/>
            </w:pPr>
            <w:r>
              <w:t>Art. 6 ust. 6</w:t>
            </w:r>
          </w:p>
        </w:tc>
        <w:tc>
          <w:tcPr>
            <w:tcW w:w="0" w:type="auto"/>
          </w:tcPr>
          <w:p w:rsidR="006C354F" w:rsidRDefault="006C354F" w:rsidP="006845F1">
            <w:pPr>
              <w:spacing w:before="120" w:after="120" w:line="360" w:lineRule="auto"/>
            </w:pPr>
            <w:r>
              <w:t></w:t>
            </w:r>
          </w:p>
        </w:tc>
      </w:tr>
      <w:tr w:rsidR="006C354F" w:rsidTr="006C354F">
        <w:tc>
          <w:tcPr>
            <w:tcW w:w="0" w:type="auto"/>
          </w:tcPr>
          <w:p w:rsidR="006C354F" w:rsidRDefault="006C354F" w:rsidP="006845F1">
            <w:pPr>
              <w:spacing w:before="120" w:after="120" w:line="360" w:lineRule="auto"/>
            </w:pPr>
            <w:r>
              <w:t>Art. 6 ust. 7</w:t>
            </w:r>
          </w:p>
        </w:tc>
        <w:tc>
          <w:tcPr>
            <w:tcW w:w="0" w:type="auto"/>
          </w:tcPr>
          <w:p w:rsidR="006C354F" w:rsidRDefault="006C354F" w:rsidP="006845F1">
            <w:pPr>
              <w:spacing w:before="120" w:after="120" w:line="360" w:lineRule="auto"/>
            </w:pPr>
            <w:r>
              <w:t>Art. 7</w:t>
            </w:r>
          </w:p>
        </w:tc>
      </w:tr>
      <w:tr w:rsidR="006C354F" w:rsidTr="006C354F">
        <w:tc>
          <w:tcPr>
            <w:tcW w:w="0" w:type="auto"/>
          </w:tcPr>
          <w:p w:rsidR="006C354F" w:rsidRDefault="006C354F" w:rsidP="006845F1">
            <w:pPr>
              <w:spacing w:before="120" w:after="120" w:line="360" w:lineRule="auto"/>
            </w:pPr>
            <w:r>
              <w:t>Art. 6 ust. 8</w:t>
            </w:r>
          </w:p>
        </w:tc>
        <w:tc>
          <w:tcPr>
            <w:tcW w:w="0" w:type="auto"/>
          </w:tcPr>
          <w:p w:rsidR="006C354F" w:rsidRDefault="006C354F" w:rsidP="006845F1">
            <w:pPr>
              <w:spacing w:before="120" w:after="120" w:line="360" w:lineRule="auto"/>
            </w:pPr>
            <w:r>
              <w:t>Art. 4 ust. 6</w:t>
            </w:r>
          </w:p>
        </w:tc>
      </w:tr>
      <w:tr w:rsidR="006C354F" w:rsidTr="006C354F">
        <w:tc>
          <w:tcPr>
            <w:tcW w:w="0" w:type="auto"/>
          </w:tcPr>
          <w:p w:rsidR="006C354F" w:rsidRDefault="006C354F" w:rsidP="006845F1">
            <w:pPr>
              <w:spacing w:before="120" w:after="120" w:line="360" w:lineRule="auto"/>
            </w:pPr>
            <w:r>
              <w:t>Art. 7</w:t>
            </w:r>
          </w:p>
        </w:tc>
        <w:tc>
          <w:tcPr>
            <w:tcW w:w="0" w:type="auto"/>
          </w:tcPr>
          <w:p w:rsidR="006C354F" w:rsidRDefault="006C354F" w:rsidP="006845F1">
            <w:pPr>
              <w:spacing w:before="120" w:after="120" w:line="360" w:lineRule="auto"/>
            </w:pPr>
            <w:r>
              <w:t>Art. 23</w:t>
            </w:r>
          </w:p>
        </w:tc>
      </w:tr>
      <w:tr w:rsidR="006C354F" w:rsidTr="006C354F">
        <w:tc>
          <w:tcPr>
            <w:tcW w:w="0" w:type="auto"/>
          </w:tcPr>
          <w:p w:rsidR="006C354F" w:rsidRDefault="006C354F" w:rsidP="006845F1">
            <w:pPr>
              <w:spacing w:before="120" w:after="120" w:line="360" w:lineRule="auto"/>
            </w:pPr>
            <w:r>
              <w:t>Art. 8</w:t>
            </w:r>
          </w:p>
        </w:tc>
        <w:tc>
          <w:tcPr>
            <w:tcW w:w="0" w:type="auto"/>
          </w:tcPr>
          <w:p w:rsidR="006C354F" w:rsidRDefault="006C354F" w:rsidP="006845F1">
            <w:pPr>
              <w:spacing w:before="120" w:after="120" w:line="360" w:lineRule="auto"/>
            </w:pPr>
            <w:r>
              <w:t></w:t>
            </w:r>
          </w:p>
        </w:tc>
      </w:tr>
      <w:tr w:rsidR="006C354F" w:rsidTr="006C354F">
        <w:tc>
          <w:tcPr>
            <w:tcW w:w="0" w:type="auto"/>
          </w:tcPr>
          <w:p w:rsidR="006C354F" w:rsidRDefault="006C354F" w:rsidP="006845F1">
            <w:pPr>
              <w:spacing w:before="120" w:after="120" w:line="360" w:lineRule="auto"/>
            </w:pPr>
            <w:r>
              <w:t>Art. 9</w:t>
            </w:r>
          </w:p>
        </w:tc>
        <w:tc>
          <w:tcPr>
            <w:tcW w:w="0" w:type="auto"/>
          </w:tcPr>
          <w:p w:rsidR="006C354F" w:rsidRDefault="006C354F" w:rsidP="006845F1">
            <w:pPr>
              <w:spacing w:before="120" w:after="120" w:line="360" w:lineRule="auto"/>
            </w:pPr>
            <w:r>
              <w:t>Art. 11</w:t>
            </w:r>
          </w:p>
        </w:tc>
      </w:tr>
      <w:tr w:rsidR="006C354F" w:rsidTr="006C354F">
        <w:tc>
          <w:tcPr>
            <w:tcW w:w="0" w:type="auto"/>
          </w:tcPr>
          <w:p w:rsidR="006C354F" w:rsidRDefault="006C354F" w:rsidP="006845F1">
            <w:pPr>
              <w:spacing w:before="120" w:after="120" w:line="360" w:lineRule="auto"/>
            </w:pPr>
            <w:r>
              <w:t>Art. 10</w:t>
            </w:r>
          </w:p>
        </w:tc>
        <w:tc>
          <w:tcPr>
            <w:tcW w:w="0" w:type="auto"/>
          </w:tcPr>
          <w:p w:rsidR="006C354F" w:rsidRDefault="006C354F" w:rsidP="006845F1">
            <w:pPr>
              <w:spacing w:before="120" w:after="120" w:line="360" w:lineRule="auto"/>
            </w:pPr>
            <w:r>
              <w:t>Art. 12</w:t>
            </w:r>
          </w:p>
        </w:tc>
      </w:tr>
      <w:tr w:rsidR="006C354F" w:rsidTr="006C354F">
        <w:tc>
          <w:tcPr>
            <w:tcW w:w="0" w:type="auto"/>
          </w:tcPr>
          <w:p w:rsidR="006C354F" w:rsidRDefault="006C354F" w:rsidP="006845F1">
            <w:pPr>
              <w:spacing w:before="120" w:after="120" w:line="360" w:lineRule="auto"/>
            </w:pPr>
            <w:r>
              <w:t>Art. 11</w:t>
            </w:r>
          </w:p>
        </w:tc>
        <w:tc>
          <w:tcPr>
            <w:tcW w:w="0" w:type="auto"/>
          </w:tcPr>
          <w:p w:rsidR="006C354F" w:rsidRDefault="006C354F" w:rsidP="006845F1">
            <w:pPr>
              <w:spacing w:before="120" w:after="120" w:line="360" w:lineRule="auto"/>
            </w:pPr>
            <w:r>
              <w:t>Art. 13</w:t>
            </w:r>
          </w:p>
        </w:tc>
      </w:tr>
      <w:tr w:rsidR="006C354F" w:rsidTr="006C354F">
        <w:tc>
          <w:tcPr>
            <w:tcW w:w="0" w:type="auto"/>
          </w:tcPr>
          <w:p w:rsidR="006C354F" w:rsidRDefault="006C354F" w:rsidP="006845F1">
            <w:pPr>
              <w:spacing w:before="120" w:after="120" w:line="360" w:lineRule="auto"/>
            </w:pPr>
            <w:r>
              <w:t>Art. 12</w:t>
            </w:r>
          </w:p>
        </w:tc>
        <w:tc>
          <w:tcPr>
            <w:tcW w:w="0" w:type="auto"/>
          </w:tcPr>
          <w:p w:rsidR="006C354F" w:rsidRDefault="006C354F" w:rsidP="006845F1">
            <w:pPr>
              <w:spacing w:before="120" w:after="120" w:line="360" w:lineRule="auto"/>
            </w:pPr>
            <w:r>
              <w:t>Art. 14</w:t>
            </w:r>
          </w:p>
        </w:tc>
      </w:tr>
      <w:tr w:rsidR="006C354F" w:rsidTr="006C354F">
        <w:tc>
          <w:tcPr>
            <w:tcW w:w="0" w:type="auto"/>
          </w:tcPr>
          <w:p w:rsidR="006C354F" w:rsidRDefault="006C354F" w:rsidP="006845F1">
            <w:pPr>
              <w:spacing w:before="120" w:after="120" w:line="360" w:lineRule="auto"/>
            </w:pPr>
            <w:r>
              <w:t>Art. 13</w:t>
            </w:r>
          </w:p>
        </w:tc>
        <w:tc>
          <w:tcPr>
            <w:tcW w:w="0" w:type="auto"/>
          </w:tcPr>
          <w:p w:rsidR="006C354F" w:rsidRDefault="006C354F" w:rsidP="006845F1">
            <w:pPr>
              <w:spacing w:before="120" w:after="120" w:line="360" w:lineRule="auto"/>
            </w:pPr>
            <w:r>
              <w:t>Art. 15</w:t>
            </w:r>
          </w:p>
        </w:tc>
      </w:tr>
      <w:tr w:rsidR="006C354F" w:rsidTr="006C354F">
        <w:tc>
          <w:tcPr>
            <w:tcW w:w="0" w:type="auto"/>
          </w:tcPr>
          <w:p w:rsidR="006C354F" w:rsidRDefault="006C354F" w:rsidP="006845F1">
            <w:pPr>
              <w:spacing w:before="120" w:after="120" w:line="360" w:lineRule="auto"/>
            </w:pPr>
            <w:r>
              <w:t>Art. 14 ust. 1 akapit pierwszy</w:t>
            </w:r>
          </w:p>
        </w:tc>
        <w:tc>
          <w:tcPr>
            <w:tcW w:w="0" w:type="auto"/>
          </w:tcPr>
          <w:p w:rsidR="006C354F" w:rsidRDefault="006C354F" w:rsidP="006845F1">
            <w:pPr>
              <w:spacing w:before="120" w:after="120" w:line="360" w:lineRule="auto"/>
            </w:pPr>
            <w:r>
              <w:t>art. 16 ust. 1</w:t>
            </w:r>
          </w:p>
        </w:tc>
      </w:tr>
      <w:tr w:rsidR="006C354F" w:rsidTr="006C354F">
        <w:tc>
          <w:tcPr>
            <w:tcW w:w="0" w:type="auto"/>
          </w:tcPr>
          <w:p w:rsidR="006C354F" w:rsidRPr="006C354F" w:rsidRDefault="006C354F" w:rsidP="006845F1">
            <w:pPr>
              <w:spacing w:before="120" w:after="120" w:line="360" w:lineRule="auto"/>
              <w:rPr>
                <w:lang w:val="en-GB"/>
              </w:rPr>
            </w:pPr>
            <w:r w:rsidRPr="006C354F">
              <w:rPr>
                <w:lang w:val="en-GB"/>
              </w:rPr>
              <w:t xml:space="preserve">Art. 14 </w:t>
            </w:r>
            <w:proofErr w:type="spellStart"/>
            <w:r w:rsidRPr="006C354F">
              <w:rPr>
                <w:lang w:val="en-GB"/>
              </w:rPr>
              <w:t>ust</w:t>
            </w:r>
            <w:proofErr w:type="spellEnd"/>
            <w:r w:rsidRPr="006C354F">
              <w:rPr>
                <w:lang w:val="en-GB"/>
              </w:rPr>
              <w:t>. 1 lit. a)–e)</w:t>
            </w:r>
          </w:p>
        </w:tc>
        <w:tc>
          <w:tcPr>
            <w:tcW w:w="0" w:type="auto"/>
          </w:tcPr>
          <w:p w:rsidR="006C354F" w:rsidRDefault="006C354F" w:rsidP="006845F1">
            <w:pPr>
              <w:spacing w:before="120" w:after="120" w:line="360" w:lineRule="auto"/>
            </w:pPr>
            <w:r>
              <w:t>art. 16 ust. 4</w:t>
            </w:r>
          </w:p>
        </w:tc>
      </w:tr>
      <w:tr w:rsidR="006C354F" w:rsidTr="006C354F">
        <w:tc>
          <w:tcPr>
            <w:tcW w:w="0" w:type="auto"/>
          </w:tcPr>
          <w:p w:rsidR="006C354F" w:rsidRDefault="006C354F" w:rsidP="006845F1">
            <w:pPr>
              <w:spacing w:before="120" w:after="120" w:line="360" w:lineRule="auto"/>
            </w:pPr>
            <w:r>
              <w:t>Art. 14 ust. 2–6</w:t>
            </w:r>
          </w:p>
        </w:tc>
        <w:tc>
          <w:tcPr>
            <w:tcW w:w="0" w:type="auto"/>
          </w:tcPr>
          <w:p w:rsidR="006C354F" w:rsidRDefault="006C354F" w:rsidP="006845F1">
            <w:pPr>
              <w:spacing w:before="120" w:after="120" w:line="360" w:lineRule="auto"/>
            </w:pPr>
            <w:r>
              <w:t></w:t>
            </w:r>
          </w:p>
        </w:tc>
      </w:tr>
      <w:tr w:rsidR="006C354F" w:rsidTr="006C354F">
        <w:tc>
          <w:tcPr>
            <w:tcW w:w="0" w:type="auto"/>
          </w:tcPr>
          <w:p w:rsidR="006C354F" w:rsidRDefault="006C354F" w:rsidP="006845F1">
            <w:pPr>
              <w:spacing w:before="120" w:after="120" w:line="360" w:lineRule="auto"/>
            </w:pPr>
            <w:r>
              <w:lastRenderedPageBreak/>
              <w:t>Art. 14 ust. 7</w:t>
            </w:r>
          </w:p>
        </w:tc>
        <w:tc>
          <w:tcPr>
            <w:tcW w:w="0" w:type="auto"/>
          </w:tcPr>
          <w:p w:rsidR="006C354F" w:rsidRDefault="006C354F" w:rsidP="006845F1">
            <w:pPr>
              <w:spacing w:before="120" w:after="120" w:line="360" w:lineRule="auto"/>
            </w:pPr>
            <w:r>
              <w:t>Art. 15 ust. 1 lit. j)</w:t>
            </w:r>
          </w:p>
        </w:tc>
      </w:tr>
      <w:tr w:rsidR="006C354F" w:rsidTr="006C354F">
        <w:tc>
          <w:tcPr>
            <w:tcW w:w="0" w:type="auto"/>
          </w:tcPr>
          <w:p w:rsidR="006C354F" w:rsidRDefault="006C354F" w:rsidP="006845F1">
            <w:pPr>
              <w:spacing w:before="120" w:after="120" w:line="360" w:lineRule="auto"/>
            </w:pPr>
            <w:r>
              <w:t>Art. 15</w:t>
            </w:r>
          </w:p>
        </w:tc>
        <w:tc>
          <w:tcPr>
            <w:tcW w:w="0" w:type="auto"/>
          </w:tcPr>
          <w:p w:rsidR="006C354F" w:rsidRDefault="006C354F" w:rsidP="006845F1">
            <w:pPr>
              <w:spacing w:before="120" w:after="120" w:line="360" w:lineRule="auto"/>
            </w:pPr>
            <w:r>
              <w:t>Art. 17</w:t>
            </w:r>
          </w:p>
        </w:tc>
      </w:tr>
      <w:tr w:rsidR="006C354F" w:rsidTr="006C354F">
        <w:tc>
          <w:tcPr>
            <w:tcW w:w="0" w:type="auto"/>
          </w:tcPr>
          <w:p w:rsidR="006C354F" w:rsidRDefault="006C354F" w:rsidP="006845F1">
            <w:pPr>
              <w:spacing w:before="120" w:after="120" w:line="360" w:lineRule="auto"/>
            </w:pPr>
            <w:r>
              <w:t>Art. 16</w:t>
            </w:r>
          </w:p>
        </w:tc>
        <w:tc>
          <w:tcPr>
            <w:tcW w:w="0" w:type="auto"/>
          </w:tcPr>
          <w:p w:rsidR="006C354F" w:rsidRDefault="006C354F" w:rsidP="006845F1">
            <w:pPr>
              <w:spacing w:before="120" w:after="120" w:line="360" w:lineRule="auto"/>
            </w:pPr>
            <w:r>
              <w:t>Art. 31</w:t>
            </w:r>
          </w:p>
        </w:tc>
      </w:tr>
      <w:tr w:rsidR="006C354F" w:rsidTr="006C354F">
        <w:tc>
          <w:tcPr>
            <w:tcW w:w="0" w:type="auto"/>
          </w:tcPr>
          <w:p w:rsidR="006C354F" w:rsidRDefault="006C354F" w:rsidP="006845F1">
            <w:pPr>
              <w:spacing w:before="120" w:after="120" w:line="360" w:lineRule="auto"/>
            </w:pPr>
            <w:r>
              <w:t>Art. 17</w:t>
            </w:r>
          </w:p>
        </w:tc>
        <w:tc>
          <w:tcPr>
            <w:tcW w:w="0" w:type="auto"/>
          </w:tcPr>
          <w:p w:rsidR="006C354F" w:rsidRDefault="006C354F" w:rsidP="006845F1">
            <w:pPr>
              <w:spacing w:before="120" w:after="120" w:line="360" w:lineRule="auto"/>
            </w:pPr>
            <w:r>
              <w:t></w:t>
            </w:r>
          </w:p>
        </w:tc>
      </w:tr>
      <w:tr w:rsidR="006C354F" w:rsidTr="006C354F">
        <w:tc>
          <w:tcPr>
            <w:tcW w:w="0" w:type="auto"/>
          </w:tcPr>
          <w:p w:rsidR="006C354F" w:rsidRDefault="006C354F" w:rsidP="006845F1">
            <w:pPr>
              <w:spacing w:before="120" w:after="120" w:line="360" w:lineRule="auto"/>
            </w:pPr>
            <w:r>
              <w:t>Art. 18</w:t>
            </w:r>
          </w:p>
        </w:tc>
        <w:tc>
          <w:tcPr>
            <w:tcW w:w="0" w:type="auto"/>
          </w:tcPr>
          <w:p w:rsidR="006C354F" w:rsidRDefault="006C354F" w:rsidP="006845F1">
            <w:pPr>
              <w:spacing w:before="120" w:after="120" w:line="360" w:lineRule="auto"/>
            </w:pPr>
            <w:r>
              <w:t>Art. 21</w:t>
            </w:r>
          </w:p>
        </w:tc>
      </w:tr>
      <w:tr w:rsidR="006C354F" w:rsidTr="006C354F">
        <w:tc>
          <w:tcPr>
            <w:tcW w:w="0" w:type="auto"/>
          </w:tcPr>
          <w:p w:rsidR="006C354F" w:rsidRDefault="006C354F" w:rsidP="006845F1">
            <w:pPr>
              <w:spacing w:before="120" w:after="120" w:line="360" w:lineRule="auto"/>
            </w:pPr>
            <w:r>
              <w:t>Art. 19</w:t>
            </w:r>
          </w:p>
        </w:tc>
        <w:tc>
          <w:tcPr>
            <w:tcW w:w="0" w:type="auto"/>
          </w:tcPr>
          <w:p w:rsidR="006C354F" w:rsidRDefault="006C354F" w:rsidP="006845F1">
            <w:pPr>
              <w:spacing w:before="120" w:after="120" w:line="360" w:lineRule="auto"/>
            </w:pPr>
            <w:r>
              <w:t>Art. 24</w:t>
            </w:r>
          </w:p>
        </w:tc>
      </w:tr>
      <w:tr w:rsidR="006C354F" w:rsidTr="006C354F">
        <w:tc>
          <w:tcPr>
            <w:tcW w:w="0" w:type="auto"/>
          </w:tcPr>
          <w:p w:rsidR="006C354F" w:rsidRDefault="006C354F" w:rsidP="006845F1">
            <w:pPr>
              <w:spacing w:before="120" w:after="120" w:line="360" w:lineRule="auto"/>
            </w:pPr>
            <w:r>
              <w:t>Art. 20</w:t>
            </w:r>
          </w:p>
        </w:tc>
        <w:tc>
          <w:tcPr>
            <w:tcW w:w="0" w:type="auto"/>
          </w:tcPr>
          <w:p w:rsidR="006C354F" w:rsidRDefault="006C354F" w:rsidP="006845F1">
            <w:pPr>
              <w:spacing w:before="120" w:after="120" w:line="360" w:lineRule="auto"/>
            </w:pPr>
            <w:r>
              <w:t></w:t>
            </w:r>
          </w:p>
        </w:tc>
      </w:tr>
      <w:tr w:rsidR="006C354F" w:rsidTr="006C354F">
        <w:tc>
          <w:tcPr>
            <w:tcW w:w="0" w:type="auto"/>
          </w:tcPr>
          <w:p w:rsidR="006C354F" w:rsidRDefault="006C354F" w:rsidP="006845F1">
            <w:pPr>
              <w:spacing w:before="120" w:after="120" w:line="360" w:lineRule="auto"/>
            </w:pPr>
            <w:r>
              <w:t>Art. 21</w:t>
            </w:r>
          </w:p>
        </w:tc>
        <w:tc>
          <w:tcPr>
            <w:tcW w:w="0" w:type="auto"/>
          </w:tcPr>
          <w:p w:rsidR="006C354F" w:rsidRDefault="006C354F" w:rsidP="006845F1">
            <w:pPr>
              <w:spacing w:before="120" w:after="120" w:line="360" w:lineRule="auto"/>
            </w:pPr>
            <w:r>
              <w:t>Art. 22</w:t>
            </w:r>
          </w:p>
        </w:tc>
      </w:tr>
      <w:tr w:rsidR="006C354F" w:rsidTr="006C354F">
        <w:tc>
          <w:tcPr>
            <w:tcW w:w="0" w:type="auto"/>
          </w:tcPr>
          <w:p w:rsidR="006C354F" w:rsidRDefault="006C354F" w:rsidP="006845F1">
            <w:pPr>
              <w:spacing w:before="120" w:after="120" w:line="360" w:lineRule="auto"/>
            </w:pPr>
            <w:r>
              <w:t>Art. 22</w:t>
            </w:r>
          </w:p>
        </w:tc>
        <w:tc>
          <w:tcPr>
            <w:tcW w:w="0" w:type="auto"/>
          </w:tcPr>
          <w:p w:rsidR="006C354F" w:rsidRDefault="006C354F" w:rsidP="006845F1">
            <w:pPr>
              <w:spacing w:before="120" w:after="120" w:line="360" w:lineRule="auto"/>
            </w:pPr>
            <w:r>
              <w:t>Art. 5 ust. 1 lit. g)</w:t>
            </w:r>
          </w:p>
        </w:tc>
      </w:tr>
      <w:tr w:rsidR="006C354F" w:rsidTr="006C354F">
        <w:tc>
          <w:tcPr>
            <w:tcW w:w="0" w:type="auto"/>
          </w:tcPr>
          <w:p w:rsidR="006C354F" w:rsidRDefault="006C354F" w:rsidP="006845F1">
            <w:pPr>
              <w:spacing w:before="120" w:after="120" w:line="360" w:lineRule="auto"/>
            </w:pPr>
            <w:r>
              <w:t>Art. 23</w:t>
            </w:r>
          </w:p>
        </w:tc>
        <w:tc>
          <w:tcPr>
            <w:tcW w:w="0" w:type="auto"/>
          </w:tcPr>
          <w:p w:rsidR="006C354F" w:rsidRDefault="006C354F" w:rsidP="006845F1">
            <w:pPr>
              <w:spacing w:before="120" w:after="120" w:line="360" w:lineRule="auto"/>
            </w:pPr>
            <w:r>
              <w:t>Art. 2 ust. 2, art. 4 ust. 2, art. 4 ust. 6, art. 5 ust. 3</w:t>
            </w:r>
          </w:p>
        </w:tc>
      </w:tr>
      <w:tr w:rsidR="006C354F" w:rsidTr="006C354F">
        <w:tc>
          <w:tcPr>
            <w:tcW w:w="0" w:type="auto"/>
          </w:tcPr>
          <w:p w:rsidR="006C354F" w:rsidRDefault="006C354F" w:rsidP="006845F1">
            <w:pPr>
              <w:spacing w:before="120" w:after="120" w:line="360" w:lineRule="auto"/>
            </w:pPr>
            <w:r>
              <w:t>Art. 24</w:t>
            </w:r>
          </w:p>
        </w:tc>
        <w:tc>
          <w:tcPr>
            <w:tcW w:w="0" w:type="auto"/>
          </w:tcPr>
          <w:p w:rsidR="006C354F" w:rsidRDefault="006C354F" w:rsidP="006845F1">
            <w:pPr>
              <w:spacing w:before="120" w:after="120" w:line="360" w:lineRule="auto"/>
            </w:pPr>
            <w:r>
              <w:t>Art. 14 ust. 1, art. 14 ust. 5, art. 16 ust. 5, art. 16 ust. 6, art. 18 ust. 4, art. 21 ust. 3, art. 22 ust. 1, art. 23 ust. 1</w:t>
            </w:r>
          </w:p>
        </w:tc>
      </w:tr>
      <w:tr w:rsidR="006C354F" w:rsidTr="006C354F">
        <w:tc>
          <w:tcPr>
            <w:tcW w:w="0" w:type="auto"/>
          </w:tcPr>
          <w:p w:rsidR="006C354F" w:rsidRDefault="006C354F" w:rsidP="006845F1">
            <w:pPr>
              <w:spacing w:before="120" w:after="120" w:line="360" w:lineRule="auto"/>
            </w:pPr>
            <w:r>
              <w:t>Art. 25</w:t>
            </w:r>
          </w:p>
        </w:tc>
        <w:tc>
          <w:tcPr>
            <w:tcW w:w="0" w:type="auto"/>
          </w:tcPr>
          <w:p w:rsidR="006C354F" w:rsidRDefault="006C354F" w:rsidP="006845F1">
            <w:pPr>
              <w:spacing w:before="120" w:after="120" w:line="360" w:lineRule="auto"/>
            </w:pPr>
            <w:r>
              <w:t>Art. 26</w:t>
            </w:r>
          </w:p>
        </w:tc>
      </w:tr>
      <w:tr w:rsidR="006C354F" w:rsidTr="006C354F">
        <w:tc>
          <w:tcPr>
            <w:tcW w:w="0" w:type="auto"/>
          </w:tcPr>
          <w:p w:rsidR="006C354F" w:rsidRDefault="006C354F" w:rsidP="006845F1">
            <w:pPr>
              <w:spacing w:before="120" w:after="120" w:line="360" w:lineRule="auto"/>
            </w:pPr>
            <w:r>
              <w:t>Art. 26</w:t>
            </w:r>
          </w:p>
        </w:tc>
        <w:tc>
          <w:tcPr>
            <w:tcW w:w="0" w:type="auto"/>
          </w:tcPr>
          <w:p w:rsidR="006C354F" w:rsidRDefault="006C354F" w:rsidP="006845F1">
            <w:pPr>
              <w:spacing w:before="120" w:after="120" w:line="360" w:lineRule="auto"/>
            </w:pPr>
            <w:r>
              <w:t>Art. 27</w:t>
            </w:r>
          </w:p>
        </w:tc>
      </w:tr>
      <w:tr w:rsidR="006C354F" w:rsidTr="006C354F">
        <w:tc>
          <w:tcPr>
            <w:tcW w:w="0" w:type="auto"/>
          </w:tcPr>
          <w:p w:rsidR="006C354F" w:rsidRDefault="006C354F" w:rsidP="006845F1">
            <w:pPr>
              <w:spacing w:before="120" w:after="120" w:line="360" w:lineRule="auto"/>
            </w:pPr>
            <w:r>
              <w:t>Art. 27</w:t>
            </w:r>
          </w:p>
        </w:tc>
        <w:tc>
          <w:tcPr>
            <w:tcW w:w="0" w:type="auto"/>
          </w:tcPr>
          <w:p w:rsidR="006C354F" w:rsidRDefault="006C354F" w:rsidP="006845F1">
            <w:pPr>
              <w:spacing w:before="120" w:after="120" w:line="360" w:lineRule="auto"/>
            </w:pPr>
            <w:r>
              <w:t></w:t>
            </w:r>
          </w:p>
        </w:tc>
      </w:tr>
      <w:tr w:rsidR="006C354F" w:rsidTr="006C354F">
        <w:tc>
          <w:tcPr>
            <w:tcW w:w="0" w:type="auto"/>
          </w:tcPr>
          <w:p w:rsidR="006C354F" w:rsidRDefault="006C354F" w:rsidP="006845F1">
            <w:pPr>
              <w:spacing w:before="120" w:after="120" w:line="360" w:lineRule="auto"/>
            </w:pPr>
            <w:r>
              <w:t>Art. 28</w:t>
            </w:r>
          </w:p>
        </w:tc>
        <w:tc>
          <w:tcPr>
            <w:tcW w:w="0" w:type="auto"/>
          </w:tcPr>
          <w:p w:rsidR="006C354F" w:rsidRDefault="006C354F" w:rsidP="006845F1">
            <w:pPr>
              <w:spacing w:before="120" w:after="120" w:line="360" w:lineRule="auto"/>
            </w:pPr>
            <w:r>
              <w:t></w:t>
            </w:r>
          </w:p>
        </w:tc>
      </w:tr>
      <w:tr w:rsidR="006C354F" w:rsidTr="006C354F">
        <w:tc>
          <w:tcPr>
            <w:tcW w:w="0" w:type="auto"/>
          </w:tcPr>
          <w:p w:rsidR="006C354F" w:rsidRDefault="006C354F" w:rsidP="006845F1">
            <w:pPr>
              <w:spacing w:before="120" w:after="120" w:line="360" w:lineRule="auto"/>
            </w:pPr>
            <w:r>
              <w:t>Art. 29</w:t>
            </w:r>
          </w:p>
        </w:tc>
        <w:tc>
          <w:tcPr>
            <w:tcW w:w="0" w:type="auto"/>
          </w:tcPr>
          <w:p w:rsidR="006C354F" w:rsidRDefault="006C354F" w:rsidP="006845F1">
            <w:pPr>
              <w:spacing w:before="120" w:after="120" w:line="360" w:lineRule="auto"/>
            </w:pPr>
            <w:r>
              <w:t>Art. 32</w:t>
            </w:r>
          </w:p>
        </w:tc>
      </w:tr>
      <w:tr w:rsidR="006C354F" w:rsidTr="006C354F">
        <w:tc>
          <w:tcPr>
            <w:tcW w:w="0" w:type="auto"/>
          </w:tcPr>
          <w:p w:rsidR="006C354F" w:rsidRDefault="006C354F" w:rsidP="006845F1">
            <w:pPr>
              <w:spacing w:before="120" w:after="120" w:line="360" w:lineRule="auto"/>
            </w:pPr>
            <w:r>
              <w:t>Art. 30</w:t>
            </w:r>
          </w:p>
        </w:tc>
        <w:tc>
          <w:tcPr>
            <w:tcW w:w="0" w:type="auto"/>
          </w:tcPr>
          <w:p w:rsidR="006C354F" w:rsidRDefault="006C354F" w:rsidP="006845F1">
            <w:pPr>
              <w:spacing w:before="120" w:after="120" w:line="360" w:lineRule="auto"/>
            </w:pPr>
            <w:r>
              <w:t>Art. 33</w:t>
            </w:r>
          </w:p>
        </w:tc>
      </w:tr>
      <w:tr w:rsidR="006C354F" w:rsidTr="006C354F">
        <w:tc>
          <w:tcPr>
            <w:tcW w:w="0" w:type="auto"/>
          </w:tcPr>
          <w:p w:rsidR="006C354F" w:rsidRDefault="006C354F" w:rsidP="006845F1">
            <w:pPr>
              <w:spacing w:before="120" w:after="120" w:line="360" w:lineRule="auto"/>
            </w:pPr>
            <w:r>
              <w:t>Załącznik I</w:t>
            </w:r>
          </w:p>
        </w:tc>
        <w:tc>
          <w:tcPr>
            <w:tcW w:w="0" w:type="auto"/>
          </w:tcPr>
          <w:p w:rsidR="006C354F" w:rsidRDefault="006C354F" w:rsidP="006845F1">
            <w:pPr>
              <w:spacing w:before="120" w:after="120" w:line="360" w:lineRule="auto"/>
            </w:pPr>
            <w:r>
              <w:t>Załącznik I</w:t>
            </w:r>
          </w:p>
        </w:tc>
      </w:tr>
      <w:tr w:rsidR="006C354F" w:rsidTr="006C354F">
        <w:tc>
          <w:tcPr>
            <w:tcW w:w="0" w:type="auto"/>
          </w:tcPr>
          <w:p w:rsidR="006C354F" w:rsidRDefault="006C354F" w:rsidP="006845F1">
            <w:pPr>
              <w:spacing w:before="120" w:after="120" w:line="360" w:lineRule="auto"/>
            </w:pPr>
            <w:r>
              <w:t>załącznik II</w:t>
            </w:r>
          </w:p>
        </w:tc>
        <w:tc>
          <w:tcPr>
            <w:tcW w:w="0" w:type="auto"/>
          </w:tcPr>
          <w:p w:rsidR="006C354F" w:rsidRDefault="006C354F" w:rsidP="006845F1">
            <w:pPr>
              <w:spacing w:before="120" w:after="120" w:line="360" w:lineRule="auto"/>
            </w:pPr>
            <w:r>
              <w:t>załącznik II</w:t>
            </w:r>
          </w:p>
        </w:tc>
      </w:tr>
      <w:tr w:rsidR="006C354F" w:rsidTr="006C354F">
        <w:tc>
          <w:tcPr>
            <w:tcW w:w="0" w:type="auto"/>
          </w:tcPr>
          <w:p w:rsidR="006C354F" w:rsidRDefault="006C354F" w:rsidP="006845F1">
            <w:pPr>
              <w:spacing w:before="120" w:after="120" w:line="360" w:lineRule="auto"/>
            </w:pPr>
            <w:r>
              <w:lastRenderedPageBreak/>
              <w:t>Załącznik III</w:t>
            </w:r>
          </w:p>
        </w:tc>
        <w:tc>
          <w:tcPr>
            <w:tcW w:w="0" w:type="auto"/>
          </w:tcPr>
          <w:p w:rsidR="006C354F" w:rsidRDefault="006C354F" w:rsidP="006845F1">
            <w:pPr>
              <w:spacing w:before="120" w:after="120" w:line="360" w:lineRule="auto"/>
            </w:pPr>
            <w:r>
              <w:t>Załącznik III</w:t>
            </w:r>
          </w:p>
        </w:tc>
      </w:tr>
      <w:tr w:rsidR="006C354F" w:rsidTr="006C354F">
        <w:tc>
          <w:tcPr>
            <w:tcW w:w="0" w:type="auto"/>
          </w:tcPr>
          <w:p w:rsidR="006C354F" w:rsidRDefault="006C354F" w:rsidP="006845F1">
            <w:pPr>
              <w:spacing w:before="120" w:after="120" w:line="360" w:lineRule="auto"/>
            </w:pPr>
            <w:r>
              <w:t>załącznik IV</w:t>
            </w:r>
          </w:p>
        </w:tc>
        <w:tc>
          <w:tcPr>
            <w:tcW w:w="0" w:type="auto"/>
          </w:tcPr>
          <w:p w:rsidR="006C354F" w:rsidRDefault="006C354F" w:rsidP="006845F1">
            <w:pPr>
              <w:spacing w:before="120" w:after="120" w:line="360" w:lineRule="auto"/>
            </w:pPr>
            <w:r>
              <w:t>załącznik IV</w:t>
            </w:r>
          </w:p>
        </w:tc>
      </w:tr>
      <w:tr w:rsidR="006C354F" w:rsidTr="006C354F">
        <w:tc>
          <w:tcPr>
            <w:tcW w:w="0" w:type="auto"/>
          </w:tcPr>
          <w:p w:rsidR="006C354F" w:rsidRDefault="006C354F" w:rsidP="006845F1">
            <w:pPr>
              <w:spacing w:before="120" w:after="120" w:line="360" w:lineRule="auto"/>
            </w:pPr>
            <w:r>
              <w:t>Załącznik V</w:t>
            </w:r>
          </w:p>
        </w:tc>
        <w:tc>
          <w:tcPr>
            <w:tcW w:w="0" w:type="auto"/>
          </w:tcPr>
          <w:p w:rsidR="006C354F" w:rsidRDefault="006C354F" w:rsidP="006845F1">
            <w:pPr>
              <w:spacing w:before="120" w:after="120" w:line="360" w:lineRule="auto"/>
            </w:pPr>
            <w:r>
              <w:t>Załącznik V</w:t>
            </w:r>
          </w:p>
        </w:tc>
      </w:tr>
      <w:tr w:rsidR="006C354F" w:rsidTr="006C354F">
        <w:tc>
          <w:tcPr>
            <w:tcW w:w="0" w:type="auto"/>
          </w:tcPr>
          <w:p w:rsidR="006C354F" w:rsidRDefault="006C354F" w:rsidP="006845F1">
            <w:pPr>
              <w:spacing w:before="120" w:after="120" w:line="360" w:lineRule="auto"/>
            </w:pPr>
            <w:r>
              <w:t>załącznik VI</w:t>
            </w:r>
          </w:p>
        </w:tc>
        <w:tc>
          <w:tcPr>
            <w:tcW w:w="0" w:type="auto"/>
          </w:tcPr>
          <w:p w:rsidR="006C354F" w:rsidRDefault="006C354F" w:rsidP="006845F1">
            <w:pPr>
              <w:spacing w:before="120" w:after="120" w:line="360" w:lineRule="auto"/>
            </w:pPr>
            <w:r>
              <w:t>załącznik VI</w:t>
            </w:r>
          </w:p>
        </w:tc>
      </w:tr>
      <w:tr w:rsidR="006C354F" w:rsidTr="006C354F">
        <w:tc>
          <w:tcPr>
            <w:tcW w:w="0" w:type="auto"/>
          </w:tcPr>
          <w:p w:rsidR="006C354F" w:rsidRDefault="006C354F" w:rsidP="006845F1">
            <w:pPr>
              <w:spacing w:before="120" w:after="120" w:line="360" w:lineRule="auto"/>
            </w:pPr>
            <w:r>
              <w:t>załącznik VII</w:t>
            </w:r>
          </w:p>
        </w:tc>
        <w:tc>
          <w:tcPr>
            <w:tcW w:w="0" w:type="auto"/>
          </w:tcPr>
          <w:p w:rsidR="006C354F" w:rsidRDefault="006C354F" w:rsidP="006845F1">
            <w:pPr>
              <w:spacing w:before="120" w:after="120" w:line="360" w:lineRule="auto"/>
            </w:pPr>
            <w:r>
              <w:t>Art. 8</w:t>
            </w:r>
          </w:p>
        </w:tc>
      </w:tr>
      <w:tr w:rsidR="006C354F" w:rsidTr="006C354F">
        <w:tc>
          <w:tcPr>
            <w:tcW w:w="0" w:type="auto"/>
          </w:tcPr>
          <w:p w:rsidR="006C354F" w:rsidRDefault="006C354F" w:rsidP="006845F1">
            <w:pPr>
              <w:spacing w:before="120" w:after="120" w:line="360" w:lineRule="auto"/>
            </w:pPr>
            <w:r>
              <w:t>Załącznik VIII</w:t>
            </w:r>
          </w:p>
        </w:tc>
        <w:tc>
          <w:tcPr>
            <w:tcW w:w="0" w:type="auto"/>
          </w:tcPr>
          <w:p w:rsidR="006C354F" w:rsidRDefault="006C354F" w:rsidP="006845F1">
            <w:pPr>
              <w:spacing w:before="120" w:after="120" w:line="360" w:lineRule="auto"/>
            </w:pPr>
            <w:r>
              <w:t>Art. 14</w:t>
            </w:r>
          </w:p>
        </w:tc>
      </w:tr>
    </w:tbl>
    <w:p w:rsidR="006C354F" w:rsidRPr="001A374B" w:rsidRDefault="006C354F" w:rsidP="006845F1">
      <w:pPr>
        <w:pStyle w:val="NormalHanging12a"/>
        <w:spacing w:before="120" w:after="120" w:line="360" w:lineRule="auto"/>
      </w:pPr>
    </w:p>
    <w:sectPr w:rsidR="006C354F" w:rsidRPr="001A374B">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EA4" w:rsidRPr="001A374B" w:rsidRDefault="006C6EA4">
      <w:r w:rsidRPr="001A374B">
        <w:separator/>
      </w:r>
    </w:p>
  </w:endnote>
  <w:endnote w:type="continuationSeparator" w:id="0">
    <w:p w:rsidR="006C6EA4" w:rsidRPr="001A374B" w:rsidRDefault="006C6EA4">
      <w:r w:rsidRPr="001A37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6EA4" w:rsidRDefault="006C6EA4">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6EA4" w:rsidRPr="006C354F" w:rsidRDefault="006C6EA4" w:rsidP="006C35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6EA4" w:rsidRDefault="006C6EA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EA4" w:rsidRPr="001A374B" w:rsidRDefault="006C6EA4">
      <w:r w:rsidRPr="001A374B">
        <w:separator/>
      </w:r>
    </w:p>
  </w:footnote>
  <w:footnote w:type="continuationSeparator" w:id="0">
    <w:p w:rsidR="006C6EA4" w:rsidRPr="001A374B" w:rsidRDefault="006C6EA4">
      <w:r w:rsidRPr="001A374B">
        <w:continuationSeparator/>
      </w:r>
    </w:p>
  </w:footnote>
  <w:footnote w:id="1">
    <w:p w:rsidR="006C6EA4" w:rsidRPr="00BB2D38" w:rsidRDefault="006C6EA4" w:rsidP="001A374B">
      <w:pPr>
        <w:pStyle w:val="FootnoteText"/>
        <w:ind w:left="567" w:hanging="567"/>
        <w:rPr>
          <w:sz w:val="24"/>
          <w:szCs w:val="24"/>
          <w:lang w:val="fi-FI"/>
        </w:rPr>
      </w:pPr>
      <w:r w:rsidRPr="001A374B">
        <w:rPr>
          <w:rStyle w:val="FootnoteReference"/>
          <w:sz w:val="24"/>
          <w:szCs w:val="24"/>
          <w:lang w:val="pl-PL"/>
        </w:rPr>
        <w:footnoteRef/>
      </w:r>
      <w:r w:rsidRPr="00BB2D38">
        <w:rPr>
          <w:rStyle w:val="Emphasis"/>
          <w:color w:val="333333"/>
          <w:sz w:val="24"/>
          <w:shd w:val="clear" w:color="auto" w:fill="FFFFFF"/>
          <w:lang w:val="fi-FI"/>
        </w:rPr>
        <w:t xml:space="preserve"> </w:t>
      </w:r>
      <w:r w:rsidRPr="00BB2D38">
        <w:rPr>
          <w:rStyle w:val="Emphasis"/>
          <w:color w:val="333333"/>
          <w:sz w:val="24"/>
          <w:shd w:val="clear" w:color="auto" w:fill="FFFFFF"/>
          <w:lang w:val="fi-FI"/>
        </w:rPr>
        <w:tab/>
      </w:r>
      <w:proofErr w:type="spellStart"/>
      <w:r w:rsidRPr="00BB2D38">
        <w:rPr>
          <w:rStyle w:val="Emphasis"/>
          <w:i w:val="0"/>
          <w:color w:val="333333"/>
          <w:sz w:val="24"/>
          <w:shd w:val="clear" w:color="auto" w:fill="FFFFFF"/>
          <w:lang w:val="fi-FI"/>
        </w:rPr>
        <w:t>Dz.U</w:t>
      </w:r>
      <w:proofErr w:type="spellEnd"/>
      <w:r w:rsidRPr="00BB2D38">
        <w:rPr>
          <w:rStyle w:val="Emphasis"/>
          <w:i w:val="0"/>
          <w:color w:val="333333"/>
          <w:sz w:val="24"/>
          <w:shd w:val="clear" w:color="auto" w:fill="FFFFFF"/>
          <w:lang w:val="fi-FI"/>
        </w:rPr>
        <w:t>. C, C/2024/1583, 5.3.2024, ELI:</w:t>
      </w:r>
      <w:r w:rsidRPr="00BB2D38">
        <w:rPr>
          <w:rStyle w:val="Emphasis"/>
          <w:color w:val="333333"/>
          <w:sz w:val="24"/>
          <w:shd w:val="clear" w:color="auto" w:fill="FFFFFF"/>
          <w:lang w:val="fi-FI"/>
        </w:rPr>
        <w:t xml:space="preserve"> </w:t>
      </w:r>
      <w:hyperlink r:id="rId1" w:history="1">
        <w:r w:rsidRPr="00BB2D38">
          <w:rPr>
            <w:rStyle w:val="Hyperlink"/>
            <w:sz w:val="24"/>
            <w:shd w:val="clear" w:color="auto" w:fill="FFFFFF"/>
            <w:lang w:val="fi-FI"/>
          </w:rPr>
          <w:t>http://data.europa.eu/eli/C/2024/1583/oj</w:t>
        </w:r>
      </w:hyperlink>
      <w:r w:rsidRPr="00BB2D38">
        <w:rPr>
          <w:sz w:val="24"/>
          <w:lang w:val="fi-FI"/>
        </w:rPr>
        <w:t>.</w:t>
      </w:r>
    </w:p>
  </w:footnote>
  <w:footnote w:id="2">
    <w:p w:rsidR="006C6EA4" w:rsidRPr="006C354F" w:rsidRDefault="006C6EA4" w:rsidP="006C354F">
      <w:pPr>
        <w:pStyle w:val="FootnoteTextForceStyle"/>
        <w:rPr>
          <w:lang w:val="pl-PL"/>
        </w:rPr>
      </w:pPr>
      <w:r>
        <w:rPr>
          <w:vertAlign w:val="superscript"/>
        </w:rPr>
        <w:footnoteRef/>
      </w:r>
      <w:r w:rsidRPr="006C354F">
        <w:rPr>
          <w:lang w:val="pl-PL"/>
        </w:rPr>
        <w:tab/>
        <w:t>Dz.U. C 199 z 14.7.1999, s. 1.</w:t>
      </w:r>
    </w:p>
  </w:footnote>
  <w:footnote w:id="3">
    <w:p w:rsidR="006C6EA4" w:rsidRPr="006C354F" w:rsidRDefault="006C6EA4" w:rsidP="006C354F">
      <w:pPr>
        <w:pStyle w:val="FootnoteTextForceStyle"/>
        <w:rPr>
          <w:lang w:val="pl-PL"/>
        </w:rPr>
      </w:pPr>
      <w:r>
        <w:rPr>
          <w:vertAlign w:val="superscript"/>
        </w:rPr>
        <w:footnoteRef/>
      </w:r>
      <w:r w:rsidRPr="006C354F">
        <w:rPr>
          <w:lang w:val="pl-PL"/>
        </w:rPr>
        <w:tab/>
        <w:t>Dz.U. C 329 z 17.11.1999, s. 15.</w:t>
      </w:r>
    </w:p>
  </w:footnote>
  <w:footnote w:id="4">
    <w:p w:rsidR="006C6EA4" w:rsidRPr="006C354F" w:rsidRDefault="006C6EA4" w:rsidP="006C354F">
      <w:pPr>
        <w:pStyle w:val="FootnoteTextForceStyle"/>
        <w:rPr>
          <w:lang w:val="pl-PL"/>
        </w:rPr>
      </w:pPr>
      <w:r>
        <w:rPr>
          <w:vertAlign w:val="superscript"/>
        </w:rPr>
        <w:footnoteRef/>
      </w:r>
      <w:r w:rsidRPr="006C354F">
        <w:rPr>
          <w:lang w:val="pl-PL"/>
        </w:rPr>
        <w:tab/>
        <w:t>Stanowisko Parlamentu Europejskiego z dnia … r. i stanowisko Rady w pierwszym czytaniu z dnia ... Stanowisko Parlamentu Europejskiego z dnia … r. i decyzja Rady z dnia ...</w:t>
      </w:r>
    </w:p>
  </w:footnote>
  <w:footnote w:id="5">
    <w:p w:rsidR="006C6EA4" w:rsidRPr="006C354F" w:rsidRDefault="006C6EA4" w:rsidP="006C354F">
      <w:pPr>
        <w:pStyle w:val="FootnoteTextForceStyle"/>
        <w:rPr>
          <w:lang w:val="pl-PL"/>
        </w:rPr>
      </w:pPr>
      <w:r>
        <w:rPr>
          <w:vertAlign w:val="superscript"/>
        </w:rPr>
        <w:footnoteRef/>
      </w:r>
      <w:r w:rsidRPr="006C354F">
        <w:rPr>
          <w:lang w:val="pl-PL"/>
        </w:rPr>
        <w:tab/>
        <w:t xml:space="preserve">Dyrektywa Rady 1999/105/WE z dnia 22 grudnia 1999 r. w sprawie obrotu leśnym materiałem </w:t>
      </w:r>
      <w:proofErr w:type="spellStart"/>
      <w:r w:rsidRPr="006C354F">
        <w:rPr>
          <w:lang w:val="pl-PL"/>
        </w:rPr>
        <w:t>rozmnożeniowym</w:t>
      </w:r>
      <w:proofErr w:type="spellEnd"/>
      <w:r w:rsidRPr="006C354F">
        <w:rPr>
          <w:lang w:val="pl-PL"/>
        </w:rPr>
        <w:t xml:space="preserve"> (Dz.U. L 11 z 15.1.2000, s. 17).</w:t>
      </w:r>
    </w:p>
  </w:footnote>
  <w:footnote w:id="6">
    <w:p w:rsidR="006C6EA4" w:rsidRPr="006C354F" w:rsidRDefault="006C6EA4" w:rsidP="006C354F">
      <w:pPr>
        <w:pStyle w:val="FootnoteTextForceStyle"/>
        <w:rPr>
          <w:lang w:val="pl-PL"/>
        </w:rPr>
      </w:pPr>
      <w:r>
        <w:rPr>
          <w:vertAlign w:val="superscript"/>
        </w:rPr>
        <w:footnoteRef/>
      </w:r>
      <w:r w:rsidRPr="006C354F">
        <w:rPr>
          <w:lang w:val="pl-PL"/>
        </w:rPr>
        <w:tab/>
        <w:t xml:space="preserve">Decyzja Rady OECD ustanawiająca system certyfikacji leśnego materiału </w:t>
      </w:r>
      <w:proofErr w:type="spellStart"/>
      <w:r w:rsidRPr="006C354F">
        <w:rPr>
          <w:lang w:val="pl-PL"/>
        </w:rPr>
        <w:t>rozmnożeniowego</w:t>
      </w:r>
      <w:proofErr w:type="spellEnd"/>
      <w:r w:rsidRPr="006C354F">
        <w:rPr>
          <w:lang w:val="pl-PL"/>
        </w:rPr>
        <w:t xml:space="preserve"> przemieszczanego w handlu międzynarodowym [OECD/LEGAL/0355].</w:t>
      </w:r>
    </w:p>
  </w:footnote>
  <w:footnote w:id="7">
    <w:p w:rsidR="006C6EA4" w:rsidRPr="006C354F" w:rsidRDefault="006C6EA4" w:rsidP="006C354F">
      <w:pPr>
        <w:pStyle w:val="FootnoteTextForceStyle"/>
        <w:rPr>
          <w:lang w:val="pl-PL"/>
        </w:rPr>
      </w:pPr>
      <w:r>
        <w:rPr>
          <w:vertAlign w:val="superscript"/>
        </w:rPr>
        <w:footnoteRef/>
      </w:r>
      <w:r w:rsidRPr="006C354F">
        <w:rPr>
          <w:lang w:val="pl-PL"/>
        </w:rPr>
        <w:tab/>
        <w:t xml:space="preserve">Komunikat Komisji do Parlamentu Europejskiego, Rady Europejskiej, Rady, Europejskiego Komitetu Ekonomiczno-Społecznego i Komitetu Regionów „Europejski Zielony Ład”, (COM(2019) 640 </w:t>
      </w:r>
      <w:proofErr w:type="spellStart"/>
      <w:r w:rsidRPr="006C354F">
        <w:rPr>
          <w:lang w:val="pl-PL"/>
        </w:rPr>
        <w:t>final</w:t>
      </w:r>
      <w:proofErr w:type="spellEnd"/>
      <w:r w:rsidRPr="006C354F">
        <w:rPr>
          <w:lang w:val="pl-PL"/>
        </w:rPr>
        <w:t>).</w:t>
      </w:r>
    </w:p>
  </w:footnote>
  <w:footnote w:id="8">
    <w:p w:rsidR="006C6EA4" w:rsidRPr="006C354F" w:rsidRDefault="006C6EA4" w:rsidP="006C354F">
      <w:pPr>
        <w:pStyle w:val="FootnoteTextForceStyle"/>
        <w:rPr>
          <w:lang w:val="pl-PL"/>
        </w:rPr>
      </w:pPr>
      <w:r>
        <w:rPr>
          <w:vertAlign w:val="superscript"/>
        </w:rPr>
        <w:footnoteRef/>
      </w:r>
      <w:r w:rsidRPr="006C354F">
        <w:rPr>
          <w:lang w:val="pl-PL"/>
        </w:rPr>
        <w:tab/>
        <w:t>Rozporządzenie Parlamentu Europejskiego i Rady (UE) 2021/1119 z dnia 30 czerwca 2021 r. w sprawie ustanowienia ram na potrzeby osiągnięcia neutralności klimatycznej i zmiany rozporządzeń (WE) nr 401/2009 i (UE) 2018/1999 (Europejskie prawo o klimacie) (Dz.U. L 243 z 9.7.2021, s. 1).</w:t>
      </w:r>
    </w:p>
  </w:footnote>
  <w:footnote w:id="9">
    <w:p w:rsidR="006C6EA4" w:rsidRPr="006C354F" w:rsidRDefault="006C6EA4" w:rsidP="006C354F">
      <w:pPr>
        <w:pStyle w:val="FootnoteTextForceStyle"/>
        <w:rPr>
          <w:lang w:val="pl-PL"/>
        </w:rPr>
      </w:pPr>
      <w:r>
        <w:rPr>
          <w:vertAlign w:val="superscript"/>
        </w:rPr>
        <w:footnoteRef/>
      </w:r>
      <w:r w:rsidRPr="006C354F">
        <w:rPr>
          <w:lang w:val="pl-PL"/>
        </w:rPr>
        <w:tab/>
        <w:t xml:space="preserve">Komunikat Komisji do Parlamentu Europejskiego, Rady, Europejskiego Komitetu Ekonomiczno-Społecznego i Komitetu Regionów „Budując Europę odporną na zmianę klimatu – nowa Strategia w zakresie przystosowania do zmiany klimatu” (COM(2021) 82 </w:t>
      </w:r>
      <w:proofErr w:type="spellStart"/>
      <w:r w:rsidRPr="006C354F">
        <w:rPr>
          <w:lang w:val="pl-PL"/>
        </w:rPr>
        <w:t>final</w:t>
      </w:r>
      <w:proofErr w:type="spellEnd"/>
      <w:r w:rsidRPr="006C354F">
        <w:rPr>
          <w:lang w:val="pl-PL"/>
        </w:rPr>
        <w:t>).</w:t>
      </w:r>
    </w:p>
  </w:footnote>
  <w:footnote w:id="10">
    <w:p w:rsidR="006C6EA4" w:rsidRPr="006C354F" w:rsidRDefault="006C6EA4" w:rsidP="006C354F">
      <w:pPr>
        <w:pStyle w:val="FootnoteTextForceStyle"/>
        <w:rPr>
          <w:lang w:val="pl-PL"/>
        </w:rPr>
      </w:pPr>
      <w:r>
        <w:rPr>
          <w:vertAlign w:val="superscript"/>
        </w:rPr>
        <w:footnoteRef/>
      </w:r>
      <w:r w:rsidRPr="006C354F">
        <w:rPr>
          <w:lang w:val="pl-PL"/>
        </w:rPr>
        <w:tab/>
        <w:t xml:space="preserve">Komunikat Komisji do Parlamentu Europejskiego, Rady Europejskiej, Rady, Europejskiego Komitetu Ekonomiczno-Społecznego i Komitetu Regionów, „Nowa strategia leśna UE 2030” (COM(2021) 572 </w:t>
      </w:r>
      <w:proofErr w:type="spellStart"/>
      <w:r w:rsidRPr="006C354F">
        <w:rPr>
          <w:lang w:val="pl-PL"/>
        </w:rPr>
        <w:t>final</w:t>
      </w:r>
      <w:proofErr w:type="spellEnd"/>
      <w:r w:rsidRPr="006C354F">
        <w:rPr>
          <w:lang w:val="pl-PL"/>
        </w:rPr>
        <w:t>).</w:t>
      </w:r>
    </w:p>
  </w:footnote>
  <w:footnote w:id="11">
    <w:p w:rsidR="006C6EA4" w:rsidRPr="006C354F" w:rsidRDefault="006C6EA4" w:rsidP="006C354F">
      <w:pPr>
        <w:pStyle w:val="FootnoteTextForceStyle"/>
        <w:rPr>
          <w:lang w:val="pl-PL"/>
        </w:rPr>
      </w:pPr>
      <w:r>
        <w:rPr>
          <w:vertAlign w:val="superscript"/>
        </w:rPr>
        <w:footnoteRef/>
      </w:r>
      <w:r w:rsidRPr="006C354F">
        <w:rPr>
          <w:lang w:val="pl-PL"/>
        </w:rPr>
        <w:tab/>
        <w:t xml:space="preserve">Komunikat Komisji do Parlamentu Europejskiego, Rady, Europejskiego Komitetu Ekonomiczno-Społecznego i Komitetu Regionów „Unijna strategia na rzecz bioróżnorodności 2030 – Przywracanie przyrody do naszego życia” (COM(2020) 380 </w:t>
      </w:r>
      <w:proofErr w:type="spellStart"/>
      <w:r w:rsidRPr="006C354F">
        <w:rPr>
          <w:lang w:val="pl-PL"/>
        </w:rPr>
        <w:t>final</w:t>
      </w:r>
      <w:proofErr w:type="spellEnd"/>
      <w:r w:rsidRPr="006C354F">
        <w:rPr>
          <w:lang w:val="pl-PL"/>
        </w:rPr>
        <w:t>).</w:t>
      </w:r>
    </w:p>
  </w:footnote>
  <w:footnote w:id="12">
    <w:p w:rsidR="006C6EA4" w:rsidRPr="006C354F" w:rsidRDefault="006C6EA4" w:rsidP="006C354F">
      <w:pPr>
        <w:pStyle w:val="FootnoteTextForceStyle"/>
        <w:rPr>
          <w:lang w:val="pl-PL"/>
        </w:rPr>
      </w:pPr>
      <w:r>
        <w:rPr>
          <w:vertAlign w:val="superscript"/>
        </w:rPr>
        <w:footnoteRef/>
      </w:r>
      <w:r w:rsidRPr="006C354F">
        <w:rPr>
          <w:lang w:val="pl-PL"/>
        </w:rPr>
        <w:tab/>
        <w:t>Dyrektywa Parlamentu Europejskiego i Rady 2001/18/WE z dnia 12 marca 2001 r. w sprawie zamierzonego uwalniania do środowiska organizmów zmodyfikowanych genetycznie i uchylająca dyrektywę Rady 90/220/EWG (Dz.U. L 106 z 17.4.2001, s. 1).</w:t>
      </w:r>
    </w:p>
  </w:footnote>
  <w:footnote w:id="13">
    <w:p w:rsidR="006C6EA4" w:rsidRPr="006C354F" w:rsidRDefault="006C6EA4" w:rsidP="006C354F">
      <w:pPr>
        <w:pStyle w:val="FootnoteTextForceStyle"/>
        <w:rPr>
          <w:lang w:val="pl-PL"/>
        </w:rPr>
      </w:pPr>
      <w:r>
        <w:rPr>
          <w:vertAlign w:val="superscript"/>
        </w:rPr>
        <w:footnoteRef/>
      </w:r>
      <w:r w:rsidRPr="006C354F">
        <w:rPr>
          <w:lang w:val="pl-PL"/>
        </w:rPr>
        <w:tab/>
        <w:t>Rozporządzenie (WE) nr 1829/2003 Parlamentu Europejskiego i Rady z dnia 22 września 2003 r. w sprawie genetycznie zmodyfikowanej żywności i paszy (Dz.U. L 268 z 18.10.2003, s. 1).</w:t>
      </w:r>
    </w:p>
  </w:footnote>
  <w:footnote w:id="14">
    <w:p w:rsidR="006C6EA4" w:rsidRPr="006C354F" w:rsidRDefault="006C6EA4" w:rsidP="006C354F">
      <w:pPr>
        <w:pStyle w:val="FootnoteTextForceStyle"/>
        <w:rPr>
          <w:lang w:val="pl-PL"/>
        </w:rPr>
      </w:pPr>
      <w:r>
        <w:rPr>
          <w:vertAlign w:val="superscript"/>
        </w:rPr>
        <w:footnoteRef/>
      </w:r>
      <w:r w:rsidRPr="006C354F">
        <w:rPr>
          <w:lang w:val="pl-PL"/>
        </w:rPr>
        <w:tab/>
        <w:t>Rozporządzenie Parlamentu Europejskiego i Rady (UE) .../... (Dz.U. ..., s. ...).</w:t>
      </w:r>
    </w:p>
  </w:footnote>
  <w:footnote w:id="15">
    <w:p w:rsidR="006C6EA4" w:rsidRPr="006C354F" w:rsidRDefault="006C6EA4" w:rsidP="006C354F">
      <w:pPr>
        <w:pStyle w:val="FootnoteTextForceStyle"/>
        <w:rPr>
          <w:lang w:val="pl-PL"/>
        </w:rPr>
      </w:pPr>
      <w:r>
        <w:rPr>
          <w:vertAlign w:val="superscript"/>
        </w:rPr>
        <w:footnoteRef/>
      </w:r>
      <w:r w:rsidRPr="006C354F">
        <w:rPr>
          <w:lang w:val="pl-PL"/>
        </w:rPr>
        <w:tab/>
        <w:t xml:space="preserve">Rozporządzenie Parlamentu Europejskiego i Rady (UE) 2016/2031 z dnia 26 października 2016 r. w sprawie środków ochronnych przeciwko </w:t>
      </w:r>
      <w:proofErr w:type="spellStart"/>
      <w:r w:rsidRPr="006C354F">
        <w:rPr>
          <w:lang w:val="pl-PL"/>
        </w:rPr>
        <w:t>agrofagom</w:t>
      </w:r>
      <w:proofErr w:type="spellEnd"/>
      <w:r w:rsidRPr="006C354F">
        <w:rPr>
          <w:lang w:val="pl-PL"/>
        </w:rPr>
        <w:t xml:space="preserve"> roślin, zmieniające rozporządzenia Parlamentu Europejskiego i Rady (UE) nr 228/2013, (UE) nr 652/2014 i (UE) nr 1143/2014 oraz uchylające dyrektywy Rady 69/464/EWG, 74/647/EWG, 93/85/EWG, 98/57/WE, 2000/29/WE, 2006/91/WE i 2007/33/WE (Dz.U. L 317 z 23.11.2016, s. 4).</w:t>
      </w:r>
    </w:p>
  </w:footnote>
  <w:footnote w:id="16">
    <w:p w:rsidR="006C6EA4" w:rsidRPr="006C354F" w:rsidRDefault="006C6EA4" w:rsidP="006C354F">
      <w:pPr>
        <w:pStyle w:val="FootnoteTextForceStyle"/>
        <w:rPr>
          <w:lang w:val="pl-PL"/>
        </w:rPr>
      </w:pPr>
      <w:r>
        <w:rPr>
          <w:vertAlign w:val="superscript"/>
        </w:rPr>
        <w:footnoteRef/>
      </w:r>
      <w:r w:rsidRPr="006C354F">
        <w:rPr>
          <w:lang w:val="pl-PL"/>
        </w:rPr>
        <w:tab/>
        <w:t>Decyzja Parlamentu Europejskiego i Rady nr 1313/2013/UE z dnia 17 grudnia 2013 r. w sprawie Unijnego Mechanizmu Ochrony Ludności (Dz.U. L 347 z 20.12.2013, s. 924).</w:t>
      </w:r>
    </w:p>
  </w:footnote>
  <w:footnote w:id="17">
    <w:p w:rsidR="006C6EA4" w:rsidRPr="006C354F" w:rsidRDefault="006C6EA4" w:rsidP="006C354F">
      <w:pPr>
        <w:pStyle w:val="FootnoteTextForceStyle"/>
        <w:rPr>
          <w:lang w:val="pl-PL"/>
        </w:rPr>
      </w:pPr>
      <w:r>
        <w:rPr>
          <w:vertAlign w:val="superscript"/>
        </w:rPr>
        <w:footnoteRef/>
      </w:r>
      <w:r w:rsidRPr="006C354F">
        <w:rPr>
          <w:lang w:val="pl-PL"/>
        </w:rPr>
        <w:tab/>
        <w:t xml:space="preserve">Komunikat Komisji do Parlamentu Europejskiego, Rady, Europejskiego Komitetu Ekonomiczno-Społecznego i Komitetu Regionów „Cyfrowy kompas na 2030 r.: europejska droga w cyfrowej dekadzie (COM(2021) 118 </w:t>
      </w:r>
      <w:proofErr w:type="spellStart"/>
      <w:r w:rsidRPr="006C354F">
        <w:rPr>
          <w:lang w:val="pl-PL"/>
        </w:rPr>
        <w:t>final</w:t>
      </w:r>
      <w:proofErr w:type="spellEnd"/>
      <w:r w:rsidRPr="006C354F">
        <w:rPr>
          <w:lang w:val="pl-PL"/>
        </w:rPr>
        <w:t>).</w:t>
      </w:r>
    </w:p>
  </w:footnote>
  <w:footnote w:id="18">
    <w:p w:rsidR="006C6EA4" w:rsidRPr="006C354F" w:rsidRDefault="006C6EA4" w:rsidP="006C354F">
      <w:pPr>
        <w:pStyle w:val="FootnoteTextForceStyle"/>
        <w:rPr>
          <w:lang w:val="pl-PL"/>
        </w:rPr>
      </w:pPr>
      <w:r>
        <w:rPr>
          <w:vertAlign w:val="superscript"/>
        </w:rPr>
        <w:footnoteRef/>
      </w:r>
      <w:r w:rsidRPr="006C354F">
        <w:rPr>
          <w:lang w:val="pl-PL"/>
        </w:rPr>
        <w:tab/>
        <w:t>Rozporządzenie Parlamentu Europejskiego i Rady (UE) 2017/625 z dnia 15 marca 2017 r. w sprawie kontroli urzędowych i innych czynności urzędowych przeprowadzanych w celu zapewnienia stosowania prawa żywnościowego i paszowego oraz zasad dotyczących zdrowia i dobrostanu zwierząt, zdrowia roślin i środków ochrony roślin, zmieniające rozporządzenia Parlamentu Europejskiego i Rady (WE) nr 999/2001, (WE) nr 396/2005, (WE) nr 1069/2009, (WE) nr 1107/2009, (UE) nr 1151/2012, (UE) nr 652/2014, (UE) 2016/429 i (UE) 2016/2031, rozporządzenia Rady (WE) nr 1/2005 i (WE) nr 1099/2009 oraz dyrektywy Rady 98/58/WE, 1999/74/WE, 2007/43/WE, 2008/119/WE i 2008/120/WE, oraz uchylające rozporządzenia Parlamentu Europejskiego i Rady (WE) nr 854/2004 i (WE) nr 882/2004, dyrektywy Rady 89/608/EWG, 89/662/EWG, 90/425/EWG, 91/496/EWG, 96/23/WE, 96/93/WE i 97/78/WE oraz decyzję Rady 92/438/EWG (rozporządzenie w sprawie kontroli urzędowych) (Dz.U. L 95 z 7.4.2017, s. 1).</w:t>
      </w:r>
    </w:p>
  </w:footnote>
  <w:footnote w:id="19">
    <w:p w:rsidR="006C6EA4" w:rsidRPr="006C354F" w:rsidRDefault="006C6EA4" w:rsidP="006C354F">
      <w:pPr>
        <w:pStyle w:val="FootnoteTextForceStyle"/>
        <w:rPr>
          <w:lang w:val="pl-PL"/>
        </w:rPr>
      </w:pPr>
      <w:r>
        <w:rPr>
          <w:vertAlign w:val="superscript"/>
        </w:rPr>
        <w:footnoteRef/>
      </w:r>
      <w:r w:rsidRPr="006C354F">
        <w:rPr>
          <w:lang w:val="pl-PL"/>
        </w:rPr>
        <w:tab/>
        <w:t>Rozporządzenie Parlamentu Europejskiego i Rady (UE) 2018/848 z dnia 30 maja 2018 r. w sprawie produkcji ekologicznej i znakowania produktów ekologicznych i uchylające rozporządzenie Rady (WE) nr 834/2007 (Dz.U. L 150 z 14.6.2018, s. 1).</w:t>
      </w:r>
    </w:p>
  </w:footnote>
  <w:footnote w:id="20">
    <w:p w:rsidR="006C6EA4" w:rsidRDefault="006C6EA4" w:rsidP="006C354F">
      <w:pPr>
        <w:pStyle w:val="FootnoteTextForceStyle"/>
      </w:pPr>
      <w:r>
        <w:rPr>
          <w:vertAlign w:val="superscript"/>
        </w:rPr>
        <w:footnoteRef/>
      </w:r>
      <w:r>
        <w:tab/>
      </w:r>
      <w:proofErr w:type="spellStart"/>
      <w:r>
        <w:t>Dz.U</w:t>
      </w:r>
      <w:proofErr w:type="spellEnd"/>
      <w:r>
        <w:t>. L 123 z 12.5.2016, s. 1.</w:t>
      </w:r>
    </w:p>
  </w:footnote>
  <w:footnote w:id="21">
    <w:p w:rsidR="006C6EA4" w:rsidRDefault="006C6EA4" w:rsidP="006C354F">
      <w:pPr>
        <w:pStyle w:val="FootnoteTextForceStyle"/>
      </w:pPr>
      <w:r>
        <w:rPr>
          <w:vertAlign w:val="superscript"/>
        </w:rPr>
        <w:footnoteRef/>
      </w:r>
      <w:r>
        <w:tab/>
        <w:t>FAO (2020) Global Forest Resources Assessment Terms and definitions [</w:t>
      </w:r>
      <w:proofErr w:type="spellStart"/>
      <w:r>
        <w:t>Globalna</w:t>
      </w:r>
      <w:proofErr w:type="spellEnd"/>
      <w:r>
        <w:t xml:space="preserve"> </w:t>
      </w:r>
      <w:proofErr w:type="spellStart"/>
      <w:r>
        <w:t>ocena</w:t>
      </w:r>
      <w:proofErr w:type="spellEnd"/>
      <w:r>
        <w:t xml:space="preserve"> </w:t>
      </w:r>
      <w:proofErr w:type="spellStart"/>
      <w:r>
        <w:t>zasobów</w:t>
      </w:r>
      <w:proofErr w:type="spellEnd"/>
      <w:r>
        <w:t xml:space="preserve"> </w:t>
      </w:r>
      <w:proofErr w:type="spellStart"/>
      <w:r>
        <w:t>leśnych</w:t>
      </w:r>
      <w:proofErr w:type="spellEnd"/>
      <w:r>
        <w:t xml:space="preserve"> </w:t>
      </w:r>
      <w:proofErr w:type="spellStart"/>
      <w:r>
        <w:t>Terminy</w:t>
      </w:r>
      <w:proofErr w:type="spellEnd"/>
      <w:r>
        <w:t xml:space="preserve"> </w:t>
      </w:r>
      <w:proofErr w:type="spellStart"/>
      <w:r>
        <w:t>i</w:t>
      </w:r>
      <w:proofErr w:type="spellEnd"/>
      <w:r>
        <w:t xml:space="preserve"> </w:t>
      </w:r>
      <w:proofErr w:type="spellStart"/>
      <w:r>
        <w:t>definicje</w:t>
      </w:r>
      <w:proofErr w:type="spellEnd"/>
      <w:r>
        <w:t>]https://www.fao.org/3/I8661EN/i8661en.pdf</w:t>
      </w:r>
    </w:p>
  </w:footnote>
  <w:footnote w:id="22">
    <w:p w:rsidR="006C6EA4" w:rsidRDefault="006C6EA4" w:rsidP="006C354F">
      <w:pPr>
        <w:pStyle w:val="FootnoteTextForceStyle"/>
      </w:pPr>
      <w:r>
        <w:rPr>
          <w:vertAlign w:val="superscript"/>
        </w:rPr>
        <w:footnoteRef/>
      </w:r>
      <w:r>
        <w:tab/>
        <w:t>FAO (2020) Global Forest Resources Assessment Terms and definitions [</w:t>
      </w:r>
      <w:proofErr w:type="spellStart"/>
      <w:r>
        <w:t>Globalna</w:t>
      </w:r>
      <w:proofErr w:type="spellEnd"/>
      <w:r>
        <w:t xml:space="preserve"> </w:t>
      </w:r>
      <w:proofErr w:type="spellStart"/>
      <w:r>
        <w:t>ocena</w:t>
      </w:r>
      <w:proofErr w:type="spellEnd"/>
      <w:r>
        <w:t xml:space="preserve"> </w:t>
      </w:r>
      <w:proofErr w:type="spellStart"/>
      <w:r>
        <w:t>zasobów</w:t>
      </w:r>
      <w:proofErr w:type="spellEnd"/>
      <w:r>
        <w:t xml:space="preserve"> </w:t>
      </w:r>
      <w:proofErr w:type="spellStart"/>
      <w:r>
        <w:t>leśnych</w:t>
      </w:r>
      <w:proofErr w:type="spellEnd"/>
      <w:r>
        <w:t xml:space="preserve"> </w:t>
      </w:r>
      <w:proofErr w:type="spellStart"/>
      <w:r>
        <w:t>Terminy</w:t>
      </w:r>
      <w:proofErr w:type="spellEnd"/>
      <w:r>
        <w:t xml:space="preserve"> </w:t>
      </w:r>
      <w:proofErr w:type="spellStart"/>
      <w:r>
        <w:t>i</w:t>
      </w:r>
      <w:proofErr w:type="spellEnd"/>
      <w:r>
        <w:t xml:space="preserve"> </w:t>
      </w:r>
      <w:proofErr w:type="spellStart"/>
      <w:r>
        <w:t>definicje</w:t>
      </w:r>
      <w:proofErr w:type="spellEnd"/>
      <w:r>
        <w:t>]https://www.fao.org/3/I8661EN/i8661en.pdf</w:t>
      </w:r>
    </w:p>
  </w:footnote>
  <w:footnote w:id="23">
    <w:p w:rsidR="006C6EA4" w:rsidRPr="006C354F" w:rsidRDefault="006C6EA4" w:rsidP="006C354F">
      <w:pPr>
        <w:pStyle w:val="FootnoteTextForceStyle"/>
        <w:rPr>
          <w:lang w:val="pl-PL"/>
        </w:rPr>
      </w:pPr>
      <w:r>
        <w:rPr>
          <w:vertAlign w:val="superscript"/>
        </w:rPr>
        <w:footnoteRef/>
      </w:r>
      <w:r w:rsidRPr="006C354F">
        <w:rPr>
          <w:lang w:val="pl-PL"/>
        </w:rPr>
        <w:tab/>
        <w:t>Rozporządzenie Parlamentu Europejskiego i Rady (UE) .../... w sprawie roślin uzyskiwanych za pomocą niektórych nowych technik genomowych oraz pochodzących z tych roślin żywności i pasz, zmieniające dyrektywy 68/193/EWG, 1999/105/WE, 2002/53/WE, 2002/55/WE i rozporządzenie (UE) 2017/625 (Dz.U. ...).</w:t>
      </w:r>
    </w:p>
  </w:footnote>
  <w:footnote w:id="24">
    <w:p w:rsidR="006C6EA4" w:rsidRPr="006C354F" w:rsidRDefault="006C6EA4" w:rsidP="006C354F">
      <w:pPr>
        <w:pStyle w:val="FootnoteTextForceStyle"/>
        <w:rPr>
          <w:lang w:val="pl-PL"/>
        </w:rPr>
      </w:pPr>
      <w:r>
        <w:rPr>
          <w:vertAlign w:val="superscript"/>
        </w:rPr>
        <w:footnoteRef/>
      </w:r>
      <w:r w:rsidRPr="006C354F">
        <w:rPr>
          <w:lang w:val="pl-PL"/>
        </w:rPr>
        <w:tab/>
        <w:t>Dz.U. L 347 z 20.12.2013, s. 924.</w:t>
      </w:r>
    </w:p>
  </w:footnote>
  <w:footnote w:id="25">
    <w:p w:rsidR="006C6EA4" w:rsidRPr="006C354F" w:rsidRDefault="006C6EA4" w:rsidP="006C354F">
      <w:pPr>
        <w:pStyle w:val="FootnoteTextForceStyle"/>
        <w:rPr>
          <w:lang w:val="pl-PL"/>
        </w:rPr>
      </w:pPr>
      <w:r>
        <w:rPr>
          <w:vertAlign w:val="superscript"/>
        </w:rPr>
        <w:footnoteRef/>
      </w:r>
      <w:r w:rsidRPr="006C354F">
        <w:rPr>
          <w:lang w:val="pl-PL"/>
        </w:rPr>
        <w:tab/>
        <w:t>Rozporządzenie (WE) nr 178/2002 Parlamentu Europejskiego i Rady z dnia 28 stycznia 2002 r. ustanawiające ogólne zasady i wymagania prawa żywnościowego, powołujące Europejski Urząd ds. Bezpieczeństwa Żywności oraz ustanawiające procedury w zakresie bezpieczeństwa żywności (Dz.U. L 31 z 1.2.2002, s. 1).</w:t>
      </w:r>
    </w:p>
  </w:footnote>
  <w:footnote w:id="26">
    <w:p w:rsidR="006C6EA4" w:rsidRPr="006C354F" w:rsidRDefault="006C6EA4" w:rsidP="006C354F">
      <w:pPr>
        <w:pStyle w:val="FootnoteTextForceStyle"/>
        <w:rPr>
          <w:lang w:val="pl-PL"/>
        </w:rPr>
      </w:pPr>
      <w:r>
        <w:rPr>
          <w:vertAlign w:val="superscript"/>
        </w:rPr>
        <w:footnoteRef/>
      </w:r>
      <w:r w:rsidRPr="006C354F">
        <w:rPr>
          <w:lang w:val="pl-PL"/>
        </w:rPr>
        <w:tab/>
        <w:t>Rozporządzenie Parlamentu Europejskiego i Rady (UE) nr 182/2011 z dnia 16 lutego 2011 r. ustanawiające przepisy i zasady ogólne dotyczące trybu kontroli przez państwa członkowskie wykonywania uprawnień wykonawczych przez Komisję (Dz.U. L 55 z 28.2.2011, s. 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2/2024"/>
    <w:docVar w:name="dvlangue" w:val="PL"/>
    <w:docVar w:name="dvnumam" w:val="152"/>
    <w:docVar w:name="dvpe" w:val="756.013"/>
    <w:docVar w:name="dvrapporteur" w:val="Sprawozdawca: "/>
    <w:docVar w:name="dvstar" w:val="***I"/>
    <w:docVar w:name="dvtitre" w:val="Rezolucja ustawodawcza Parlamentu Europejskiego z dnia  2024 r. w sprawie wniosku dotyczącego rozporządzenia Parlamentu Europejskiego i Rady w sprawie produkcji i wprowadzania do obrotu leśnego materiału rozmnożeniowego, zmieniającego rozporządzenia Parlamentu Europejskiego i Rady (UE) 2016/2031 i 2017/625 oraz uchylającego dyrektywę Rady 1999/105/WE (rozporządzenie w sprawie leśnego materiału rozmnożeniowego)(COM(2023)0415 – C9-0237/2023 – 2023/0228(COD))"/>
  </w:docVars>
  <w:rsids>
    <w:rsidRoot w:val="0029297D"/>
    <w:rsid w:val="00002272"/>
    <w:rsid w:val="00064002"/>
    <w:rsid w:val="000677B9"/>
    <w:rsid w:val="000831BA"/>
    <w:rsid w:val="000A42CC"/>
    <w:rsid w:val="000E7DD9"/>
    <w:rsid w:val="0010095E"/>
    <w:rsid w:val="00125B37"/>
    <w:rsid w:val="00187494"/>
    <w:rsid w:val="001A374B"/>
    <w:rsid w:val="001F32AE"/>
    <w:rsid w:val="002767FF"/>
    <w:rsid w:val="0029297D"/>
    <w:rsid w:val="002B18FE"/>
    <w:rsid w:val="002B5493"/>
    <w:rsid w:val="00343214"/>
    <w:rsid w:val="00361C00"/>
    <w:rsid w:val="00395FA1"/>
    <w:rsid w:val="003E15D4"/>
    <w:rsid w:val="00411CCE"/>
    <w:rsid w:val="0041666E"/>
    <w:rsid w:val="00421060"/>
    <w:rsid w:val="004564DE"/>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45F1"/>
    <w:rsid w:val="006C354F"/>
    <w:rsid w:val="006C6EA4"/>
    <w:rsid w:val="006F74FA"/>
    <w:rsid w:val="00731ADD"/>
    <w:rsid w:val="00734777"/>
    <w:rsid w:val="00747932"/>
    <w:rsid w:val="00751A4A"/>
    <w:rsid w:val="00754132"/>
    <w:rsid w:val="00756632"/>
    <w:rsid w:val="00762C74"/>
    <w:rsid w:val="00786EC0"/>
    <w:rsid w:val="007D1690"/>
    <w:rsid w:val="007E22AD"/>
    <w:rsid w:val="00817416"/>
    <w:rsid w:val="00817BE7"/>
    <w:rsid w:val="00842779"/>
    <w:rsid w:val="00865F67"/>
    <w:rsid w:val="00881A7B"/>
    <w:rsid w:val="008840E5"/>
    <w:rsid w:val="00887B3E"/>
    <w:rsid w:val="008C2AC6"/>
    <w:rsid w:val="00930C23"/>
    <w:rsid w:val="0093193B"/>
    <w:rsid w:val="009509D8"/>
    <w:rsid w:val="00950B64"/>
    <w:rsid w:val="00981893"/>
    <w:rsid w:val="009E79E5"/>
    <w:rsid w:val="00A0113C"/>
    <w:rsid w:val="00A1687D"/>
    <w:rsid w:val="00A43E52"/>
    <w:rsid w:val="00A4678D"/>
    <w:rsid w:val="00A778C7"/>
    <w:rsid w:val="00A77FBE"/>
    <w:rsid w:val="00A96D39"/>
    <w:rsid w:val="00AB441E"/>
    <w:rsid w:val="00AB6293"/>
    <w:rsid w:val="00AE0928"/>
    <w:rsid w:val="00AF3B82"/>
    <w:rsid w:val="00B12E95"/>
    <w:rsid w:val="00B22876"/>
    <w:rsid w:val="00B558F0"/>
    <w:rsid w:val="00BB2D3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543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8FD471"/>
  <w15:chartTrackingRefBased/>
  <w15:docId w15:val="{8E548D62-4E05-43B2-AF63-C49C57C39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55435"/>
    <w:rPr>
      <w:b/>
      <w:kern w:val="28"/>
      <w:sz w:val="28"/>
      <w:lang w:val="fr-FR" w:eastAsia="fr-FR"/>
    </w:rPr>
  </w:style>
  <w:style w:type="character" w:customStyle="1" w:styleId="Heading2Char">
    <w:name w:val="Heading 2 Char"/>
    <w:basedOn w:val="DefaultParagraphFont"/>
    <w:link w:val="Heading2"/>
    <w:rsid w:val="00F55435"/>
    <w:rPr>
      <w:sz w:val="24"/>
      <w:lang w:val="fr-FR" w:eastAsia="fr-FR"/>
    </w:rPr>
  </w:style>
  <w:style w:type="character" w:customStyle="1" w:styleId="Heading3Char">
    <w:name w:val="Heading 3 Char"/>
    <w:basedOn w:val="DefaultParagraphFont"/>
    <w:link w:val="Heading3"/>
    <w:rsid w:val="00F55435"/>
    <w:rPr>
      <w:rFonts w:ascii="Arial" w:hAnsi="Arial"/>
      <w:sz w:val="24"/>
      <w:lang w:val="fr-FR" w:eastAsia="fr-FR"/>
    </w:rPr>
  </w:style>
  <w:style w:type="character" w:customStyle="1" w:styleId="Heading4Char">
    <w:name w:val="Heading 4 Char"/>
    <w:basedOn w:val="DefaultParagraphFont"/>
    <w:link w:val="Heading4"/>
    <w:rsid w:val="00F55435"/>
    <w:rPr>
      <w:sz w:val="24"/>
      <w:lang w:val="en-US" w:eastAsia="fr-FR"/>
    </w:rPr>
  </w:style>
  <w:style w:type="character" w:customStyle="1" w:styleId="Heading5Char">
    <w:name w:val="Heading 5 Char"/>
    <w:basedOn w:val="DefaultParagraphFont"/>
    <w:link w:val="Heading5"/>
    <w:semiHidden/>
    <w:rsid w:val="00F55435"/>
    <w:rPr>
      <w:sz w:val="24"/>
      <w:lang w:val="en-US" w:eastAsia="fr-FR"/>
    </w:rPr>
  </w:style>
  <w:style w:type="character" w:customStyle="1" w:styleId="Heading6Char">
    <w:name w:val="Heading 6 Char"/>
    <w:basedOn w:val="DefaultParagraphFont"/>
    <w:link w:val="Heading6"/>
    <w:semiHidden/>
    <w:rsid w:val="00F55435"/>
    <w:rPr>
      <w:i/>
      <w:sz w:val="22"/>
      <w:lang w:val="pl-PL"/>
    </w:rPr>
  </w:style>
  <w:style w:type="character" w:customStyle="1" w:styleId="Heading7Char">
    <w:name w:val="Heading 7 Char"/>
    <w:basedOn w:val="DefaultParagraphFont"/>
    <w:link w:val="Heading7"/>
    <w:semiHidden/>
    <w:rsid w:val="00F55435"/>
    <w:rPr>
      <w:rFonts w:ascii="Arial" w:hAnsi="Arial"/>
      <w:sz w:val="24"/>
      <w:lang w:val="pl-PL"/>
    </w:rPr>
  </w:style>
  <w:style w:type="character" w:customStyle="1" w:styleId="Heading8Char">
    <w:name w:val="Heading 8 Char"/>
    <w:basedOn w:val="DefaultParagraphFont"/>
    <w:link w:val="Heading8"/>
    <w:semiHidden/>
    <w:rsid w:val="00F55435"/>
    <w:rPr>
      <w:rFonts w:ascii="Arial" w:hAnsi="Arial"/>
      <w:i/>
      <w:sz w:val="24"/>
      <w:lang w:val="pl-PL"/>
    </w:rPr>
  </w:style>
  <w:style w:type="character" w:customStyle="1" w:styleId="Heading9Char">
    <w:name w:val="Heading 9 Char"/>
    <w:basedOn w:val="DefaultParagraphFont"/>
    <w:link w:val="Heading9"/>
    <w:semiHidden/>
    <w:rsid w:val="00F55435"/>
    <w:rPr>
      <w:rFonts w:ascii="Arial" w:hAnsi="Arial"/>
      <w:b/>
      <w:i/>
      <w:sz w:val="18"/>
      <w:lang w:val="pl-PL"/>
    </w:rPr>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TOCHeading">
    <w:name w:val="TOC Heading"/>
    <w:basedOn w:val="Normal"/>
    <w:next w:val="Normal"/>
    <w:uiPriority w:val="39"/>
    <w:unhideWhenUsed/>
    <w:qFormat/>
    <w:rsid w:val="00F55435"/>
    <w:pPr>
      <w:widowControl/>
      <w:spacing w:after="240"/>
    </w:pPr>
    <w:rPr>
      <w:lang w:val="en-GB"/>
    </w:rPr>
  </w:style>
  <w:style w:type="paragraph" w:customStyle="1" w:styleId="EPFooter2">
    <w:name w:val="EPFooter2"/>
    <w:basedOn w:val="Normal"/>
    <w:next w:val="Normal"/>
    <w:rsid w:val="00F5543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55435"/>
    <w:pPr>
      <w:keepNext/>
      <w:spacing w:after="240"/>
      <w:jc w:val="right"/>
    </w:pPr>
    <w:rPr>
      <w:rFonts w:ascii="Arial" w:hAnsi="Arial"/>
      <w:b/>
    </w:rPr>
  </w:style>
  <w:style w:type="paragraph" w:customStyle="1" w:styleId="Normal6a">
    <w:name w:val="Normal6a"/>
    <w:basedOn w:val="Normal"/>
    <w:rsid w:val="00F55435"/>
    <w:pPr>
      <w:spacing w:after="120"/>
    </w:pPr>
  </w:style>
  <w:style w:type="paragraph" w:customStyle="1" w:styleId="PageHeading">
    <w:name w:val="PageHeading"/>
    <w:basedOn w:val="Normal"/>
    <w:rsid w:val="00F55435"/>
    <w:pPr>
      <w:keepNext/>
      <w:spacing w:after="480"/>
      <w:jc w:val="center"/>
    </w:pPr>
    <w:rPr>
      <w:rFonts w:ascii="Arial" w:hAnsi="Arial" w:cs="Arial"/>
      <w:b/>
    </w:rPr>
  </w:style>
  <w:style w:type="paragraph" w:customStyle="1" w:styleId="NormalBold">
    <w:name w:val="NormalBold"/>
    <w:basedOn w:val="Normal"/>
    <w:link w:val="NormalBoldChar"/>
    <w:rsid w:val="00F55435"/>
    <w:rPr>
      <w:b/>
    </w:rPr>
  </w:style>
  <w:style w:type="character" w:customStyle="1" w:styleId="NormalBoldChar">
    <w:name w:val="NormalBold Char"/>
    <w:basedOn w:val="DefaultParagraphFont"/>
    <w:link w:val="NormalBold"/>
    <w:locked/>
    <w:rsid w:val="00F55435"/>
    <w:rPr>
      <w:b/>
      <w:sz w:val="24"/>
      <w:lang w:val="pl-PL"/>
    </w:rPr>
  </w:style>
  <w:style w:type="paragraph" w:customStyle="1" w:styleId="NormalBold12a">
    <w:name w:val="NormalBold12a"/>
    <w:basedOn w:val="Normal"/>
    <w:rsid w:val="00F55435"/>
    <w:pPr>
      <w:spacing w:after="240"/>
    </w:pPr>
    <w:rPr>
      <w:b/>
    </w:rPr>
  </w:style>
  <w:style w:type="paragraph" w:customStyle="1" w:styleId="AmJustText">
    <w:name w:val="AmJustText"/>
    <w:basedOn w:val="Normal"/>
    <w:rsid w:val="00F55435"/>
    <w:pPr>
      <w:spacing w:after="240"/>
    </w:pPr>
    <w:rPr>
      <w:i/>
    </w:rPr>
  </w:style>
  <w:style w:type="paragraph" w:customStyle="1" w:styleId="NormalHanging12a">
    <w:name w:val="NormalHanging12a"/>
    <w:basedOn w:val="Normal"/>
    <w:rsid w:val="00F55435"/>
    <w:pPr>
      <w:spacing w:after="240"/>
      <w:ind w:left="567" w:hanging="567"/>
    </w:pPr>
  </w:style>
  <w:style w:type="paragraph" w:customStyle="1" w:styleId="CoverNormal24a">
    <w:name w:val="CoverNormal24a"/>
    <w:basedOn w:val="Normal"/>
    <w:rsid w:val="00F55435"/>
    <w:pPr>
      <w:spacing w:after="480"/>
      <w:ind w:left="1417"/>
    </w:pPr>
  </w:style>
  <w:style w:type="paragraph" w:customStyle="1" w:styleId="CoverNormal">
    <w:name w:val="CoverNormal"/>
    <w:basedOn w:val="Normal"/>
    <w:rsid w:val="00F55435"/>
    <w:pPr>
      <w:ind w:left="1418"/>
    </w:pPr>
  </w:style>
  <w:style w:type="paragraph" w:customStyle="1" w:styleId="AmCrossRef">
    <w:name w:val="AmCrossRef"/>
    <w:basedOn w:val="Normal"/>
    <w:rsid w:val="00F55435"/>
    <w:pPr>
      <w:spacing w:before="240" w:after="240"/>
      <w:jc w:val="center"/>
    </w:pPr>
    <w:rPr>
      <w:i/>
    </w:rPr>
  </w:style>
  <w:style w:type="paragraph" w:customStyle="1" w:styleId="AmJustTitle">
    <w:name w:val="AmJustTitle"/>
    <w:basedOn w:val="Normal"/>
    <w:next w:val="AmJustText"/>
    <w:rsid w:val="00F55435"/>
    <w:pPr>
      <w:keepNext/>
      <w:spacing w:before="240" w:after="240"/>
      <w:jc w:val="center"/>
    </w:pPr>
    <w:rPr>
      <w:i/>
    </w:rPr>
  </w:style>
  <w:style w:type="paragraph" w:customStyle="1" w:styleId="CoverReference">
    <w:name w:val="CoverReference"/>
    <w:basedOn w:val="Normal"/>
    <w:rsid w:val="00F55435"/>
    <w:pPr>
      <w:spacing w:before="1080"/>
      <w:jc w:val="right"/>
    </w:pPr>
    <w:rPr>
      <w:rFonts w:ascii="Arial" w:hAnsi="Arial" w:cs="Arial"/>
      <w:b/>
    </w:rPr>
  </w:style>
  <w:style w:type="paragraph" w:customStyle="1" w:styleId="CoverDocType">
    <w:name w:val="CoverDocType"/>
    <w:basedOn w:val="Normal"/>
    <w:rsid w:val="00F55435"/>
    <w:pPr>
      <w:ind w:left="1418"/>
    </w:pPr>
    <w:rPr>
      <w:rFonts w:ascii="Arial" w:hAnsi="Arial"/>
      <w:b/>
      <w:sz w:val="48"/>
    </w:rPr>
  </w:style>
  <w:style w:type="paragraph" w:customStyle="1" w:styleId="CoverDocType24a">
    <w:name w:val="CoverDocType24a"/>
    <w:basedOn w:val="Normal"/>
    <w:rsid w:val="00F55435"/>
    <w:pPr>
      <w:spacing w:after="480"/>
      <w:ind w:left="1418"/>
    </w:pPr>
    <w:rPr>
      <w:rFonts w:ascii="Arial" w:hAnsi="Arial"/>
      <w:b/>
      <w:sz w:val="48"/>
    </w:rPr>
  </w:style>
  <w:style w:type="paragraph" w:customStyle="1" w:styleId="CoverDate">
    <w:name w:val="CoverDate"/>
    <w:basedOn w:val="Normal"/>
    <w:rsid w:val="00F55435"/>
    <w:pPr>
      <w:spacing w:before="240" w:after="1200"/>
    </w:pPr>
  </w:style>
  <w:style w:type="paragraph" w:styleId="Header">
    <w:name w:val="header"/>
    <w:basedOn w:val="Normal"/>
    <w:link w:val="HeaderChar"/>
    <w:rsid w:val="00F55435"/>
    <w:pPr>
      <w:tabs>
        <w:tab w:val="center" w:pos="4513"/>
        <w:tab w:val="right" w:pos="9026"/>
      </w:tabs>
    </w:pPr>
  </w:style>
  <w:style w:type="character" w:customStyle="1" w:styleId="HeaderChar">
    <w:name w:val="Header Char"/>
    <w:basedOn w:val="DefaultParagraphFont"/>
    <w:link w:val="Header"/>
    <w:rsid w:val="00F55435"/>
    <w:rPr>
      <w:sz w:val="24"/>
      <w:lang w:val="pl-PL"/>
    </w:rPr>
  </w:style>
  <w:style w:type="paragraph" w:customStyle="1" w:styleId="AmOrLang">
    <w:name w:val="AmOrLang"/>
    <w:basedOn w:val="Normal"/>
    <w:rsid w:val="00F55435"/>
    <w:pPr>
      <w:spacing w:before="240" w:after="240"/>
      <w:jc w:val="right"/>
    </w:pPr>
  </w:style>
  <w:style w:type="paragraph" w:customStyle="1" w:styleId="AmColumnHeading">
    <w:name w:val="AmColumnHeading"/>
    <w:basedOn w:val="Normal"/>
    <w:rsid w:val="00F55435"/>
    <w:pPr>
      <w:spacing w:after="240"/>
      <w:jc w:val="center"/>
    </w:pPr>
    <w:rPr>
      <w:i/>
    </w:rPr>
  </w:style>
  <w:style w:type="paragraph" w:customStyle="1" w:styleId="AmNumberTabs">
    <w:name w:val="AmNumberTabs"/>
    <w:basedOn w:val="Normal"/>
    <w:link w:val="AmNumberTabsChar"/>
    <w:rsid w:val="00F554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F55435"/>
    <w:rPr>
      <w:b/>
      <w:sz w:val="24"/>
      <w:lang w:val="pl-PL"/>
    </w:rPr>
  </w:style>
  <w:style w:type="paragraph" w:customStyle="1" w:styleId="NormalBold12b">
    <w:name w:val="NormalBold12b"/>
    <w:basedOn w:val="Normal"/>
    <w:link w:val="NormalBold12bChar"/>
    <w:rsid w:val="00F55435"/>
    <w:pPr>
      <w:spacing w:before="240"/>
    </w:pPr>
    <w:rPr>
      <w:b/>
    </w:rPr>
  </w:style>
  <w:style w:type="character" w:customStyle="1" w:styleId="NormalBold12bChar">
    <w:name w:val="NormalBold12b Char"/>
    <w:basedOn w:val="AmNumberTabsChar"/>
    <w:link w:val="NormalBold12b"/>
    <w:rsid w:val="00F55435"/>
    <w:rPr>
      <w:b/>
      <w:sz w:val="24"/>
      <w:lang w:val="pl-PL"/>
    </w:rPr>
  </w:style>
  <w:style w:type="paragraph" w:customStyle="1" w:styleId="EPBody">
    <w:name w:val="EPBody"/>
    <w:basedOn w:val="Normal"/>
    <w:rsid w:val="00F55435"/>
    <w:pPr>
      <w:jc w:val="center"/>
    </w:pPr>
    <w:rPr>
      <w:rFonts w:ascii="Arial" w:hAnsi="Arial" w:cs="Arial"/>
      <w:i/>
      <w:sz w:val="22"/>
      <w:szCs w:val="22"/>
    </w:rPr>
  </w:style>
  <w:style w:type="paragraph" w:customStyle="1" w:styleId="EPFooter">
    <w:name w:val="EPFooter"/>
    <w:basedOn w:val="Normal"/>
    <w:rsid w:val="00F55435"/>
    <w:pPr>
      <w:tabs>
        <w:tab w:val="center" w:pos="4535"/>
        <w:tab w:val="right" w:pos="9071"/>
      </w:tabs>
      <w:spacing w:before="240" w:after="240"/>
    </w:pPr>
    <w:rPr>
      <w:color w:val="010000"/>
      <w:sz w:val="22"/>
    </w:rPr>
  </w:style>
  <w:style w:type="paragraph" w:customStyle="1" w:styleId="EPComma">
    <w:name w:val="EPComma"/>
    <w:basedOn w:val="Normal"/>
    <w:rsid w:val="00F55435"/>
    <w:pPr>
      <w:spacing w:before="480" w:after="240"/>
    </w:pPr>
  </w:style>
  <w:style w:type="paragraph" w:customStyle="1" w:styleId="Lgendesigne">
    <w:name w:val="Légende signe"/>
    <w:basedOn w:val="Normal"/>
    <w:rsid w:val="00F55435"/>
    <w:pPr>
      <w:tabs>
        <w:tab w:val="right" w:pos="454"/>
        <w:tab w:val="left" w:pos="737"/>
      </w:tabs>
      <w:ind w:left="737" w:hanging="737"/>
    </w:pPr>
    <w:rPr>
      <w:snapToGrid w:val="0"/>
      <w:sz w:val="18"/>
      <w:lang w:eastAsia="en-US"/>
    </w:rPr>
  </w:style>
  <w:style w:type="paragraph" w:customStyle="1" w:styleId="Lgendetitre">
    <w:name w:val="Légende titre"/>
    <w:basedOn w:val="Normal"/>
    <w:rsid w:val="00F55435"/>
    <w:pPr>
      <w:spacing w:before="240" w:after="240"/>
    </w:pPr>
    <w:rPr>
      <w:b/>
      <w:i/>
      <w:snapToGrid w:val="0"/>
      <w:lang w:eastAsia="en-US"/>
    </w:rPr>
  </w:style>
  <w:style w:type="paragraph" w:customStyle="1" w:styleId="Lgendestandard">
    <w:name w:val="Légende standard"/>
    <w:basedOn w:val="Normal"/>
    <w:rsid w:val="00F55435"/>
    <w:rPr>
      <w:sz w:val="18"/>
    </w:rPr>
  </w:style>
  <w:style w:type="character" w:customStyle="1" w:styleId="Normal6Char">
    <w:name w:val="Normal6 Char"/>
    <w:basedOn w:val="DefaultParagraphFont"/>
    <w:link w:val="Normal6"/>
    <w:locked/>
    <w:rsid w:val="00F55435"/>
    <w:rPr>
      <w:sz w:val="24"/>
      <w:lang w:val="pl-PL"/>
    </w:rPr>
  </w:style>
  <w:style w:type="paragraph" w:customStyle="1" w:styleId="Normal6">
    <w:name w:val="Normal6"/>
    <w:basedOn w:val="Normal"/>
    <w:link w:val="Normal6Char"/>
    <w:rsid w:val="00F55435"/>
    <w:pPr>
      <w:spacing w:after="120"/>
    </w:pPr>
  </w:style>
  <w:style w:type="paragraph" w:customStyle="1" w:styleId="Normal12Italic">
    <w:name w:val="Normal12Italic"/>
    <w:basedOn w:val="Normal"/>
    <w:rsid w:val="00F55435"/>
    <w:pPr>
      <w:spacing w:after="240"/>
    </w:pPr>
    <w:rPr>
      <w:i/>
      <w:noProof/>
    </w:rPr>
  </w:style>
  <w:style w:type="paragraph" w:customStyle="1" w:styleId="JustificationTitle">
    <w:name w:val="JustificationTitle"/>
    <w:basedOn w:val="Normal"/>
    <w:next w:val="Normal"/>
    <w:rsid w:val="00F55435"/>
    <w:pPr>
      <w:keepNext/>
      <w:spacing w:before="240" w:after="240"/>
      <w:jc w:val="center"/>
    </w:pPr>
    <w:rPr>
      <w:i/>
      <w:noProof/>
    </w:rPr>
  </w:style>
  <w:style w:type="paragraph" w:customStyle="1" w:styleId="ColumnHeading">
    <w:name w:val="ColumnHeading"/>
    <w:basedOn w:val="Normal"/>
    <w:rsid w:val="00F55435"/>
    <w:pPr>
      <w:spacing w:after="240"/>
      <w:jc w:val="center"/>
    </w:pPr>
    <w:rPr>
      <w:i/>
    </w:rPr>
  </w:style>
  <w:style w:type="paragraph" w:customStyle="1" w:styleId="AMNumberTabs0">
    <w:name w:val="AMNumberTabs"/>
    <w:basedOn w:val="Normal"/>
    <w:rsid w:val="00F554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55435"/>
    <w:pPr>
      <w:jc w:val="right"/>
    </w:pPr>
    <w:rPr>
      <w:lang w:val="pl-PL"/>
    </w:rPr>
  </w:style>
  <w:style w:type="paragraph" w:styleId="BalloonText">
    <w:name w:val="Balloon Text"/>
    <w:basedOn w:val="Normal"/>
    <w:link w:val="BalloonTextChar"/>
    <w:unhideWhenUsed/>
    <w:rsid w:val="00F55435"/>
    <w:rPr>
      <w:rFonts w:ascii="Segoe UI" w:hAnsi="Segoe UI" w:cs="Segoe UI"/>
      <w:sz w:val="18"/>
      <w:szCs w:val="18"/>
    </w:rPr>
  </w:style>
  <w:style w:type="character" w:customStyle="1" w:styleId="BalloonTextChar">
    <w:name w:val="Balloon Text Char"/>
    <w:basedOn w:val="DefaultParagraphFont"/>
    <w:link w:val="BalloonText"/>
    <w:rsid w:val="00F55435"/>
    <w:rPr>
      <w:rFonts w:ascii="Segoe UI" w:hAnsi="Segoe UI" w:cs="Segoe UI"/>
      <w:sz w:val="18"/>
      <w:szCs w:val="18"/>
      <w:lang w:val="pl-PL"/>
    </w:rPr>
  </w:style>
  <w:style w:type="character" w:styleId="CommentReference">
    <w:name w:val="annotation reference"/>
    <w:basedOn w:val="DefaultParagraphFont"/>
    <w:rsid w:val="00F55435"/>
    <w:rPr>
      <w:sz w:val="16"/>
      <w:szCs w:val="16"/>
    </w:rPr>
  </w:style>
  <w:style w:type="paragraph" w:styleId="CommentText">
    <w:name w:val="annotation text"/>
    <w:basedOn w:val="Normal"/>
    <w:link w:val="CommentTextChar"/>
    <w:rsid w:val="00F55435"/>
    <w:rPr>
      <w:sz w:val="20"/>
    </w:rPr>
  </w:style>
  <w:style w:type="character" w:customStyle="1" w:styleId="CommentTextChar">
    <w:name w:val="Comment Text Char"/>
    <w:basedOn w:val="DefaultParagraphFont"/>
    <w:link w:val="CommentText"/>
    <w:rsid w:val="00F55435"/>
    <w:rPr>
      <w:lang w:val="pl-PL"/>
    </w:rPr>
  </w:style>
  <w:style w:type="paragraph" w:styleId="CommentSubject">
    <w:name w:val="annotation subject"/>
    <w:basedOn w:val="CommentText"/>
    <w:next w:val="CommentText"/>
    <w:link w:val="CommentSubjectChar"/>
    <w:unhideWhenUsed/>
    <w:rsid w:val="00F55435"/>
    <w:rPr>
      <w:b/>
      <w:bCs/>
    </w:rPr>
  </w:style>
  <w:style w:type="character" w:customStyle="1" w:styleId="CommentSubjectChar">
    <w:name w:val="Comment Subject Char"/>
    <w:basedOn w:val="CommentTextChar"/>
    <w:link w:val="CommentSubject"/>
    <w:rsid w:val="00F55435"/>
    <w:rPr>
      <w:b/>
      <w:bCs/>
      <w:lang w:val="pl-PL"/>
    </w:rPr>
  </w:style>
  <w:style w:type="paragraph" w:customStyle="1" w:styleId="Normal12a">
    <w:name w:val="Normal12a"/>
    <w:basedOn w:val="Normal"/>
    <w:rsid w:val="00F55435"/>
    <w:pPr>
      <w:spacing w:after="240"/>
    </w:pPr>
  </w:style>
  <w:style w:type="paragraph" w:customStyle="1" w:styleId="RollCallVotes">
    <w:name w:val="RollCallVotes"/>
    <w:basedOn w:val="Normal"/>
    <w:rsid w:val="00F55435"/>
    <w:pPr>
      <w:spacing w:before="120" w:after="120"/>
      <w:jc w:val="center"/>
    </w:pPr>
    <w:rPr>
      <w:b/>
      <w:bCs/>
      <w:snapToGrid w:val="0"/>
      <w:sz w:val="16"/>
      <w:lang w:eastAsia="en-US"/>
    </w:rPr>
  </w:style>
  <w:style w:type="paragraph" w:customStyle="1" w:styleId="RollCallTabs">
    <w:name w:val="RollCallTabs"/>
    <w:basedOn w:val="Normal"/>
    <w:qFormat/>
    <w:rsid w:val="00F55435"/>
    <w:pPr>
      <w:tabs>
        <w:tab w:val="center" w:pos="284"/>
        <w:tab w:val="left" w:pos="426"/>
      </w:tabs>
    </w:pPr>
    <w:rPr>
      <w:snapToGrid w:val="0"/>
      <w:lang w:eastAsia="en-US"/>
    </w:rPr>
  </w:style>
  <w:style w:type="paragraph" w:customStyle="1" w:styleId="RollCallSymbols14pt">
    <w:name w:val="RollCallSymbols14pt"/>
    <w:basedOn w:val="Normal"/>
    <w:rsid w:val="00F55435"/>
    <w:pPr>
      <w:spacing w:before="120" w:after="120"/>
      <w:jc w:val="center"/>
    </w:pPr>
    <w:rPr>
      <w:rFonts w:ascii="Arial" w:hAnsi="Arial"/>
      <w:b/>
      <w:bCs/>
      <w:snapToGrid w:val="0"/>
      <w:sz w:val="28"/>
      <w:lang w:eastAsia="en-US"/>
    </w:rPr>
  </w:style>
  <w:style w:type="paragraph" w:customStyle="1" w:styleId="RollCallTable">
    <w:name w:val="RollCallTable"/>
    <w:basedOn w:val="Normal"/>
    <w:rsid w:val="00F55435"/>
    <w:pPr>
      <w:spacing w:before="120" w:after="120"/>
    </w:pPr>
    <w:rPr>
      <w:snapToGrid w:val="0"/>
      <w:sz w:val="16"/>
      <w:lang w:eastAsia="en-US"/>
    </w:rPr>
  </w:style>
  <w:style w:type="paragraph" w:customStyle="1" w:styleId="PageHeadingNotTOC">
    <w:name w:val="PageHeadingNotTOC"/>
    <w:basedOn w:val="Normal"/>
    <w:rsid w:val="00F55435"/>
    <w:pPr>
      <w:keepNext/>
      <w:spacing w:after="480"/>
      <w:jc w:val="center"/>
    </w:pPr>
    <w:rPr>
      <w:rFonts w:ascii="Arial" w:hAnsi="Arial" w:cs="Arial"/>
      <w:b/>
    </w:rPr>
  </w:style>
  <w:style w:type="paragraph" w:customStyle="1" w:styleId="AmHeadingPA">
    <w:name w:val="AmHeadingPA"/>
    <w:basedOn w:val="Normal"/>
    <w:next w:val="Normal"/>
    <w:rsid w:val="00F55435"/>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F55435"/>
    <w:rPr>
      <w:noProof/>
      <w:sz w:val="24"/>
    </w:rPr>
  </w:style>
  <w:style w:type="paragraph" w:customStyle="1" w:styleId="Normal12">
    <w:name w:val="Normal12"/>
    <w:basedOn w:val="Normal"/>
    <w:link w:val="Normal12Char"/>
    <w:rsid w:val="00F55435"/>
    <w:pPr>
      <w:spacing w:after="240"/>
    </w:pPr>
    <w:rPr>
      <w:noProof/>
      <w:lang w:val="en-GB"/>
    </w:rPr>
  </w:style>
  <w:style w:type="paragraph" w:customStyle="1" w:styleId="Normal24a">
    <w:name w:val="Normal24a"/>
    <w:basedOn w:val="Normal"/>
    <w:link w:val="Normal24aChar"/>
    <w:rsid w:val="00F55435"/>
    <w:pPr>
      <w:spacing w:after="480"/>
    </w:pPr>
  </w:style>
  <w:style w:type="character" w:customStyle="1" w:styleId="Normal24aChar">
    <w:name w:val="Normal24a Char"/>
    <w:basedOn w:val="DefaultParagraphFont"/>
    <w:link w:val="Normal24a"/>
    <w:rsid w:val="00F55435"/>
    <w:rPr>
      <w:sz w:val="24"/>
      <w:lang w:val="pl-PL"/>
    </w:rPr>
  </w:style>
  <w:style w:type="paragraph" w:customStyle="1" w:styleId="EntPE">
    <w:name w:val="EntPE"/>
    <w:basedOn w:val="Normal12"/>
    <w:rsid w:val="00F55435"/>
    <w:pPr>
      <w:jc w:val="center"/>
    </w:pPr>
    <w:rPr>
      <w:noProof w:val="0"/>
      <w:sz w:val="56"/>
    </w:rPr>
  </w:style>
  <w:style w:type="paragraph" w:customStyle="1" w:styleId="NormalBoldCenter">
    <w:name w:val="NormalBoldCenter"/>
    <w:basedOn w:val="Normal"/>
    <w:rsid w:val="00F55435"/>
    <w:pPr>
      <w:jc w:val="center"/>
    </w:pPr>
    <w:rPr>
      <w:b/>
    </w:rPr>
  </w:style>
  <w:style w:type="character" w:styleId="Emphasis">
    <w:name w:val="Emphasis"/>
    <w:basedOn w:val="DefaultParagraphFont"/>
    <w:uiPriority w:val="20"/>
    <w:qFormat/>
    <w:rsid w:val="00F55435"/>
    <w:rPr>
      <w:i/>
      <w:iCs/>
    </w:rPr>
  </w:style>
  <w:style w:type="paragraph" w:styleId="Footer">
    <w:name w:val="footer"/>
    <w:basedOn w:val="Normal"/>
    <w:link w:val="FooterChar"/>
    <w:rsid w:val="00F55435"/>
    <w:pPr>
      <w:tabs>
        <w:tab w:val="center" w:pos="4513"/>
        <w:tab w:val="right" w:pos="9026"/>
      </w:tabs>
    </w:pPr>
  </w:style>
  <w:style w:type="character" w:customStyle="1" w:styleId="FooterChar">
    <w:name w:val="Footer Char"/>
    <w:basedOn w:val="DefaultParagraphFont"/>
    <w:link w:val="Footer"/>
    <w:rsid w:val="00F55435"/>
    <w:rPr>
      <w:sz w:val="24"/>
      <w:lang w:val="pl-PL"/>
    </w:rPr>
  </w:style>
  <w:style w:type="character" w:styleId="Hyperlink">
    <w:name w:val="Hyperlink"/>
    <w:basedOn w:val="DefaultParagraphFont"/>
    <w:rsid w:val="009E79E5"/>
    <w:rPr>
      <w:color w:val="0563C1" w:themeColor="hyperlink"/>
      <w:u w:val="single"/>
    </w:rPr>
  </w:style>
  <w:style w:type="paragraph" w:customStyle="1" w:styleId="AmDocTypeTab">
    <w:name w:val="AmDocTypeTab"/>
    <w:basedOn w:val="Normal"/>
    <w:rsid w:val="00BB2D38"/>
    <w:pPr>
      <w:tabs>
        <w:tab w:val="right" w:pos="9070"/>
      </w:tabs>
    </w:pPr>
    <w:rPr>
      <w:b/>
      <w:szCs w:val="24"/>
      <w:lang w:eastAsia="en-US"/>
    </w:rPr>
  </w:style>
  <w:style w:type="paragraph" w:customStyle="1" w:styleId="IntrtEEE">
    <w:name w:val="Intérêt EEE"/>
    <w:basedOn w:val="Normal"/>
    <w:next w:val="Normal"/>
    <w:rsid w:val="006C354F"/>
    <w:pPr>
      <w:widowControl/>
      <w:spacing w:before="360" w:after="240" w:line="360" w:lineRule="auto"/>
      <w:jc w:val="center"/>
    </w:pPr>
    <w:rPr>
      <w:szCs w:val="24"/>
      <w:lang w:val="en-GB" w:eastAsia="en-US"/>
    </w:rPr>
  </w:style>
  <w:style w:type="paragraph" w:customStyle="1" w:styleId="Institutionquiagit">
    <w:name w:val="Institution qui agit"/>
    <w:basedOn w:val="Normal"/>
    <w:next w:val="Normal"/>
    <w:rsid w:val="006C354F"/>
    <w:pPr>
      <w:keepNext/>
      <w:spacing w:before="600" w:after="120" w:line="360" w:lineRule="auto"/>
    </w:pPr>
    <w:rPr>
      <w:szCs w:val="24"/>
      <w:lang w:val="en-GB" w:eastAsia="en-US"/>
    </w:rPr>
  </w:style>
  <w:style w:type="paragraph" w:customStyle="1" w:styleId="Normale">
    <w:name w:val="Normale"/>
    <w:rsid w:val="006C354F"/>
    <w:pPr>
      <w:widowControl w:val="0"/>
      <w:spacing w:before="120" w:after="120" w:line="360" w:lineRule="auto"/>
    </w:pPr>
    <w:rPr>
      <w:sz w:val="24"/>
      <w:lang w:eastAsia="en-US"/>
    </w:rPr>
  </w:style>
  <w:style w:type="paragraph" w:customStyle="1" w:styleId="Considrant">
    <w:name w:val="Considérant"/>
    <w:basedOn w:val="Normal"/>
    <w:rsid w:val="006C354F"/>
    <w:pPr>
      <w:spacing w:before="120" w:after="120" w:line="360" w:lineRule="auto"/>
      <w:ind w:left="850" w:hanging="850"/>
    </w:pPr>
    <w:rPr>
      <w:szCs w:val="24"/>
      <w:lang w:val="en-GB" w:eastAsia="en-US"/>
    </w:rPr>
  </w:style>
  <w:style w:type="paragraph" w:customStyle="1" w:styleId="Formuledadoption">
    <w:name w:val="Formule d'adoption"/>
    <w:basedOn w:val="Normal"/>
    <w:next w:val="Normal"/>
    <w:rsid w:val="006C354F"/>
    <w:pPr>
      <w:keepNext/>
      <w:widowControl/>
      <w:spacing w:before="120" w:after="120" w:line="360" w:lineRule="auto"/>
    </w:pPr>
    <w:rPr>
      <w:szCs w:val="24"/>
      <w:lang w:val="en-GB" w:eastAsia="en-US"/>
    </w:rPr>
  </w:style>
  <w:style w:type="paragraph" w:customStyle="1" w:styleId="Applicationdirecte">
    <w:name w:val="Application directe"/>
    <w:basedOn w:val="Normal"/>
    <w:next w:val="Normal"/>
    <w:rsid w:val="006C354F"/>
    <w:pPr>
      <w:spacing w:before="120" w:after="120" w:line="360" w:lineRule="auto"/>
    </w:pPr>
    <w:rPr>
      <w:szCs w:val="24"/>
      <w:lang w:val="en-GB" w:eastAsia="en-US"/>
    </w:rPr>
  </w:style>
  <w:style w:type="paragraph" w:customStyle="1" w:styleId="Fait">
    <w:name w:val="Fait à"/>
    <w:basedOn w:val="Normal"/>
    <w:rsid w:val="006C354F"/>
    <w:pPr>
      <w:keepNext/>
      <w:widowControl/>
      <w:spacing w:before="120" w:line="360" w:lineRule="auto"/>
    </w:pPr>
    <w:rPr>
      <w:szCs w:val="24"/>
      <w:lang w:val="en-GB" w:eastAsia="en-US"/>
    </w:rPr>
  </w:style>
  <w:style w:type="paragraph" w:customStyle="1" w:styleId="SignatureInstitution">
    <w:name w:val="Signature Institution"/>
    <w:basedOn w:val="Normal"/>
    <w:rsid w:val="006C354F"/>
    <w:pPr>
      <w:keepNext/>
      <w:widowControl/>
      <w:tabs>
        <w:tab w:val="left" w:pos="4252"/>
      </w:tabs>
      <w:spacing w:before="720" w:after="100" w:line="360" w:lineRule="auto"/>
      <w:jc w:val="both"/>
    </w:pPr>
    <w:rPr>
      <w:i/>
      <w:szCs w:val="24"/>
      <w:lang w:val="en-GB" w:eastAsia="en-US"/>
    </w:rPr>
  </w:style>
  <w:style w:type="paragraph" w:customStyle="1" w:styleId="SignaturePersonne">
    <w:name w:val="Signature Personne"/>
    <w:basedOn w:val="Normal"/>
    <w:rsid w:val="006C354F"/>
    <w:pPr>
      <w:widowControl/>
      <w:tabs>
        <w:tab w:val="left" w:pos="4252"/>
      </w:tabs>
      <w:spacing w:line="360" w:lineRule="auto"/>
    </w:pPr>
    <w:rPr>
      <w:i/>
      <w:szCs w:val="24"/>
      <w:lang w:val="en-GB" w:eastAsia="en-US"/>
    </w:rPr>
  </w:style>
  <w:style w:type="paragraph" w:customStyle="1" w:styleId="FootnoteTextForceStyle">
    <w:name w:val="Footnote Text ForceStyle"/>
    <w:rsid w:val="006C354F"/>
    <w:pPr>
      <w:keepLines/>
      <w:widowControl w:val="0"/>
      <w:ind w:left="850" w:hanging="850"/>
    </w:pPr>
    <w:rPr>
      <w:sz w:val="24"/>
      <w:lang w:eastAsia="en-US"/>
    </w:rPr>
  </w:style>
  <w:style w:type="character" w:customStyle="1" w:styleId="Footer2">
    <w:name w:val="Footer2"/>
    <w:rsid w:val="006C354F"/>
    <w:rPr>
      <w:rFonts w:ascii="Arial" w:hAnsi="Arial"/>
      <w:b/>
      <w:sz w:val="48"/>
    </w:rPr>
  </w:style>
  <w:style w:type="paragraph" w:customStyle="1" w:styleId="Footer1">
    <w:name w:val="Footer1"/>
    <w:basedOn w:val="Normal"/>
    <w:rsid w:val="006C354F"/>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259F0-D486-4E43-9842-58FCA5950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139</Pages>
  <Words>18024</Words>
  <Characters>120508</Characters>
  <Application>Microsoft Office Word</Application>
  <DocSecurity>4</DocSecurity>
  <Lines>1004</Lines>
  <Paragraphs>276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BINKEVICIUTE Aurelija</cp:lastModifiedBy>
  <cp:revision>2</cp:revision>
  <cp:lastPrinted>2004-11-19T15:42:00Z</cp:lastPrinted>
  <dcterms:created xsi:type="dcterms:W3CDTF">2025-01-06T16:15:00Z</dcterms:created>
  <dcterms:modified xsi:type="dcterms:W3CDTF">2025-01-06T16:15:00Z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A9-0142/2024</vt:lpwstr>
  </property>
  <property fmtid="{D5CDD505-2E9C-101B-9397-08002B2CF9AE}" pid="4" name="&lt;Type&gt;">
    <vt:lpwstr>RR</vt:lpwstr>
  </property>
</Properties>
</file>