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4C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4C2F" w:rsidRDefault="007D427D" w:rsidP="0010095E">
            <w:pPr>
              <w:pStyle w:val="EPName"/>
            </w:pPr>
            <w:r w:rsidRPr="00004C2F">
              <w:t>Parlement européen</w:t>
            </w:r>
          </w:p>
          <w:p w:rsidR="00751A4A" w:rsidRPr="00004C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7CBF">
              <w:t>2019</w:t>
            </w:r>
            <w:r w:rsidRPr="00004C2F">
              <w:t>-</w:t>
            </w:r>
            <w:r w:rsidRPr="00127CB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04C2F" w:rsidRDefault="00187494" w:rsidP="0010095E">
            <w:pPr>
              <w:pStyle w:val="EPLogo"/>
            </w:pPr>
            <w:r w:rsidRPr="00004C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4C2F" w:rsidRDefault="00D058B8" w:rsidP="004C5D52">
      <w:pPr>
        <w:pStyle w:val="LineTop"/>
      </w:pPr>
    </w:p>
    <w:p w:rsidR="00680577" w:rsidRPr="00004C2F" w:rsidRDefault="007D427D" w:rsidP="00680577">
      <w:pPr>
        <w:pStyle w:val="EPBodyTA1"/>
      </w:pPr>
      <w:r w:rsidRPr="00004C2F">
        <w:t>TEXTES ADOPTÉS</w:t>
      </w:r>
    </w:p>
    <w:p w:rsidR="00D058B8" w:rsidRPr="00004C2F" w:rsidRDefault="00D058B8" w:rsidP="00D058B8">
      <w:pPr>
        <w:pStyle w:val="LineBottom"/>
      </w:pPr>
    </w:p>
    <w:p w:rsidR="007D427D" w:rsidRPr="00004C2F" w:rsidRDefault="007D427D" w:rsidP="007D427D">
      <w:pPr>
        <w:pStyle w:val="ATHeading1"/>
      </w:pPr>
      <w:bookmarkStart w:id="0" w:name="TANumber"/>
      <w:r w:rsidRPr="00004C2F">
        <w:t>P</w:t>
      </w:r>
      <w:r w:rsidRPr="00127CBF">
        <w:t>9</w:t>
      </w:r>
      <w:r w:rsidRPr="00004C2F">
        <w:t>_</w:t>
      </w:r>
      <w:proofErr w:type="gramStart"/>
      <w:r w:rsidRPr="00004C2F">
        <w:t>TA(</w:t>
      </w:r>
      <w:proofErr w:type="gramEnd"/>
      <w:r w:rsidRPr="00127CBF">
        <w:t>2024</w:t>
      </w:r>
      <w:r w:rsidRPr="00004C2F">
        <w:t>)</w:t>
      </w:r>
      <w:r w:rsidRPr="00127CBF">
        <w:t>0</w:t>
      </w:r>
      <w:r w:rsidR="00D74ADE" w:rsidRPr="00127CBF">
        <w:t>352</w:t>
      </w:r>
      <w:bookmarkEnd w:id="0"/>
    </w:p>
    <w:p w:rsidR="007D427D" w:rsidRPr="00004C2F" w:rsidRDefault="00A6338D" w:rsidP="007D427D">
      <w:pPr>
        <w:pStyle w:val="ATHeading2"/>
      </w:pPr>
      <w:bookmarkStart w:id="1" w:name="title"/>
      <w:r>
        <w:t>S</w:t>
      </w:r>
      <w:r w:rsidRPr="00A6338D">
        <w:t>tructures avec actions à votes multiples dans les entreprises qui demandent l’admission à la négociation de leurs actions sur un marché de croissance des PME</w:t>
      </w:r>
      <w:bookmarkEnd w:id="1"/>
    </w:p>
    <w:p w:rsidR="007D427D" w:rsidRPr="00004C2F" w:rsidRDefault="007D427D" w:rsidP="007D427D">
      <w:pPr>
        <w:rPr>
          <w:i/>
          <w:vanish/>
        </w:rPr>
      </w:pPr>
      <w:r w:rsidRPr="00004C2F">
        <w:rPr>
          <w:i/>
        </w:rPr>
        <w:fldChar w:fldCharType="begin"/>
      </w:r>
      <w:r w:rsidRPr="00004C2F">
        <w:rPr>
          <w:i/>
        </w:rPr>
        <w:instrText xml:space="preserve"> TC"(</w:instrText>
      </w:r>
      <w:bookmarkStart w:id="2" w:name="DocNumber"/>
      <w:r w:rsidRPr="00004C2F">
        <w:rPr>
          <w:i/>
        </w:rPr>
        <w:instrText>A</w:instrText>
      </w:r>
      <w:r w:rsidRPr="00127CBF">
        <w:rPr>
          <w:i/>
        </w:rPr>
        <w:instrText>9</w:instrText>
      </w:r>
      <w:r w:rsidRPr="00004C2F">
        <w:rPr>
          <w:i/>
        </w:rPr>
        <w:instrText>-</w:instrText>
      </w:r>
      <w:r w:rsidRPr="00127CBF">
        <w:rPr>
          <w:i/>
        </w:rPr>
        <w:instrText>0300</w:instrText>
      </w:r>
      <w:r w:rsidRPr="00004C2F">
        <w:rPr>
          <w:i/>
        </w:rPr>
        <w:instrText>/</w:instrText>
      </w:r>
      <w:r w:rsidRPr="00127CBF">
        <w:rPr>
          <w:i/>
        </w:rPr>
        <w:instrText>2023</w:instrText>
      </w:r>
      <w:bookmarkEnd w:id="2"/>
      <w:r w:rsidRPr="00004C2F">
        <w:rPr>
          <w:i/>
        </w:rPr>
        <w:instrText xml:space="preserve"> - Rapporteur: Alfred Sant)"\l</w:instrText>
      </w:r>
      <w:r w:rsidRPr="00127CBF">
        <w:rPr>
          <w:i/>
        </w:rPr>
        <w:instrText>3</w:instrText>
      </w:r>
      <w:r w:rsidRPr="00004C2F">
        <w:rPr>
          <w:i/>
        </w:rPr>
        <w:instrText xml:space="preserve"> \n&gt; \* MERGEFORMAT </w:instrText>
      </w:r>
      <w:r w:rsidRPr="00004C2F">
        <w:rPr>
          <w:i/>
        </w:rPr>
        <w:fldChar w:fldCharType="end"/>
      </w:r>
    </w:p>
    <w:p w:rsidR="007D427D" w:rsidRPr="00004C2F" w:rsidRDefault="007D427D" w:rsidP="007D427D">
      <w:pPr>
        <w:rPr>
          <w:vanish/>
        </w:rPr>
      </w:pPr>
      <w:bookmarkStart w:id="3" w:name="Commission"/>
      <w:r w:rsidRPr="00004C2F">
        <w:rPr>
          <w:vanish/>
        </w:rPr>
        <w:t>Commission des affaires économiques et monétaires</w:t>
      </w:r>
      <w:bookmarkEnd w:id="3"/>
    </w:p>
    <w:p w:rsidR="007D427D" w:rsidRPr="00004C2F" w:rsidRDefault="007D427D" w:rsidP="007D427D">
      <w:pPr>
        <w:rPr>
          <w:vanish/>
        </w:rPr>
      </w:pPr>
      <w:bookmarkStart w:id="4" w:name="PE"/>
      <w:r w:rsidRPr="00004C2F">
        <w:rPr>
          <w:vanish/>
        </w:rPr>
        <w:t>PE</w:t>
      </w:r>
      <w:r w:rsidRPr="00127CBF">
        <w:rPr>
          <w:vanish/>
        </w:rPr>
        <w:t>749</w:t>
      </w:r>
      <w:r w:rsidRPr="00004C2F">
        <w:rPr>
          <w:vanish/>
        </w:rPr>
        <w:t>.</w:t>
      </w:r>
      <w:r w:rsidRPr="00127CBF">
        <w:rPr>
          <w:vanish/>
        </w:rPr>
        <w:t>139</w:t>
      </w:r>
      <w:bookmarkEnd w:id="4"/>
    </w:p>
    <w:p w:rsidR="007D427D" w:rsidRPr="00004C2F" w:rsidRDefault="007D427D" w:rsidP="007D427D">
      <w:pPr>
        <w:pStyle w:val="ATHeading3"/>
      </w:pPr>
      <w:bookmarkStart w:id="5" w:name="Sujet"/>
      <w:r w:rsidRPr="00004C2F">
        <w:t xml:space="preserve">Résolution législative du Parlement européen du </w:t>
      </w:r>
      <w:r w:rsidR="00913BF8" w:rsidRPr="00127CBF">
        <w:t>24</w:t>
      </w:r>
      <w:r w:rsidR="00A6338D">
        <w:t xml:space="preserve"> avril</w:t>
      </w:r>
      <w:r w:rsidRPr="00004C2F">
        <w:t xml:space="preserve"> </w:t>
      </w:r>
      <w:r w:rsidRPr="00127CBF">
        <w:t>2024</w:t>
      </w:r>
      <w:r w:rsidRPr="00004C2F">
        <w:t xml:space="preserve"> sur la proposition de directive du Parlement européen et du Conseil sur les structures avec actions à votes multiples dans les entreprises qui demandent l’admission à la négociation de leurs actions sur un marché de croissance des PME</w:t>
      </w:r>
      <w:bookmarkEnd w:id="5"/>
      <w:r w:rsidRPr="00004C2F">
        <w:t xml:space="preserve"> </w:t>
      </w:r>
      <w:bookmarkStart w:id="6" w:name="References"/>
      <w:r w:rsidRPr="00004C2F">
        <w:t>(</w:t>
      </w:r>
      <w:proofErr w:type="gramStart"/>
      <w:r w:rsidRPr="00004C2F">
        <w:t>COM(</w:t>
      </w:r>
      <w:proofErr w:type="gramEnd"/>
      <w:r w:rsidRPr="00127CBF">
        <w:t>2022</w:t>
      </w:r>
      <w:r w:rsidRPr="00004C2F">
        <w:t>)</w:t>
      </w:r>
      <w:r w:rsidRPr="00127CBF">
        <w:t>0761</w:t>
      </w:r>
      <w:r w:rsidRPr="00004C2F">
        <w:t xml:space="preserve"> – C</w:t>
      </w:r>
      <w:r w:rsidRPr="00127CBF">
        <w:t>9</w:t>
      </w:r>
      <w:r w:rsidRPr="00004C2F">
        <w:t>-</w:t>
      </w:r>
      <w:r w:rsidRPr="00127CBF">
        <w:t>0416</w:t>
      </w:r>
      <w:r w:rsidRPr="00004C2F">
        <w:t>/</w:t>
      </w:r>
      <w:r w:rsidRPr="00127CBF">
        <w:t>2022</w:t>
      </w:r>
      <w:r w:rsidRPr="00004C2F">
        <w:t xml:space="preserve"> – </w:t>
      </w:r>
      <w:r w:rsidRPr="00127CBF">
        <w:t>2022</w:t>
      </w:r>
      <w:r w:rsidRPr="00004C2F">
        <w:t>/</w:t>
      </w:r>
      <w:r w:rsidRPr="00127CBF">
        <w:t>0406</w:t>
      </w:r>
      <w:r w:rsidRPr="00004C2F">
        <w:t>(COD))</w:t>
      </w:r>
      <w:bookmarkEnd w:id="6"/>
    </w:p>
    <w:p w:rsidR="007D427D" w:rsidRPr="00004C2F" w:rsidRDefault="007D427D" w:rsidP="007D427D"/>
    <w:p w:rsidR="00806C66" w:rsidRPr="00004C2F" w:rsidRDefault="00806C66" w:rsidP="00806C66">
      <w:pPr>
        <w:pStyle w:val="NormalBold"/>
        <w:widowControl/>
      </w:pPr>
      <w:bookmarkStart w:id="7" w:name="TextBodyBegin"/>
      <w:bookmarkEnd w:id="7"/>
      <w:r w:rsidRPr="00004C2F">
        <w:t>(Procédure législative ordinaire: première lecture)</w:t>
      </w:r>
    </w:p>
    <w:p w:rsidR="00806C66" w:rsidRPr="00004C2F" w:rsidRDefault="00806C66" w:rsidP="00806C66">
      <w:pPr>
        <w:pStyle w:val="EPComma"/>
        <w:widowControl/>
      </w:pPr>
      <w:r w:rsidRPr="00004C2F">
        <w:rPr>
          <w:i/>
        </w:rPr>
        <w:t>Le Parlement européen</w:t>
      </w:r>
      <w:r w:rsidRPr="00004C2F">
        <w:t>,</w:t>
      </w:r>
    </w:p>
    <w:p w:rsidR="00806C66" w:rsidRPr="00004C2F" w:rsidRDefault="00806C66" w:rsidP="00806C66">
      <w:pPr>
        <w:pStyle w:val="NormalHanging12a"/>
      </w:pPr>
      <w:r w:rsidRPr="00004C2F">
        <w:t>–</w:t>
      </w:r>
      <w:r w:rsidRPr="00004C2F">
        <w:tab/>
        <w:t>vu la proposition de la Commission au Parlement européen et au Conseil (</w:t>
      </w:r>
      <w:proofErr w:type="gramStart"/>
      <w:r w:rsidRPr="00004C2F">
        <w:t>COM(</w:t>
      </w:r>
      <w:proofErr w:type="gramEnd"/>
      <w:r w:rsidRPr="00127CBF">
        <w:t>2022</w:t>
      </w:r>
      <w:r w:rsidRPr="00004C2F">
        <w:t>)</w:t>
      </w:r>
      <w:r w:rsidRPr="00127CBF">
        <w:t>0761</w:t>
      </w:r>
      <w:r w:rsidRPr="00004C2F">
        <w:t>),</w:t>
      </w:r>
    </w:p>
    <w:p w:rsidR="00806C66" w:rsidRPr="00004C2F" w:rsidRDefault="00806C66" w:rsidP="00806C66">
      <w:pPr>
        <w:pStyle w:val="NormalHanging12a"/>
      </w:pPr>
      <w:r w:rsidRPr="00004C2F">
        <w:t>–</w:t>
      </w:r>
      <w:r w:rsidRPr="00004C2F">
        <w:tab/>
        <w:t>vu l’article </w:t>
      </w:r>
      <w:r w:rsidRPr="00127CBF">
        <w:t>294</w:t>
      </w:r>
      <w:r w:rsidRPr="00004C2F">
        <w:t>, paragraphe </w:t>
      </w:r>
      <w:r w:rsidRPr="00127CBF">
        <w:t>2</w:t>
      </w:r>
      <w:r w:rsidRPr="00004C2F">
        <w:t>, l’article </w:t>
      </w:r>
      <w:r w:rsidRPr="00127CBF">
        <w:t>50</w:t>
      </w:r>
      <w:r w:rsidRPr="00004C2F">
        <w:t>, paragraphe </w:t>
      </w:r>
      <w:r w:rsidRPr="00127CBF">
        <w:t>1</w:t>
      </w:r>
      <w:r w:rsidRPr="00004C2F">
        <w:t>, l’article </w:t>
      </w:r>
      <w:r w:rsidRPr="00127CBF">
        <w:t>50</w:t>
      </w:r>
      <w:r w:rsidRPr="00004C2F">
        <w:t>, paragraphe </w:t>
      </w:r>
      <w:r w:rsidRPr="00127CBF">
        <w:t>2</w:t>
      </w:r>
      <w:r w:rsidRPr="00004C2F">
        <w:t>, point g), et l’article </w:t>
      </w:r>
      <w:r w:rsidRPr="00127CBF">
        <w:t>114</w:t>
      </w:r>
      <w:r w:rsidRPr="00004C2F">
        <w:t xml:space="preserve"> du traité sur le fonctionnement de l’Union européenne, conformément auxquels la proposition lui a été présentée par la Commission (C</w:t>
      </w:r>
      <w:r w:rsidRPr="00127CBF">
        <w:t>9</w:t>
      </w:r>
      <w:r w:rsidRPr="00004C2F">
        <w:noBreakHyphen/>
      </w:r>
      <w:r w:rsidRPr="00127CBF">
        <w:t>0416</w:t>
      </w:r>
      <w:r w:rsidRPr="00004C2F">
        <w:t>/</w:t>
      </w:r>
      <w:r w:rsidRPr="00127CBF">
        <w:t>2022</w:t>
      </w:r>
      <w:r w:rsidRPr="00004C2F">
        <w:t>),</w:t>
      </w:r>
    </w:p>
    <w:p w:rsidR="00806C66" w:rsidRPr="00004C2F" w:rsidRDefault="00806C66" w:rsidP="00806C66">
      <w:pPr>
        <w:pStyle w:val="NormalHanging12a"/>
      </w:pPr>
      <w:r w:rsidRPr="00004C2F">
        <w:t>–</w:t>
      </w:r>
      <w:r w:rsidRPr="00004C2F">
        <w:tab/>
        <w:t>vu l’article </w:t>
      </w:r>
      <w:r w:rsidRPr="00127CBF">
        <w:t>294</w:t>
      </w:r>
      <w:r w:rsidRPr="00004C2F">
        <w:t>, paragraphe </w:t>
      </w:r>
      <w:r w:rsidRPr="00127CBF">
        <w:t>3</w:t>
      </w:r>
      <w:r w:rsidRPr="00004C2F">
        <w:t>, du traité sur le fonctionnement de l’Union européenne,</w:t>
      </w:r>
    </w:p>
    <w:p w:rsidR="00806C66" w:rsidRDefault="00806C66" w:rsidP="00806C66">
      <w:pPr>
        <w:pStyle w:val="NormalHanging12a"/>
      </w:pPr>
      <w:r w:rsidRPr="00004C2F">
        <w:t>–</w:t>
      </w:r>
      <w:r w:rsidRPr="00004C2F">
        <w:tab/>
        <w:t xml:space="preserve">vu l’avis du Comité économique et social européen du </w:t>
      </w:r>
      <w:r w:rsidRPr="00127CBF">
        <w:t>23</w:t>
      </w:r>
      <w:r w:rsidRPr="00004C2F">
        <w:t> mars </w:t>
      </w:r>
      <w:r w:rsidRPr="00127CBF">
        <w:t>2023</w:t>
      </w:r>
      <w:r w:rsidRPr="00004C2F">
        <w:rPr>
          <w:rStyle w:val="FootnoteReference"/>
        </w:rPr>
        <w:footnoteReference w:id="1"/>
      </w:r>
      <w:r w:rsidRPr="00004C2F">
        <w:t xml:space="preserve">, </w:t>
      </w:r>
    </w:p>
    <w:p w:rsidR="00913BF8" w:rsidRDefault="00913BF8" w:rsidP="00A47B49">
      <w:pPr>
        <w:spacing w:after="240"/>
        <w:ind w:left="567" w:hanging="567"/>
      </w:pPr>
      <w:r w:rsidRPr="00DB1C0F">
        <w:t>–</w:t>
      </w:r>
      <w:r w:rsidRPr="00DB1C0F">
        <w:tab/>
      </w:r>
      <w:r>
        <w:t xml:space="preserve">vu l’accord </w:t>
      </w:r>
      <w:r w:rsidRPr="00913BF8">
        <w:t>provisoire approuvé en vertu de l’article </w:t>
      </w:r>
      <w:r w:rsidRPr="00127CBF">
        <w:t>74</w:t>
      </w:r>
      <w:r w:rsidRPr="00913BF8">
        <w:t>, paragraphe </w:t>
      </w:r>
      <w:r w:rsidRPr="00127CBF">
        <w:t>4</w:t>
      </w:r>
      <w:r w:rsidRPr="00913BF8">
        <w:t xml:space="preserve">, de son règlement intérieur par </w:t>
      </w:r>
      <w:r w:rsidRPr="00A47B49">
        <w:t>la commission compétente</w:t>
      </w:r>
      <w:r w:rsidRPr="00913BF8">
        <w:t xml:space="preserve"> et l’engagement pris par le représentant du Conseil, par lettre du </w:t>
      </w:r>
      <w:r w:rsidRPr="00127CBF">
        <w:t>14</w:t>
      </w:r>
      <w:r w:rsidRPr="00913BF8">
        <w:t xml:space="preserve"> février </w:t>
      </w:r>
      <w:r w:rsidRPr="00127CBF">
        <w:t>2024</w:t>
      </w:r>
      <w:r w:rsidRPr="00913BF8">
        <w:t xml:space="preserve">, d’approuver la </w:t>
      </w:r>
      <w:r w:rsidRPr="00A47B49">
        <w:t>position du Parlement européen</w:t>
      </w:r>
      <w:r w:rsidRPr="00913BF8">
        <w:t>, conformément à l’article </w:t>
      </w:r>
      <w:r w:rsidRPr="00127CBF">
        <w:t>294</w:t>
      </w:r>
      <w:r w:rsidRPr="00913BF8">
        <w:t>, paragraphe </w:t>
      </w:r>
      <w:r w:rsidRPr="00127CBF">
        <w:t>4</w:t>
      </w:r>
      <w:r w:rsidRPr="00913BF8">
        <w:t>, du traité sur le fonctionnement de l’Union européenne,</w:t>
      </w:r>
    </w:p>
    <w:p w:rsidR="00806C66" w:rsidRPr="00004C2F" w:rsidRDefault="00806C66" w:rsidP="00A47B49">
      <w:pPr>
        <w:pStyle w:val="NormalHanging12a"/>
      </w:pPr>
      <w:r w:rsidRPr="00004C2F">
        <w:t>–</w:t>
      </w:r>
      <w:r w:rsidRPr="00004C2F">
        <w:tab/>
        <w:t>vu l’article </w:t>
      </w:r>
      <w:r w:rsidRPr="00127CBF">
        <w:t>59</w:t>
      </w:r>
      <w:r w:rsidRPr="00004C2F">
        <w:t xml:space="preserve"> de son règlement intérieur,</w:t>
      </w:r>
    </w:p>
    <w:p w:rsidR="00806C66" w:rsidRPr="00004C2F" w:rsidRDefault="00806C66" w:rsidP="00A47B49">
      <w:pPr>
        <w:pStyle w:val="NormalHanging12a"/>
      </w:pPr>
      <w:r w:rsidRPr="00004C2F">
        <w:lastRenderedPageBreak/>
        <w:t>–</w:t>
      </w:r>
      <w:r w:rsidRPr="00004C2F">
        <w:tab/>
        <w:t>vu l’avis de la commission des affaires juridiques,</w:t>
      </w:r>
    </w:p>
    <w:p w:rsidR="00806C66" w:rsidRPr="00004C2F" w:rsidRDefault="00806C66" w:rsidP="00806C66">
      <w:pPr>
        <w:pStyle w:val="NormalHanging12a"/>
      </w:pPr>
      <w:r w:rsidRPr="00004C2F">
        <w:t>–</w:t>
      </w:r>
      <w:r w:rsidRPr="00004C2F">
        <w:tab/>
        <w:t>vu le rapport de la commission des affaires économiques et monétaires (A</w:t>
      </w:r>
      <w:r w:rsidRPr="00127CBF">
        <w:t>9</w:t>
      </w:r>
      <w:r w:rsidRPr="00004C2F">
        <w:t>-</w:t>
      </w:r>
      <w:r w:rsidRPr="00127CBF">
        <w:t>0300</w:t>
      </w:r>
      <w:r w:rsidRPr="00004C2F">
        <w:t>/</w:t>
      </w:r>
      <w:r w:rsidRPr="00127CBF">
        <w:t>2023</w:t>
      </w:r>
      <w:r w:rsidRPr="00004C2F">
        <w:t>),</w:t>
      </w:r>
    </w:p>
    <w:p w:rsidR="00806C66" w:rsidRPr="00004C2F" w:rsidRDefault="00806C66" w:rsidP="00806C66">
      <w:pPr>
        <w:pStyle w:val="NormalHanging12a"/>
      </w:pPr>
      <w:r w:rsidRPr="00127CBF">
        <w:t>1</w:t>
      </w:r>
      <w:r w:rsidRPr="00004C2F">
        <w:t>.</w:t>
      </w:r>
      <w:r w:rsidRPr="00004C2F">
        <w:tab/>
        <w:t>arrête la position en première lecture figurant ci-après;</w:t>
      </w:r>
    </w:p>
    <w:p w:rsidR="00806C66" w:rsidRPr="00004C2F" w:rsidRDefault="00806C66" w:rsidP="00806C66">
      <w:pPr>
        <w:pStyle w:val="NormalHanging12a"/>
      </w:pPr>
      <w:r w:rsidRPr="00127CBF">
        <w:t>2</w:t>
      </w:r>
      <w:r w:rsidRPr="00004C2F">
        <w:t>.</w:t>
      </w:r>
      <w:r w:rsidRPr="00004C2F">
        <w:tab/>
        <w:t>demande à la Commission de le saisir à nouveau, si elle remplace, modifie de manière substantielle ou entend modifier de manière substantielle sa proposition;</w:t>
      </w:r>
    </w:p>
    <w:p w:rsidR="00806C66" w:rsidRPr="00004C2F" w:rsidRDefault="00806C66" w:rsidP="00806C66">
      <w:pPr>
        <w:pStyle w:val="NormalHanging12a"/>
      </w:pPr>
      <w:r w:rsidRPr="00127CBF">
        <w:t>3</w:t>
      </w:r>
      <w:r w:rsidRPr="00004C2F">
        <w:t>.</w:t>
      </w:r>
      <w:r w:rsidRPr="00004C2F">
        <w:tab/>
        <w:t>charge sa Présidente de transmettre la position du Parlement au Conseil et à la Commission ainsi qu’aux parlements nationaux.</w:t>
      </w:r>
    </w:p>
    <w:p w:rsidR="00587EB7" w:rsidRDefault="00587EB7" w:rsidP="00913BF8">
      <w:pPr>
        <w:autoSpaceDE w:val="0"/>
        <w:autoSpaceDN w:val="0"/>
        <w:adjustRightInd w:val="0"/>
        <w:spacing w:after="240"/>
        <w:sectPr w:rsidR="00587EB7" w:rsidSect="00004C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13BF8" w:rsidRPr="00A47B49" w:rsidRDefault="00913BF8" w:rsidP="00913BF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47B49">
        <w:rPr>
          <w:rFonts w:eastAsia="Calibri"/>
          <w:b/>
          <w:bCs/>
          <w:color w:val="000000"/>
          <w:szCs w:val="24"/>
        </w:rPr>
        <w:lastRenderedPageBreak/>
        <w:t>P</w:t>
      </w:r>
      <w:r w:rsidRPr="00127CBF">
        <w:rPr>
          <w:rFonts w:eastAsia="Calibri"/>
          <w:b/>
          <w:bCs/>
          <w:color w:val="000000"/>
          <w:szCs w:val="24"/>
        </w:rPr>
        <w:t>9</w:t>
      </w:r>
      <w:r w:rsidRPr="00A47B49">
        <w:rPr>
          <w:rFonts w:eastAsia="Calibri"/>
          <w:b/>
          <w:bCs/>
          <w:color w:val="000000"/>
          <w:szCs w:val="24"/>
        </w:rPr>
        <w:t>_TC</w:t>
      </w:r>
      <w:r w:rsidRPr="00127CBF">
        <w:rPr>
          <w:rFonts w:eastAsia="Calibri"/>
          <w:b/>
          <w:bCs/>
          <w:color w:val="000000"/>
          <w:szCs w:val="24"/>
        </w:rPr>
        <w:t>1</w:t>
      </w:r>
      <w:r w:rsidRPr="00A47B49">
        <w:rPr>
          <w:rFonts w:eastAsia="Calibri"/>
          <w:b/>
          <w:bCs/>
          <w:color w:val="000000"/>
          <w:szCs w:val="24"/>
        </w:rPr>
        <w:t>-</w:t>
      </w:r>
      <w:proofErr w:type="gramStart"/>
      <w:r w:rsidRPr="00A47B49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127CBF">
        <w:rPr>
          <w:rFonts w:eastAsia="Calibri"/>
          <w:b/>
          <w:bCs/>
          <w:color w:val="000000"/>
          <w:szCs w:val="24"/>
        </w:rPr>
        <w:t>2022</w:t>
      </w:r>
      <w:r w:rsidRPr="00A47B49">
        <w:rPr>
          <w:rFonts w:eastAsia="Calibri"/>
          <w:b/>
          <w:bCs/>
          <w:color w:val="000000"/>
          <w:szCs w:val="24"/>
        </w:rPr>
        <w:t>)</w:t>
      </w:r>
      <w:r w:rsidRPr="00127CBF">
        <w:rPr>
          <w:rFonts w:eastAsia="Calibri"/>
          <w:b/>
          <w:bCs/>
          <w:color w:val="000000"/>
          <w:szCs w:val="24"/>
        </w:rPr>
        <w:t>0406</w:t>
      </w:r>
    </w:p>
    <w:p w:rsidR="00913BF8" w:rsidRDefault="00A8393F" w:rsidP="00A8393F">
      <w:pPr>
        <w:spacing w:after="240"/>
        <w:rPr>
          <w:rFonts w:eastAsia="Calibri"/>
          <w:b/>
          <w:i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</w:t>
      </w:r>
      <w:r w:rsidRPr="00A8393F">
        <w:rPr>
          <w:b/>
        </w:rPr>
        <w:t xml:space="preserve">première lecture le </w:t>
      </w:r>
      <w:r w:rsidRPr="00127CBF">
        <w:rPr>
          <w:b/>
        </w:rPr>
        <w:t>24</w:t>
      </w:r>
      <w:r>
        <w:rPr>
          <w:b/>
        </w:rPr>
        <w:t xml:space="preserve"> avril</w:t>
      </w:r>
      <w:r w:rsidRPr="00A8393F">
        <w:rPr>
          <w:b/>
        </w:rPr>
        <w:t xml:space="preserve"> </w:t>
      </w:r>
      <w:r w:rsidRPr="00127CBF">
        <w:rPr>
          <w:b/>
        </w:rPr>
        <w:t>2024</w:t>
      </w:r>
      <w:r w:rsidRPr="00A8393F">
        <w:rPr>
          <w:b/>
        </w:rPr>
        <w:t xml:space="preserve"> en vue de l’adoption d</w:t>
      </w:r>
      <w:r>
        <w:rPr>
          <w:b/>
        </w:rPr>
        <w:t>e la directive</w:t>
      </w:r>
      <w:r w:rsidRPr="00A8393F">
        <w:rPr>
          <w:b/>
        </w:rPr>
        <w:t xml:space="preserve"> (UE) </w:t>
      </w:r>
      <w:r w:rsidRPr="00127CBF">
        <w:rPr>
          <w:b/>
        </w:rPr>
        <w:t>2024</w:t>
      </w:r>
      <w:r w:rsidRPr="00A8393F">
        <w:rPr>
          <w:b/>
        </w:rPr>
        <w:t>/... du Parlement européen</w:t>
      </w:r>
      <w:r w:rsidRPr="007C3D18">
        <w:rPr>
          <w:b/>
        </w:rPr>
        <w:t xml:space="preserve"> et du Conseil </w:t>
      </w:r>
      <w:r w:rsidR="00913BF8" w:rsidRPr="00913BF8">
        <w:rPr>
          <w:rFonts w:eastAsia="Calibri"/>
          <w:b/>
          <w:szCs w:val="22"/>
          <w:lang w:eastAsia="en-US"/>
        </w:rPr>
        <w:t xml:space="preserve">sur les structures avec actions à votes multiples dans les entreprises qui demandent l'admission à la négociation de leurs actions sur un </w:t>
      </w:r>
      <w:r w:rsidR="00913BF8" w:rsidRPr="00FE6A88">
        <w:rPr>
          <w:rFonts w:eastAsia="Calibri"/>
          <w:b/>
          <w:szCs w:val="22"/>
          <w:lang w:eastAsia="en-US"/>
        </w:rPr>
        <w:t>système multilatéral de négociation</w:t>
      </w:r>
    </w:p>
    <w:p w:rsidR="00FE6A88" w:rsidRDefault="00FE6A88" w:rsidP="00FE6A88">
      <w:pPr>
        <w:pStyle w:val="NormalWeb"/>
        <w:spacing w:before="360" w:beforeAutospacing="0" w:after="240" w:afterAutospacing="0"/>
        <w:rPr>
          <w:lang w:val="fr-FR"/>
        </w:rPr>
      </w:pPr>
      <w:r>
        <w:rPr>
          <w:i/>
          <w:iCs/>
          <w:lang w:val="fr-FR"/>
        </w:rPr>
        <w:t>(Étant donné l'accord intervenu entre le Parlement et le Conseil, la position du Parlement correspond à l'acte législatif final, l</w:t>
      </w:r>
      <w:r>
        <w:rPr>
          <w:i/>
          <w:iCs/>
          <w:lang w:val="fr-FR"/>
        </w:rPr>
        <w:t>a directive</w:t>
      </w:r>
      <w:r>
        <w:rPr>
          <w:i/>
          <w:iCs/>
          <w:lang w:val="fr-FR"/>
        </w:rPr>
        <w:t xml:space="preserve"> (UE) 202</w:t>
      </w:r>
      <w:r>
        <w:rPr>
          <w:i/>
          <w:iCs/>
          <w:lang w:val="fr-FR"/>
        </w:rPr>
        <w:t>4</w:t>
      </w:r>
      <w:r>
        <w:rPr>
          <w:i/>
          <w:iCs/>
          <w:lang w:val="fr-FR"/>
        </w:rPr>
        <w:t>/</w:t>
      </w:r>
      <w:r>
        <w:rPr>
          <w:i/>
          <w:iCs/>
          <w:lang w:val="fr-FR"/>
        </w:rPr>
        <w:t>2810</w:t>
      </w:r>
      <w:r>
        <w:rPr>
          <w:i/>
          <w:iCs/>
          <w:lang w:val="fr-FR"/>
        </w:rPr>
        <w:t>.)</w:t>
      </w:r>
    </w:p>
    <w:p w:rsidR="00FE6A88" w:rsidRPr="00913BF8" w:rsidRDefault="00FE6A88" w:rsidP="00A8393F">
      <w:pPr>
        <w:spacing w:after="240"/>
        <w:rPr>
          <w:rFonts w:eastAsia="Calibri"/>
          <w:b/>
          <w:bCs/>
          <w:szCs w:val="22"/>
          <w:lang w:eastAsia="en-US"/>
        </w:rPr>
      </w:pPr>
      <w:bookmarkStart w:id="8" w:name="_GoBack"/>
      <w:bookmarkEnd w:id="8"/>
    </w:p>
    <w:sectPr w:rsidR="00FE6A88" w:rsidRPr="00913BF8" w:rsidSect="00004C2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27D" w:rsidRPr="00004C2F" w:rsidRDefault="007D427D">
      <w:r w:rsidRPr="00004C2F">
        <w:separator/>
      </w:r>
    </w:p>
  </w:endnote>
  <w:endnote w:type="continuationSeparator" w:id="0">
    <w:p w:rsidR="007D427D" w:rsidRPr="00004C2F" w:rsidRDefault="007D427D">
      <w:r w:rsidRPr="00004C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C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C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C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27D" w:rsidRPr="00004C2F" w:rsidRDefault="007D427D">
      <w:r w:rsidRPr="00004C2F">
        <w:separator/>
      </w:r>
    </w:p>
  </w:footnote>
  <w:footnote w:type="continuationSeparator" w:id="0">
    <w:p w:rsidR="007D427D" w:rsidRPr="00004C2F" w:rsidRDefault="007D427D">
      <w:r w:rsidRPr="00004C2F">
        <w:continuationSeparator/>
      </w:r>
    </w:p>
  </w:footnote>
  <w:footnote w:id="1">
    <w:p w:rsidR="00806C66" w:rsidRPr="00A87389" w:rsidRDefault="00806C66" w:rsidP="00004C2F">
      <w:pPr>
        <w:pStyle w:val="FootnoteText"/>
        <w:ind w:left="567" w:hanging="567"/>
        <w:rPr>
          <w:sz w:val="24"/>
          <w:szCs w:val="24"/>
        </w:rPr>
      </w:pPr>
      <w:r w:rsidRPr="00A87389">
        <w:rPr>
          <w:rStyle w:val="FootnoteReference"/>
          <w:sz w:val="24"/>
          <w:szCs w:val="24"/>
        </w:rPr>
        <w:footnoteRef/>
      </w:r>
      <w:r w:rsidR="00004C2F" w:rsidRPr="00A87389">
        <w:rPr>
          <w:sz w:val="24"/>
          <w:szCs w:val="24"/>
        </w:rPr>
        <w:t xml:space="preserve"> </w:t>
      </w:r>
      <w:r w:rsidR="00004C2F" w:rsidRPr="00A87389">
        <w:rPr>
          <w:sz w:val="24"/>
          <w:szCs w:val="24"/>
        </w:rPr>
        <w:tab/>
      </w:r>
      <w:r w:rsidRPr="00A87389">
        <w:rPr>
          <w:sz w:val="24"/>
          <w:szCs w:val="24"/>
        </w:rPr>
        <w:t>JO C 184 du 25.5.2023, p. 103.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C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C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04C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FR"/>
    <w:docVar w:name="dvnumam" w:val="0"/>
    <w:docVar w:name="dvpe" w:val="749.139"/>
    <w:docVar w:name="dvrapporteur" w:val="Rapporteur: "/>
    <w:docVar w:name="dvstar" w:val="***I"/>
    <w:docVar w:name="dvtitre" w:val="Résolution législative du Parlement européen du ... 2024  sur la proposition de directive du Parlement européen et du Conseil sur les structures avec actions à votes multiples dans les entreprises qui demandent l’admission à la négociation de leurs actions sur un marché de croissance des PME(COM(2022)0761 – C9-0416/2022 – 2022/0406(COD))"/>
  </w:docVars>
  <w:rsids>
    <w:rsidRoot w:val="007D427D"/>
    <w:rsid w:val="00002272"/>
    <w:rsid w:val="00004C2F"/>
    <w:rsid w:val="00064002"/>
    <w:rsid w:val="000677B9"/>
    <w:rsid w:val="000831BA"/>
    <w:rsid w:val="000A42CC"/>
    <w:rsid w:val="000E7DD9"/>
    <w:rsid w:val="0010095E"/>
    <w:rsid w:val="00125B37"/>
    <w:rsid w:val="00127CBF"/>
    <w:rsid w:val="00187494"/>
    <w:rsid w:val="001F32AE"/>
    <w:rsid w:val="002767FF"/>
    <w:rsid w:val="002B18FE"/>
    <w:rsid w:val="002B5493"/>
    <w:rsid w:val="00343214"/>
    <w:rsid w:val="00361C00"/>
    <w:rsid w:val="00395FA1"/>
    <w:rsid w:val="003976F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EB7"/>
    <w:rsid w:val="005C2568"/>
    <w:rsid w:val="006037C0"/>
    <w:rsid w:val="006631B6"/>
    <w:rsid w:val="00680577"/>
    <w:rsid w:val="006F74FA"/>
    <w:rsid w:val="00731ADD"/>
    <w:rsid w:val="00733C07"/>
    <w:rsid w:val="00734777"/>
    <w:rsid w:val="00747932"/>
    <w:rsid w:val="00751A4A"/>
    <w:rsid w:val="00756632"/>
    <w:rsid w:val="00762C74"/>
    <w:rsid w:val="00786EC0"/>
    <w:rsid w:val="007D1690"/>
    <w:rsid w:val="007D427D"/>
    <w:rsid w:val="007E22AD"/>
    <w:rsid w:val="00806C66"/>
    <w:rsid w:val="00817416"/>
    <w:rsid w:val="00842779"/>
    <w:rsid w:val="00865F67"/>
    <w:rsid w:val="00881A7B"/>
    <w:rsid w:val="008840E5"/>
    <w:rsid w:val="00887B3E"/>
    <w:rsid w:val="008C2AC6"/>
    <w:rsid w:val="00913BF8"/>
    <w:rsid w:val="00930C23"/>
    <w:rsid w:val="0093193B"/>
    <w:rsid w:val="009509D8"/>
    <w:rsid w:val="00950B64"/>
    <w:rsid w:val="00981893"/>
    <w:rsid w:val="00A1687D"/>
    <w:rsid w:val="00A43E52"/>
    <w:rsid w:val="00A4678D"/>
    <w:rsid w:val="00A47B49"/>
    <w:rsid w:val="00A6338D"/>
    <w:rsid w:val="00A778C7"/>
    <w:rsid w:val="00A8393F"/>
    <w:rsid w:val="00A87389"/>
    <w:rsid w:val="00AB441E"/>
    <w:rsid w:val="00AB6293"/>
    <w:rsid w:val="00AE0928"/>
    <w:rsid w:val="00AF3B82"/>
    <w:rsid w:val="00B04D1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AD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08C9F"/>
  <w15:chartTrackingRefBased/>
  <w15:docId w15:val="{7EB55CC7-BD0C-4762-BDAD-772AD6B5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06C66"/>
    <w:rPr>
      <w:b/>
    </w:rPr>
  </w:style>
  <w:style w:type="paragraph" w:customStyle="1" w:styleId="NormalHanging12a">
    <w:name w:val="NormalHanging12a"/>
    <w:basedOn w:val="Normal"/>
    <w:rsid w:val="00806C66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806C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806C6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806C66"/>
    <w:rPr>
      <w:b/>
      <w:sz w:val="24"/>
      <w:lang w:val="fr-FR"/>
    </w:rPr>
  </w:style>
  <w:style w:type="paragraph" w:customStyle="1" w:styleId="NormalCenter12a">
    <w:name w:val="NormalCenter12a"/>
    <w:basedOn w:val="Normal"/>
    <w:rsid w:val="00806C66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806C66"/>
    <w:pPr>
      <w:spacing w:before="720" w:after="240"/>
      <w:jc w:val="center"/>
    </w:pPr>
    <w:rPr>
      <w:lang w:val="en-GB"/>
    </w:rPr>
  </w:style>
  <w:style w:type="paragraph" w:customStyle="1" w:styleId="NormalCentered">
    <w:name w:val="Normal Centered"/>
    <w:basedOn w:val="Normal"/>
    <w:rsid w:val="00806C66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806C66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806C66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Normal"/>
    <w:rsid w:val="00806C66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806C6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806C66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806C66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806C66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806C66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806C66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806C66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806C66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806C66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806C66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Normal"/>
    <w:next w:val="Normal"/>
    <w:rsid w:val="00806C66"/>
    <w:pPr>
      <w:widowControl/>
      <w:spacing w:before="360" w:after="240"/>
      <w:jc w:val="center"/>
    </w:pPr>
    <w:rPr>
      <w:rFonts w:eastAsiaTheme="minorHAnsi"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806C66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character" w:customStyle="1" w:styleId="AmNumberTabsChar">
    <w:name w:val="AmNumberTabs Char"/>
    <w:basedOn w:val="DefaultParagraphFont"/>
    <w:link w:val="AmNumberTabs"/>
    <w:rsid w:val="00806C66"/>
    <w:rPr>
      <w:b/>
      <w:sz w:val="24"/>
      <w:lang w:val="fr-FR"/>
    </w:rPr>
  </w:style>
  <w:style w:type="paragraph" w:styleId="BalloonText">
    <w:name w:val="Balloon Text"/>
    <w:basedOn w:val="Normal"/>
    <w:link w:val="BalloonTextChar"/>
    <w:rsid w:val="00A47B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47B49"/>
    <w:rPr>
      <w:rFonts w:ascii="Segoe UI" w:hAnsi="Segoe UI" w:cs="Segoe UI"/>
      <w:sz w:val="18"/>
      <w:szCs w:val="18"/>
      <w:lang w:val="fr-FR"/>
    </w:rPr>
  </w:style>
  <w:style w:type="paragraph" w:styleId="NormalWeb">
    <w:name w:val="Normal (Web)"/>
    <w:basedOn w:val="Normal"/>
    <w:uiPriority w:val="99"/>
    <w:unhideWhenUsed/>
    <w:rsid w:val="00FE6A88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9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DAD9B-D33B-4167-BAF0-2B0D19A4C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2025-03-18T15:34:00Z</dcterms:created>
  <dcterms:modified xsi:type="dcterms:W3CDTF">2025-03-18T15:34:00Z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