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5E12" w:rsidTr="0010095E">
        <w:trPr>
          <w:trHeight w:hRule="exact" w:val="1418"/>
        </w:trPr>
        <w:tc>
          <w:tcPr>
            <w:tcW w:w="6804" w:type="dxa"/>
            <w:shd w:val="clear" w:color="auto" w:fill="auto"/>
            <w:vAlign w:val="center"/>
          </w:tcPr>
          <w:p w:rsidR="00751A4A" w:rsidRPr="00D35E12" w:rsidRDefault="0021421F" w:rsidP="0010095E">
            <w:pPr>
              <w:pStyle w:val="EPName"/>
            </w:pPr>
            <w:r w:rsidRPr="00D35E12">
              <w:t>Europski parlament</w:t>
            </w:r>
          </w:p>
          <w:p w:rsidR="00751A4A" w:rsidRPr="00D35E12" w:rsidRDefault="00817416" w:rsidP="00756632">
            <w:pPr>
              <w:pStyle w:val="EPTerm"/>
              <w:rPr>
                <w:rStyle w:val="HideTWBExt"/>
                <w:noProof w:val="0"/>
                <w:vanish w:val="0"/>
                <w:color w:val="auto"/>
              </w:rPr>
            </w:pPr>
            <w:r w:rsidRPr="00CF4BE7">
              <w:t>2019</w:t>
            </w:r>
            <w:r w:rsidRPr="00D35E12">
              <w:t>-</w:t>
            </w:r>
            <w:r w:rsidRPr="00CF4BE7">
              <w:t>2024</w:t>
            </w:r>
          </w:p>
        </w:tc>
        <w:tc>
          <w:tcPr>
            <w:tcW w:w="2268" w:type="dxa"/>
            <w:shd w:val="clear" w:color="auto" w:fill="auto"/>
          </w:tcPr>
          <w:p w:rsidR="00751A4A" w:rsidRPr="00D35E12" w:rsidRDefault="00187494" w:rsidP="0010095E">
            <w:pPr>
              <w:pStyle w:val="EPLogo"/>
            </w:pPr>
            <w:r w:rsidRPr="00D35E12">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35E12" w:rsidRDefault="00D058B8" w:rsidP="004C5D52">
      <w:pPr>
        <w:pStyle w:val="LineTop"/>
      </w:pPr>
    </w:p>
    <w:p w:rsidR="00680577" w:rsidRPr="00D35E12" w:rsidRDefault="0021421F" w:rsidP="00680577">
      <w:pPr>
        <w:pStyle w:val="EPBodyTA1"/>
      </w:pPr>
      <w:r w:rsidRPr="00D35E12">
        <w:t>USVOJENI TEKSTOVI</w:t>
      </w:r>
    </w:p>
    <w:p w:rsidR="00D058B8" w:rsidRPr="00D35E12" w:rsidRDefault="00D058B8" w:rsidP="00D058B8">
      <w:pPr>
        <w:pStyle w:val="LineBottom"/>
      </w:pPr>
    </w:p>
    <w:p w:rsidR="0021421F" w:rsidRPr="00D35E12" w:rsidRDefault="0021421F" w:rsidP="0021421F">
      <w:pPr>
        <w:pStyle w:val="ATHeading1"/>
      </w:pPr>
      <w:bookmarkStart w:id="0" w:name="TANumber"/>
      <w:r w:rsidRPr="00D35E12">
        <w:t>P</w:t>
      </w:r>
      <w:r w:rsidRPr="00CF4BE7">
        <w:t>9</w:t>
      </w:r>
      <w:r w:rsidRPr="00D35E12">
        <w:t>_TA(</w:t>
      </w:r>
      <w:r w:rsidRPr="00CF4BE7">
        <w:t>2024</w:t>
      </w:r>
      <w:r w:rsidRPr="00D35E12">
        <w:t>)</w:t>
      </w:r>
      <w:r w:rsidRPr="00CF4BE7">
        <w:t>0</w:t>
      </w:r>
      <w:r w:rsidR="00273869" w:rsidRPr="00CF4BE7">
        <w:t>352</w:t>
      </w:r>
      <w:bookmarkEnd w:id="0"/>
    </w:p>
    <w:p w:rsidR="0021421F" w:rsidRPr="00D35E12" w:rsidRDefault="0021421F" w:rsidP="0021421F">
      <w:pPr>
        <w:pStyle w:val="ATHeading2"/>
      </w:pPr>
      <w:bookmarkStart w:id="1" w:name="title"/>
      <w:r w:rsidRPr="00D35E12">
        <w:t>Strukture dionica s višestrukim pravom glasa u poduzećima koja traže uvrštenje svojih dionica za trgovanje na rastućem tržištu MSP-ova</w:t>
      </w:r>
      <w:bookmarkEnd w:id="1"/>
    </w:p>
    <w:p w:rsidR="0021421F" w:rsidRPr="00D35E12" w:rsidRDefault="0021421F" w:rsidP="0021421F">
      <w:pPr>
        <w:rPr>
          <w:i/>
          <w:vanish/>
        </w:rPr>
      </w:pPr>
      <w:r w:rsidRPr="00D35E12">
        <w:rPr>
          <w:i/>
        </w:rPr>
        <w:fldChar w:fldCharType="begin"/>
      </w:r>
      <w:r w:rsidRPr="00D35E12">
        <w:rPr>
          <w:i/>
        </w:rPr>
        <w:instrText xml:space="preserve"> TC"(</w:instrText>
      </w:r>
      <w:bookmarkStart w:id="2" w:name="DocNumber"/>
      <w:r w:rsidRPr="00D35E12">
        <w:rPr>
          <w:i/>
        </w:rPr>
        <w:instrText>A</w:instrText>
      </w:r>
      <w:r w:rsidRPr="00CF4BE7">
        <w:rPr>
          <w:i/>
        </w:rPr>
        <w:instrText>9</w:instrText>
      </w:r>
      <w:r w:rsidRPr="00D35E12">
        <w:rPr>
          <w:i/>
        </w:rPr>
        <w:instrText>-</w:instrText>
      </w:r>
      <w:r w:rsidRPr="00CF4BE7">
        <w:rPr>
          <w:i/>
        </w:rPr>
        <w:instrText>0300</w:instrText>
      </w:r>
      <w:r w:rsidRPr="00D35E12">
        <w:rPr>
          <w:i/>
        </w:rPr>
        <w:instrText>/</w:instrText>
      </w:r>
      <w:r w:rsidRPr="00CF4BE7">
        <w:rPr>
          <w:i/>
        </w:rPr>
        <w:instrText>2023</w:instrText>
      </w:r>
      <w:bookmarkEnd w:id="2"/>
      <w:r w:rsidRPr="00D35E12">
        <w:rPr>
          <w:i/>
        </w:rPr>
        <w:instrText xml:space="preserve"> - Izvjestitelj: Alfred </w:instrText>
      </w:r>
      <w:proofErr w:type="spellStart"/>
      <w:r w:rsidRPr="00D35E12">
        <w:rPr>
          <w:i/>
        </w:rPr>
        <w:instrText>Sant</w:instrText>
      </w:r>
      <w:proofErr w:type="spellEnd"/>
      <w:r w:rsidRPr="00D35E12">
        <w:rPr>
          <w:i/>
        </w:rPr>
        <w:instrText>)"\l</w:instrText>
      </w:r>
      <w:r w:rsidRPr="00CF4BE7">
        <w:rPr>
          <w:i/>
        </w:rPr>
        <w:instrText>3</w:instrText>
      </w:r>
      <w:r w:rsidRPr="00D35E12">
        <w:rPr>
          <w:i/>
        </w:rPr>
        <w:instrText xml:space="preserve"> \n&gt; \* MERGEFORMAT </w:instrText>
      </w:r>
      <w:r w:rsidRPr="00D35E12">
        <w:rPr>
          <w:i/>
        </w:rPr>
        <w:fldChar w:fldCharType="end"/>
      </w:r>
    </w:p>
    <w:p w:rsidR="0021421F" w:rsidRPr="00D35E12" w:rsidRDefault="0021421F" w:rsidP="0021421F">
      <w:pPr>
        <w:rPr>
          <w:vanish/>
        </w:rPr>
      </w:pPr>
      <w:bookmarkStart w:id="3" w:name="Commission"/>
      <w:r w:rsidRPr="00D35E12">
        <w:rPr>
          <w:vanish/>
        </w:rPr>
        <w:t>Odbor za ekonomsku i monetarnu politiku</w:t>
      </w:r>
      <w:bookmarkEnd w:id="3"/>
    </w:p>
    <w:p w:rsidR="0021421F" w:rsidRPr="00D35E12" w:rsidRDefault="0021421F" w:rsidP="0021421F">
      <w:pPr>
        <w:rPr>
          <w:vanish/>
        </w:rPr>
      </w:pPr>
      <w:bookmarkStart w:id="4" w:name="PE"/>
      <w:r w:rsidRPr="00D35E12">
        <w:rPr>
          <w:vanish/>
        </w:rPr>
        <w:t>PE</w:t>
      </w:r>
      <w:r w:rsidRPr="00CF4BE7">
        <w:rPr>
          <w:vanish/>
        </w:rPr>
        <w:t>749</w:t>
      </w:r>
      <w:r w:rsidRPr="00D35E12">
        <w:rPr>
          <w:vanish/>
        </w:rPr>
        <w:t>.</w:t>
      </w:r>
      <w:r w:rsidRPr="00CF4BE7">
        <w:rPr>
          <w:vanish/>
        </w:rPr>
        <w:t>139</w:t>
      </w:r>
      <w:bookmarkEnd w:id="4"/>
    </w:p>
    <w:p w:rsidR="0021421F" w:rsidRPr="00D35E12" w:rsidRDefault="0021421F" w:rsidP="0021421F">
      <w:pPr>
        <w:pStyle w:val="ATHeading3"/>
      </w:pPr>
      <w:bookmarkStart w:id="5" w:name="Sujet"/>
      <w:r w:rsidRPr="00D35E12">
        <w:t>Zakonodavna rezolu</w:t>
      </w:r>
      <w:r w:rsidR="00D35E12">
        <w:t xml:space="preserve">cija Europskog parlamenta od </w:t>
      </w:r>
      <w:r w:rsidR="00D35E12" w:rsidRPr="00CF4BE7">
        <w:t>24</w:t>
      </w:r>
      <w:r w:rsidRPr="00D35E12">
        <w:t xml:space="preserve">. </w:t>
      </w:r>
      <w:r w:rsidR="00D35E12">
        <w:t xml:space="preserve">travnja </w:t>
      </w:r>
      <w:r w:rsidRPr="00CF4BE7">
        <w:t>2024</w:t>
      </w:r>
      <w:r w:rsidRPr="00D35E12">
        <w:t>. o Prijedlogu direktive europskog Parlamenta i Vijeća o strukturama dionica s višestrukim pravom glasa u poduzećima koja traže uvrštenje svojih dionica za trgovanje na rastućem tržištu MSP-ova</w:t>
      </w:r>
      <w:bookmarkEnd w:id="5"/>
      <w:r w:rsidRPr="00D35E12">
        <w:t xml:space="preserve"> </w:t>
      </w:r>
      <w:bookmarkStart w:id="6" w:name="References"/>
      <w:r w:rsidRPr="00D35E12">
        <w:t>(COM(</w:t>
      </w:r>
      <w:r w:rsidRPr="00CF4BE7">
        <w:t>2022</w:t>
      </w:r>
      <w:r w:rsidRPr="00D35E12">
        <w:t>)</w:t>
      </w:r>
      <w:r w:rsidRPr="00CF4BE7">
        <w:t>0761</w:t>
      </w:r>
      <w:r w:rsidRPr="00D35E12">
        <w:t xml:space="preserve"> – C</w:t>
      </w:r>
      <w:r w:rsidRPr="00CF4BE7">
        <w:t>9</w:t>
      </w:r>
      <w:r w:rsidRPr="00D35E12">
        <w:t>-</w:t>
      </w:r>
      <w:r w:rsidRPr="00CF4BE7">
        <w:t>0416</w:t>
      </w:r>
      <w:r w:rsidRPr="00D35E12">
        <w:t>/</w:t>
      </w:r>
      <w:r w:rsidRPr="00CF4BE7">
        <w:t>2022</w:t>
      </w:r>
      <w:r w:rsidRPr="00D35E12">
        <w:t xml:space="preserve"> – </w:t>
      </w:r>
      <w:r w:rsidRPr="00CF4BE7">
        <w:t>2022</w:t>
      </w:r>
      <w:r w:rsidRPr="00D35E12">
        <w:t>/</w:t>
      </w:r>
      <w:r w:rsidRPr="00CF4BE7">
        <w:t>0406</w:t>
      </w:r>
      <w:r w:rsidRPr="00D35E12">
        <w:t>(COD))</w:t>
      </w:r>
      <w:bookmarkEnd w:id="6"/>
    </w:p>
    <w:p w:rsidR="0021421F" w:rsidRPr="00D35E12" w:rsidRDefault="0021421F" w:rsidP="0021421F"/>
    <w:p w:rsidR="00A172BD" w:rsidRPr="00D35E12" w:rsidRDefault="00A172BD" w:rsidP="00A172BD">
      <w:pPr>
        <w:pStyle w:val="NormalBold"/>
      </w:pPr>
      <w:bookmarkStart w:id="7" w:name="TextBodyBegin"/>
      <w:bookmarkEnd w:id="7"/>
      <w:r w:rsidRPr="00D35E12">
        <w:t>(Redovni zakonodavni postupak: prvo čitanje)</w:t>
      </w:r>
    </w:p>
    <w:p w:rsidR="00A172BD" w:rsidRPr="00D35E12" w:rsidRDefault="00A172BD" w:rsidP="00A172BD">
      <w:pPr>
        <w:pStyle w:val="EPComma"/>
      </w:pPr>
      <w:r w:rsidRPr="00D35E12">
        <w:rPr>
          <w:i/>
        </w:rPr>
        <w:t>Europski parlament</w:t>
      </w:r>
      <w:r w:rsidRPr="00D35E12">
        <w:t>,</w:t>
      </w:r>
    </w:p>
    <w:p w:rsidR="00A172BD" w:rsidRPr="00D35E12" w:rsidRDefault="00A172BD" w:rsidP="00A172BD">
      <w:pPr>
        <w:pStyle w:val="NormalHanging12a"/>
      </w:pPr>
      <w:r w:rsidRPr="00D35E12">
        <w:t>–</w:t>
      </w:r>
      <w:r w:rsidRPr="00D35E12">
        <w:tab/>
        <w:t>uzimajući u obzir Prijedlog Komisije upućen Europskom parlamentu i Vijeću (COM(</w:t>
      </w:r>
      <w:r w:rsidRPr="00CF4BE7">
        <w:t>2022</w:t>
      </w:r>
      <w:r w:rsidRPr="00D35E12">
        <w:t>)</w:t>
      </w:r>
      <w:r w:rsidRPr="00CF4BE7">
        <w:t>0761</w:t>
      </w:r>
      <w:r w:rsidRPr="00D35E12">
        <w:t>),</w:t>
      </w:r>
    </w:p>
    <w:p w:rsidR="00A172BD" w:rsidRPr="00D35E12" w:rsidRDefault="00A172BD" w:rsidP="00A172BD">
      <w:pPr>
        <w:pStyle w:val="NormalHanging12a"/>
      </w:pPr>
      <w:r w:rsidRPr="00D35E12">
        <w:t>–</w:t>
      </w:r>
      <w:r w:rsidRPr="00D35E12">
        <w:tab/>
        <w:t xml:space="preserve">uzimajući u obzir članak </w:t>
      </w:r>
      <w:r w:rsidRPr="00CF4BE7">
        <w:t>294</w:t>
      </w:r>
      <w:r w:rsidRPr="00D35E12">
        <w:t xml:space="preserve">. stavak </w:t>
      </w:r>
      <w:r w:rsidRPr="00CF4BE7">
        <w:t>2</w:t>
      </w:r>
      <w:r w:rsidRPr="00D35E12">
        <w:t xml:space="preserve">., članak </w:t>
      </w:r>
      <w:r w:rsidRPr="00CF4BE7">
        <w:t>50</w:t>
      </w:r>
      <w:r w:rsidRPr="00D35E12">
        <w:t xml:space="preserve">. stavak </w:t>
      </w:r>
      <w:r w:rsidRPr="00CF4BE7">
        <w:t>1</w:t>
      </w:r>
      <w:r w:rsidRPr="00D35E12">
        <w:t xml:space="preserve">., članak </w:t>
      </w:r>
      <w:r w:rsidRPr="00CF4BE7">
        <w:t>50</w:t>
      </w:r>
      <w:r w:rsidRPr="00D35E12">
        <w:t xml:space="preserve">. stavak </w:t>
      </w:r>
      <w:r w:rsidRPr="00CF4BE7">
        <w:t>2</w:t>
      </w:r>
      <w:r w:rsidRPr="00D35E12">
        <w:t xml:space="preserve">. točku (g) i članak </w:t>
      </w:r>
      <w:r w:rsidRPr="00CF4BE7">
        <w:t>114</w:t>
      </w:r>
      <w:r w:rsidRPr="00D35E12">
        <w:t>. Ugovora o funkcioniranju Europske unije, u skladu s kojima je Komisija podnijela Prijedlog Parlamentu (C</w:t>
      </w:r>
      <w:r w:rsidRPr="00CF4BE7">
        <w:t>9</w:t>
      </w:r>
      <w:r w:rsidRPr="00D35E12">
        <w:noBreakHyphen/>
      </w:r>
      <w:r w:rsidRPr="00CF4BE7">
        <w:t>0416</w:t>
      </w:r>
      <w:r w:rsidRPr="00D35E12">
        <w:t>/</w:t>
      </w:r>
      <w:r w:rsidRPr="00CF4BE7">
        <w:t>2022</w:t>
      </w:r>
      <w:r w:rsidRPr="00D35E12">
        <w:t>),</w:t>
      </w:r>
    </w:p>
    <w:p w:rsidR="00A172BD" w:rsidRPr="00D35E12" w:rsidRDefault="00A172BD" w:rsidP="00A172BD">
      <w:pPr>
        <w:pStyle w:val="NormalHanging12a"/>
      </w:pPr>
      <w:r w:rsidRPr="00D35E12">
        <w:t>–</w:t>
      </w:r>
      <w:r w:rsidRPr="00D35E12">
        <w:tab/>
        <w:t xml:space="preserve">uzimajući u obzir članak </w:t>
      </w:r>
      <w:r w:rsidRPr="00CF4BE7">
        <w:t>294</w:t>
      </w:r>
      <w:r w:rsidRPr="00D35E12">
        <w:t xml:space="preserve">. stavak </w:t>
      </w:r>
      <w:r w:rsidRPr="00CF4BE7">
        <w:t>3</w:t>
      </w:r>
      <w:r w:rsidRPr="00D35E12">
        <w:t>. Ugovora o funkcioniranju Europske unije,</w:t>
      </w:r>
    </w:p>
    <w:p w:rsidR="00A172BD" w:rsidRDefault="00A172BD" w:rsidP="00A172BD">
      <w:pPr>
        <w:pStyle w:val="NormalHanging12a"/>
      </w:pPr>
      <w:r w:rsidRPr="00D35E12">
        <w:t>–</w:t>
      </w:r>
      <w:r w:rsidRPr="00D35E12">
        <w:tab/>
        <w:t xml:space="preserve">uzimajući u obzir mišljenje Europskoga gospodarskog i socijalnog odbora od </w:t>
      </w:r>
      <w:r w:rsidRPr="00CF4BE7">
        <w:t>23</w:t>
      </w:r>
      <w:r w:rsidRPr="00D35E12">
        <w:t xml:space="preserve">. ožujka </w:t>
      </w:r>
      <w:r w:rsidRPr="00CF4BE7">
        <w:t>2023</w:t>
      </w:r>
      <w:r w:rsidRPr="00D35E12">
        <w:t>.</w:t>
      </w:r>
      <w:r w:rsidRPr="00D35E12">
        <w:rPr>
          <w:rStyle w:val="FootnoteReference"/>
          <w:szCs w:val="24"/>
        </w:rPr>
        <w:footnoteReference w:id="1"/>
      </w:r>
      <w:r w:rsidRPr="00D35E12">
        <w:t>,</w:t>
      </w:r>
    </w:p>
    <w:p w:rsidR="00FE32D6" w:rsidRPr="00D35E12" w:rsidRDefault="00FE32D6" w:rsidP="00A172BD">
      <w:pPr>
        <w:pStyle w:val="NormalHanging12a"/>
      </w:pPr>
      <w:r w:rsidRPr="002F0A61">
        <w:rPr>
          <w:szCs w:val="24"/>
        </w:rPr>
        <w:t>–</w:t>
      </w:r>
      <w:r w:rsidRPr="002F0A61">
        <w:rPr>
          <w:szCs w:val="24"/>
        </w:rPr>
        <w:tab/>
      </w:r>
      <w:r w:rsidRPr="00C55871">
        <w:rPr>
          <w:szCs w:val="24"/>
        </w:rPr>
        <w:t>uzimajući u o</w:t>
      </w:r>
      <w:r>
        <w:rPr>
          <w:szCs w:val="24"/>
        </w:rPr>
        <w:t>bzir privremeni sporazum koji je odobrio</w:t>
      </w:r>
      <w:r w:rsidRPr="00C55871">
        <w:rPr>
          <w:szCs w:val="24"/>
        </w:rPr>
        <w:t xml:space="preserve"> nadležni odbor u skladu s član</w:t>
      </w:r>
      <w:r w:rsidRPr="002F0A61">
        <w:rPr>
          <w:szCs w:val="24"/>
        </w:rPr>
        <w:t xml:space="preserve">kom </w:t>
      </w:r>
      <w:r w:rsidRPr="00CF4BE7">
        <w:rPr>
          <w:szCs w:val="24"/>
        </w:rPr>
        <w:t>74</w:t>
      </w:r>
      <w:r w:rsidRPr="002F0A61">
        <w:rPr>
          <w:szCs w:val="24"/>
        </w:rPr>
        <w:t>.</w:t>
      </w:r>
      <w:r w:rsidRPr="00C55871">
        <w:rPr>
          <w:szCs w:val="24"/>
        </w:rPr>
        <w:t xml:space="preserve"> stavkom </w:t>
      </w:r>
      <w:r w:rsidRPr="00CF4BE7">
        <w:rPr>
          <w:szCs w:val="24"/>
        </w:rPr>
        <w:t>4</w:t>
      </w:r>
      <w:r w:rsidRPr="002F0A61">
        <w:rPr>
          <w:szCs w:val="24"/>
        </w:rPr>
        <w:t>. Poslovnika te činjenicu</w:t>
      </w:r>
      <w:r w:rsidRPr="00C55871">
        <w:rPr>
          <w:szCs w:val="24"/>
        </w:rPr>
        <w:t xml:space="preserve"> da s</w:t>
      </w:r>
      <w:r w:rsidRPr="002F0A61">
        <w:rPr>
          <w:szCs w:val="24"/>
        </w:rPr>
        <w:t>e</w:t>
      </w:r>
      <w:r>
        <w:rPr>
          <w:szCs w:val="24"/>
        </w:rPr>
        <w:t xml:space="preserve"> predstavnik Vijeća pismom od </w:t>
      </w:r>
      <w:r w:rsidRPr="00CF4BE7">
        <w:rPr>
          <w:szCs w:val="24"/>
        </w:rPr>
        <w:t>14</w:t>
      </w:r>
      <w:r>
        <w:rPr>
          <w:szCs w:val="24"/>
        </w:rPr>
        <w:t>. veljače</w:t>
      </w:r>
      <w:r w:rsidRPr="002F0A61">
        <w:rPr>
          <w:szCs w:val="24"/>
        </w:rPr>
        <w:t xml:space="preserve"> </w:t>
      </w:r>
      <w:r w:rsidRPr="00CF4BE7">
        <w:rPr>
          <w:szCs w:val="24"/>
        </w:rPr>
        <w:t>2024</w:t>
      </w:r>
      <w:r w:rsidRPr="00C55871">
        <w:rPr>
          <w:szCs w:val="24"/>
        </w:rPr>
        <w:t xml:space="preserve">. obvezao prihvatiti stajalište Europskog parlamenta u skladu s člankom </w:t>
      </w:r>
      <w:r w:rsidRPr="00CF4BE7">
        <w:rPr>
          <w:szCs w:val="24"/>
        </w:rPr>
        <w:t>294</w:t>
      </w:r>
      <w:r w:rsidRPr="00C55871">
        <w:rPr>
          <w:szCs w:val="24"/>
        </w:rPr>
        <w:t xml:space="preserve">. stavkom </w:t>
      </w:r>
      <w:r w:rsidRPr="00CF4BE7">
        <w:rPr>
          <w:szCs w:val="24"/>
        </w:rPr>
        <w:t>4</w:t>
      </w:r>
      <w:r w:rsidRPr="00C55871">
        <w:rPr>
          <w:szCs w:val="24"/>
        </w:rPr>
        <w:t>. Ugovora o funkcioniranju Europske unije</w:t>
      </w:r>
      <w:r>
        <w:rPr>
          <w:szCs w:val="24"/>
        </w:rPr>
        <w:t>,</w:t>
      </w:r>
    </w:p>
    <w:p w:rsidR="00A172BD" w:rsidRPr="00D35E12" w:rsidRDefault="00A172BD" w:rsidP="00A172BD">
      <w:pPr>
        <w:pStyle w:val="NormalHanging12a"/>
      </w:pPr>
      <w:r w:rsidRPr="00D35E12">
        <w:t>–</w:t>
      </w:r>
      <w:r w:rsidRPr="00D35E12">
        <w:tab/>
        <w:t xml:space="preserve">uzimajući u obzir članak </w:t>
      </w:r>
      <w:r w:rsidRPr="00CF4BE7">
        <w:t>59</w:t>
      </w:r>
      <w:r w:rsidRPr="00D35E12">
        <w:t>. Poslovnika,</w:t>
      </w:r>
    </w:p>
    <w:p w:rsidR="00A172BD" w:rsidRPr="00D35E12" w:rsidRDefault="00A172BD" w:rsidP="00A172BD">
      <w:pPr>
        <w:pStyle w:val="NormalHanging12a"/>
      </w:pPr>
      <w:r w:rsidRPr="00D35E12">
        <w:t>–</w:t>
      </w:r>
      <w:r w:rsidRPr="00D35E12">
        <w:tab/>
        <w:t>uzimajući u obzir mišljenje Odbora za pravna pitanja,</w:t>
      </w:r>
    </w:p>
    <w:p w:rsidR="00A172BD" w:rsidRPr="00D35E12" w:rsidRDefault="00A172BD" w:rsidP="00A172BD">
      <w:pPr>
        <w:pStyle w:val="NormalHanging12a"/>
      </w:pPr>
      <w:r w:rsidRPr="00D35E12">
        <w:lastRenderedPageBreak/>
        <w:t>–</w:t>
      </w:r>
      <w:r w:rsidRPr="00D35E12">
        <w:tab/>
        <w:t>uzimajući u obzir izvješće Odbora za ekonomsku i monetarnu politiku (A</w:t>
      </w:r>
      <w:r w:rsidRPr="00CF4BE7">
        <w:t>9</w:t>
      </w:r>
      <w:r w:rsidRPr="00D35E12">
        <w:noBreakHyphen/>
      </w:r>
      <w:r w:rsidRPr="00CF4BE7">
        <w:t>0300</w:t>
      </w:r>
      <w:r w:rsidRPr="00D35E12">
        <w:t>/</w:t>
      </w:r>
      <w:r w:rsidRPr="00CF4BE7">
        <w:t>2023</w:t>
      </w:r>
      <w:r w:rsidRPr="00D35E12">
        <w:t>),</w:t>
      </w:r>
    </w:p>
    <w:p w:rsidR="00A172BD" w:rsidRPr="00D35E12" w:rsidRDefault="00A172BD" w:rsidP="00A172BD">
      <w:pPr>
        <w:pStyle w:val="NormalHanging12a"/>
      </w:pPr>
      <w:r w:rsidRPr="00CF4BE7">
        <w:t>1</w:t>
      </w:r>
      <w:r w:rsidRPr="00D35E12">
        <w:t>.</w:t>
      </w:r>
      <w:r w:rsidRPr="00D35E12">
        <w:tab/>
        <w:t>usvaja sljedeće stajalište u prvom čitanju;</w:t>
      </w:r>
    </w:p>
    <w:p w:rsidR="00A172BD" w:rsidRPr="00D35E12" w:rsidRDefault="00A172BD" w:rsidP="00A172BD">
      <w:pPr>
        <w:pStyle w:val="NormalHanging12a"/>
      </w:pPr>
      <w:r w:rsidRPr="00CF4BE7">
        <w:t>2</w:t>
      </w:r>
      <w:r w:rsidRPr="00D35E12">
        <w:t>.</w:t>
      </w:r>
      <w:r w:rsidRPr="00D35E12">
        <w:tab/>
        <w:t>poziva Komisiju da predmet ponovno uputi Parlamentu ako zamijeni, bitno izmijeni ili namjerava bitno izmijeniti svoj Prijedlog;</w:t>
      </w:r>
    </w:p>
    <w:p w:rsidR="00A172BD" w:rsidRPr="00D35E12" w:rsidRDefault="00A172BD" w:rsidP="00A172BD">
      <w:pPr>
        <w:pStyle w:val="NormalHanging12a"/>
      </w:pPr>
      <w:r w:rsidRPr="00CF4BE7">
        <w:t>3</w:t>
      </w:r>
      <w:r w:rsidRPr="00D35E12">
        <w:t>.</w:t>
      </w:r>
      <w:r w:rsidRPr="00D35E12">
        <w:tab/>
        <w:t>nalaže svojoj predsjednici da stajalište Parlamenta proslijedi Vijeću, Komisiji i nacionalnim parlamentima.</w:t>
      </w:r>
    </w:p>
    <w:p w:rsidR="00FE32D6" w:rsidRDefault="00FE32D6" w:rsidP="00FE32D6">
      <w:pPr>
        <w:autoSpaceDE w:val="0"/>
        <w:autoSpaceDN w:val="0"/>
        <w:adjustRightInd w:val="0"/>
        <w:spacing w:after="240"/>
        <w:rPr>
          <w:rFonts w:eastAsia="Calibri"/>
          <w:b/>
          <w:bCs/>
          <w:color w:val="000000"/>
          <w:szCs w:val="24"/>
        </w:rPr>
        <w:sectPr w:rsidR="00FE32D6" w:rsidSect="009E24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E32D6" w:rsidRPr="00E7025D" w:rsidRDefault="00FE32D6" w:rsidP="00FE32D6">
      <w:pPr>
        <w:autoSpaceDE w:val="0"/>
        <w:autoSpaceDN w:val="0"/>
        <w:adjustRightInd w:val="0"/>
        <w:spacing w:after="240"/>
        <w:rPr>
          <w:rFonts w:eastAsia="Calibri"/>
          <w:b/>
          <w:bCs/>
          <w:color w:val="000000"/>
          <w:szCs w:val="24"/>
        </w:rPr>
      </w:pPr>
      <w:r w:rsidRPr="00E7025D">
        <w:rPr>
          <w:rFonts w:eastAsia="Calibri"/>
          <w:b/>
          <w:bCs/>
          <w:color w:val="000000"/>
          <w:szCs w:val="24"/>
        </w:rPr>
        <w:lastRenderedPageBreak/>
        <w:t>P</w:t>
      </w:r>
      <w:r w:rsidRPr="00CF4BE7">
        <w:rPr>
          <w:rFonts w:eastAsia="Calibri"/>
          <w:b/>
          <w:bCs/>
          <w:color w:val="000000"/>
          <w:szCs w:val="24"/>
        </w:rPr>
        <w:t>9</w:t>
      </w:r>
      <w:r w:rsidRPr="00E7025D">
        <w:rPr>
          <w:rFonts w:eastAsia="Calibri"/>
          <w:b/>
          <w:bCs/>
          <w:color w:val="000000"/>
          <w:szCs w:val="24"/>
        </w:rPr>
        <w:t>_TC</w:t>
      </w:r>
      <w:r w:rsidRPr="00CF4BE7">
        <w:rPr>
          <w:rFonts w:eastAsia="Calibri"/>
          <w:b/>
          <w:bCs/>
          <w:color w:val="000000"/>
          <w:szCs w:val="24"/>
        </w:rPr>
        <w:t>1</w:t>
      </w:r>
      <w:r w:rsidRPr="00E7025D">
        <w:rPr>
          <w:rFonts w:eastAsia="Calibri"/>
          <w:b/>
          <w:bCs/>
          <w:color w:val="000000"/>
          <w:szCs w:val="24"/>
        </w:rPr>
        <w:t>-COD(</w:t>
      </w:r>
      <w:r w:rsidRPr="00CF4BE7">
        <w:rPr>
          <w:rFonts w:eastAsia="Calibri"/>
          <w:b/>
          <w:bCs/>
          <w:color w:val="000000"/>
          <w:szCs w:val="24"/>
        </w:rPr>
        <w:t>2022</w:t>
      </w:r>
      <w:r w:rsidRPr="00E7025D">
        <w:rPr>
          <w:rFonts w:eastAsia="Calibri"/>
          <w:b/>
          <w:bCs/>
          <w:color w:val="000000"/>
          <w:szCs w:val="24"/>
        </w:rPr>
        <w:t>)</w:t>
      </w:r>
      <w:r w:rsidRPr="00CF4BE7">
        <w:rPr>
          <w:rFonts w:eastAsia="Calibri"/>
          <w:b/>
          <w:bCs/>
          <w:color w:val="000000"/>
          <w:szCs w:val="24"/>
        </w:rPr>
        <w:t>0406</w:t>
      </w:r>
    </w:p>
    <w:p w:rsidR="005E2042" w:rsidRDefault="00FE32D6" w:rsidP="005E2042">
      <w:pPr>
        <w:widowControl/>
        <w:spacing w:before="360" w:after="360"/>
        <w:rPr>
          <w:rFonts w:eastAsia="Calibri"/>
          <w:b/>
          <w:i/>
          <w:iCs/>
          <w:szCs w:val="22"/>
          <w:lang w:eastAsia="en-US"/>
        </w:rPr>
      </w:pPr>
      <w:r w:rsidRPr="009747CE">
        <w:rPr>
          <w:b/>
        </w:rPr>
        <w:t xml:space="preserve">Stajalište Europskog parlamenta usvojeno u prvom čitanju </w:t>
      </w:r>
      <w:r w:rsidRPr="00CF4BE7">
        <w:rPr>
          <w:b/>
        </w:rPr>
        <w:t>24</w:t>
      </w:r>
      <w:r w:rsidRPr="009747CE">
        <w:rPr>
          <w:b/>
        </w:rPr>
        <w:t xml:space="preserve">. travnja </w:t>
      </w:r>
      <w:r w:rsidRPr="00CF4BE7">
        <w:rPr>
          <w:b/>
        </w:rPr>
        <w:t>2024</w:t>
      </w:r>
      <w:r w:rsidRPr="009747CE">
        <w:rPr>
          <w:b/>
        </w:rPr>
        <w:t xml:space="preserve">. radi donošenja </w:t>
      </w:r>
      <w:r>
        <w:rPr>
          <w:b/>
          <w:szCs w:val="22"/>
          <w:lang w:eastAsia="fr-BE"/>
        </w:rPr>
        <w:t>Direktive</w:t>
      </w:r>
      <w:r w:rsidRPr="009747CE">
        <w:rPr>
          <w:b/>
          <w:szCs w:val="22"/>
          <w:lang w:eastAsia="fr-BE"/>
        </w:rPr>
        <w:t xml:space="preserve"> (EU) </w:t>
      </w:r>
      <w:r w:rsidRPr="00CF4BE7">
        <w:rPr>
          <w:b/>
          <w:szCs w:val="22"/>
          <w:lang w:eastAsia="fr-BE"/>
        </w:rPr>
        <w:t>2024</w:t>
      </w:r>
      <w:r w:rsidRPr="009747CE">
        <w:rPr>
          <w:b/>
          <w:szCs w:val="22"/>
          <w:lang w:eastAsia="fr-BE"/>
        </w:rPr>
        <w:t>/… Europskog parlamenta i Vijeća</w:t>
      </w:r>
      <w:r w:rsidRPr="00FE32D6">
        <w:rPr>
          <w:b/>
          <w:szCs w:val="22"/>
          <w:lang w:eastAsia="fr-BE"/>
        </w:rPr>
        <w:t xml:space="preserve"> </w:t>
      </w:r>
      <w:r w:rsidR="005E2042" w:rsidRPr="005E2042">
        <w:rPr>
          <w:rFonts w:eastAsia="Calibri"/>
          <w:b/>
          <w:szCs w:val="22"/>
          <w:lang w:eastAsia="en-US"/>
        </w:rPr>
        <w:t>o strukturama dionic</w:t>
      </w:r>
      <w:r w:rsidR="005E2042">
        <w:rPr>
          <w:rFonts w:eastAsia="Calibri"/>
          <w:b/>
          <w:szCs w:val="22"/>
          <w:lang w:eastAsia="en-US"/>
        </w:rPr>
        <w:t xml:space="preserve">a s višestrukim pravom glasa u </w:t>
      </w:r>
      <w:r w:rsidR="005E2042" w:rsidRPr="005E2042">
        <w:rPr>
          <w:rFonts w:eastAsia="Calibri"/>
          <w:b/>
          <w:szCs w:val="22"/>
          <w:lang w:eastAsia="en-US"/>
        </w:rPr>
        <w:t xml:space="preserve">društvima koja traže uvrštenje svojih dionica za trgovanje na </w:t>
      </w:r>
      <w:r w:rsidR="005E2042" w:rsidRPr="0084174C">
        <w:rPr>
          <w:rFonts w:eastAsia="Calibri"/>
          <w:b/>
          <w:iCs/>
          <w:szCs w:val="22"/>
          <w:lang w:eastAsia="en-US"/>
        </w:rPr>
        <w:t>multilateralnoj trgovinskoj platformi</w:t>
      </w:r>
    </w:p>
    <w:p w:rsidR="0084174C" w:rsidRPr="00AA44CB" w:rsidRDefault="0084174C" w:rsidP="0084174C">
      <w:pPr>
        <w:widowControl/>
        <w:rPr>
          <w:rFonts w:eastAsia="Calibri"/>
          <w:i/>
          <w:szCs w:val="24"/>
          <w:lang w:eastAsia="en-US"/>
        </w:rPr>
      </w:pPr>
      <w:r w:rsidRPr="00AA44CB">
        <w:rPr>
          <w:rFonts w:eastAsia="Calibri"/>
          <w:i/>
          <w:szCs w:val="24"/>
          <w:lang w:eastAsia="en-US"/>
        </w:rPr>
        <w:t>(S obzirom da je postignut sporazum Parlamenta i Vijeća, stajalište Parlamenta odgovara konač</w:t>
      </w:r>
      <w:r>
        <w:rPr>
          <w:rFonts w:eastAsia="Calibri"/>
          <w:i/>
          <w:szCs w:val="24"/>
          <w:lang w:eastAsia="en-US"/>
        </w:rPr>
        <w:t>nom zakonodavnom aktu, Direktivi (EU) 2024/2810</w:t>
      </w:r>
      <w:bookmarkStart w:id="8" w:name="_GoBack"/>
      <w:bookmarkEnd w:id="8"/>
      <w:r>
        <w:rPr>
          <w:rFonts w:eastAsia="Calibri"/>
          <w:i/>
          <w:szCs w:val="24"/>
          <w:lang w:eastAsia="en-US"/>
        </w:rPr>
        <w:t>.</w:t>
      </w:r>
      <w:r w:rsidRPr="00AA44CB">
        <w:rPr>
          <w:rFonts w:eastAsia="Calibri"/>
          <w:i/>
          <w:szCs w:val="24"/>
          <w:lang w:eastAsia="en-US"/>
        </w:rPr>
        <w:t>)</w:t>
      </w:r>
    </w:p>
    <w:p w:rsidR="0084174C" w:rsidRPr="0084174C" w:rsidRDefault="0084174C" w:rsidP="005E2042">
      <w:pPr>
        <w:widowControl/>
        <w:spacing w:before="360" w:after="360"/>
        <w:rPr>
          <w:rFonts w:eastAsia="Calibri"/>
          <w:bCs/>
          <w:szCs w:val="22"/>
          <w:lang w:eastAsia="en-US"/>
        </w:rPr>
      </w:pPr>
    </w:p>
    <w:sectPr w:rsidR="0084174C" w:rsidRPr="0084174C" w:rsidSect="009E24A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21F" w:rsidRPr="009E24A9" w:rsidRDefault="0021421F">
      <w:r w:rsidRPr="009E24A9">
        <w:separator/>
      </w:r>
    </w:p>
  </w:endnote>
  <w:endnote w:type="continuationSeparator" w:id="0">
    <w:p w:rsidR="0021421F" w:rsidRPr="009E24A9" w:rsidRDefault="0021421F">
      <w:r w:rsidRPr="009E24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4A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4A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4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21F" w:rsidRPr="009E24A9" w:rsidRDefault="0021421F">
      <w:r w:rsidRPr="009E24A9">
        <w:separator/>
      </w:r>
    </w:p>
  </w:footnote>
  <w:footnote w:type="continuationSeparator" w:id="0">
    <w:p w:rsidR="0021421F" w:rsidRPr="009E24A9" w:rsidRDefault="0021421F">
      <w:r w:rsidRPr="009E24A9">
        <w:continuationSeparator/>
      </w:r>
    </w:p>
  </w:footnote>
  <w:footnote w:id="1">
    <w:p w:rsidR="00A172BD" w:rsidRPr="00FE32D6" w:rsidRDefault="00A172BD" w:rsidP="00FE32D6">
      <w:pPr>
        <w:pStyle w:val="FootnoteText"/>
        <w:ind w:left="567" w:hanging="567"/>
        <w:rPr>
          <w:sz w:val="24"/>
          <w:lang w:val="hr-HR"/>
        </w:rPr>
      </w:pPr>
      <w:r w:rsidRPr="00FE32D6">
        <w:rPr>
          <w:rStyle w:val="FootnoteReference"/>
          <w:sz w:val="24"/>
          <w:lang w:val="hr-HR"/>
        </w:rPr>
        <w:footnoteRef/>
      </w:r>
      <w:r w:rsidR="009E24A9" w:rsidRPr="00FE32D6">
        <w:rPr>
          <w:sz w:val="24"/>
          <w:lang w:val="hr-HR"/>
        </w:rPr>
        <w:t xml:space="preserve"> </w:t>
      </w:r>
      <w:r w:rsidR="009E24A9" w:rsidRPr="00FE32D6">
        <w:rPr>
          <w:sz w:val="24"/>
          <w:lang w:val="hr-HR"/>
        </w:rPr>
        <w:tab/>
      </w:r>
      <w:r w:rsidRPr="00FE32D6">
        <w:rPr>
          <w:sz w:val="24"/>
          <w:lang w:val="hr-HR"/>
        </w:rPr>
        <w:t>SL C </w:t>
      </w:r>
      <w:r w:rsidRPr="00CF4BE7">
        <w:rPr>
          <w:sz w:val="24"/>
          <w:lang w:val="hr-HR"/>
        </w:rPr>
        <w:t>184</w:t>
      </w:r>
      <w:r w:rsidRPr="00FE32D6">
        <w:rPr>
          <w:sz w:val="24"/>
          <w:lang w:val="hr-HR"/>
        </w:rPr>
        <w:t xml:space="preserve">, </w:t>
      </w:r>
      <w:r w:rsidRPr="00CF4BE7">
        <w:rPr>
          <w:sz w:val="24"/>
          <w:lang w:val="hr-HR"/>
        </w:rPr>
        <w:t>25</w:t>
      </w:r>
      <w:r w:rsidRPr="00FE32D6">
        <w:rPr>
          <w:sz w:val="24"/>
          <w:lang w:val="hr-HR"/>
        </w:rPr>
        <w:t>.</w:t>
      </w:r>
      <w:r w:rsidR="00CF4BE7" w:rsidRPr="00CF4BE7">
        <w:rPr>
          <w:sz w:val="24"/>
          <w:lang w:val="hr-HR"/>
        </w:rPr>
        <w:t>5</w:t>
      </w:r>
      <w:r w:rsidRPr="00FE32D6">
        <w:rPr>
          <w:sz w:val="24"/>
          <w:lang w:val="hr-HR"/>
        </w:rPr>
        <w:t>.</w:t>
      </w:r>
      <w:r w:rsidRPr="00CF4BE7">
        <w:rPr>
          <w:sz w:val="24"/>
          <w:lang w:val="hr-HR"/>
        </w:rPr>
        <w:t>2023</w:t>
      </w:r>
      <w:r w:rsidRPr="00FE32D6">
        <w:rPr>
          <w:sz w:val="24"/>
          <w:lang w:val="hr-HR"/>
        </w:rPr>
        <w:t>., str. </w:t>
      </w:r>
      <w:r w:rsidRPr="00CF4BE7">
        <w:rPr>
          <w:sz w:val="24"/>
          <w:lang w:val="hr-HR"/>
        </w:rPr>
        <w:t>103</w:t>
      </w:r>
      <w:r w:rsidRPr="00FE32D6">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4A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4A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4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0/2023"/>
    <w:docVar w:name="dvlangue" w:val="HR"/>
    <w:docVar w:name="dvnumam" w:val="42"/>
    <w:docVar w:name="dvpe" w:val="749.139"/>
    <w:docVar w:name="dvrapporteur" w:val="Izvjestitelj: "/>
    <w:docVar w:name="dvstar" w:val="***I"/>
    <w:docVar w:name="dvtitre" w:val="Zakonodavna rezolucija Europskog parlamenta od .... 2024. o Prijedlogu direktive europskog Parlamenta i Vijeća o strukturama dionica s višestrukim pravom glasa u poduzećima koja traže uvrštenje svojih dionica za trgovanje na rastućem tržištu MSP-ova(COM(2022)0761 – C9-0416/2022 – 2022/0406(COD))"/>
  </w:docVars>
  <w:rsids>
    <w:rsidRoot w:val="0021421F"/>
    <w:rsid w:val="00002272"/>
    <w:rsid w:val="00064002"/>
    <w:rsid w:val="000677B9"/>
    <w:rsid w:val="000831BA"/>
    <w:rsid w:val="000A42CC"/>
    <w:rsid w:val="000E7DD9"/>
    <w:rsid w:val="0010095E"/>
    <w:rsid w:val="00125B37"/>
    <w:rsid w:val="00187494"/>
    <w:rsid w:val="001F32AE"/>
    <w:rsid w:val="0021421F"/>
    <w:rsid w:val="0027386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2042"/>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74C"/>
    <w:rsid w:val="00842779"/>
    <w:rsid w:val="00865F67"/>
    <w:rsid w:val="00881A7B"/>
    <w:rsid w:val="008840E5"/>
    <w:rsid w:val="00887B3E"/>
    <w:rsid w:val="008C2AC6"/>
    <w:rsid w:val="00930C23"/>
    <w:rsid w:val="0093193B"/>
    <w:rsid w:val="009509D8"/>
    <w:rsid w:val="00950B64"/>
    <w:rsid w:val="00981893"/>
    <w:rsid w:val="009E24A9"/>
    <w:rsid w:val="00A1687D"/>
    <w:rsid w:val="00A172B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BE7"/>
    <w:rsid w:val="00D058B8"/>
    <w:rsid w:val="00D35E1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32D6"/>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5A3B0"/>
  <w15:chartTrackingRefBased/>
  <w15:docId w15:val="{DB702563-833B-4721-A9CA-C802EE42D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r,Appel note de bas de p.1"/>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A172BD"/>
    <w:rPr>
      <w:b/>
    </w:rPr>
  </w:style>
  <w:style w:type="character" w:customStyle="1" w:styleId="NormalBoldChar">
    <w:name w:val="NormalBold Char"/>
    <w:basedOn w:val="DefaultParagraphFont"/>
    <w:link w:val="NormalBold"/>
    <w:locked/>
    <w:rsid w:val="00A172BD"/>
    <w:rPr>
      <w:b/>
      <w:sz w:val="24"/>
      <w:lang w:val="hr-HR"/>
    </w:rPr>
  </w:style>
  <w:style w:type="paragraph" w:customStyle="1" w:styleId="NormalHanging12a">
    <w:name w:val="NormalHanging12a"/>
    <w:basedOn w:val="Normal"/>
    <w:rsid w:val="00A172BD"/>
    <w:pPr>
      <w:spacing w:after="240"/>
      <w:ind w:left="567" w:hanging="567"/>
    </w:pPr>
  </w:style>
  <w:style w:type="paragraph" w:customStyle="1" w:styleId="AmNumberTabs">
    <w:name w:val="AmNumberTabs"/>
    <w:basedOn w:val="Normal"/>
    <w:link w:val="AmNumberTabsChar"/>
    <w:rsid w:val="00A172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172BD"/>
    <w:rPr>
      <w:b/>
      <w:sz w:val="24"/>
      <w:lang w:val="hr-HR"/>
    </w:rPr>
  </w:style>
  <w:style w:type="paragraph" w:customStyle="1" w:styleId="EPComma">
    <w:name w:val="EPComma"/>
    <w:basedOn w:val="Normal"/>
    <w:rsid w:val="00A172BD"/>
    <w:pPr>
      <w:spacing w:before="480" w:after="240"/>
    </w:pPr>
  </w:style>
  <w:style w:type="paragraph" w:customStyle="1" w:styleId="NormalCenter12a">
    <w:name w:val="NormalCenter12a"/>
    <w:basedOn w:val="Normal"/>
    <w:rsid w:val="00A172BD"/>
    <w:pPr>
      <w:spacing w:after="240"/>
      <w:jc w:val="center"/>
    </w:pPr>
    <w:rPr>
      <w:lang w:val="en-GB"/>
    </w:rPr>
  </w:style>
  <w:style w:type="paragraph" w:customStyle="1" w:styleId="AmHeadingConsam">
    <w:name w:val="AmHeadingConsam"/>
    <w:basedOn w:val="Normal"/>
    <w:next w:val="NormalCenter12a"/>
    <w:rsid w:val="00A172BD"/>
    <w:pPr>
      <w:spacing w:before="720" w:after="240"/>
      <w:jc w:val="center"/>
    </w:pPr>
    <w:rPr>
      <w:lang w:val="en-GB"/>
    </w:rPr>
  </w:style>
  <w:style w:type="paragraph" w:customStyle="1" w:styleId="NormalCentered">
    <w:name w:val="Normal Centered"/>
    <w:basedOn w:val="Normal"/>
    <w:rsid w:val="00A172BD"/>
    <w:pPr>
      <w:widowControl/>
      <w:spacing w:before="120" w:after="120"/>
      <w:jc w:val="center"/>
    </w:pPr>
    <w:rPr>
      <w:rFonts w:eastAsiaTheme="minorHAnsi"/>
      <w:szCs w:val="22"/>
      <w:lang w:val="en-GB" w:eastAsia="en-US"/>
    </w:rPr>
  </w:style>
  <w:style w:type="paragraph" w:customStyle="1" w:styleId="Point1">
    <w:name w:val="Point 1"/>
    <w:basedOn w:val="Normal"/>
    <w:rsid w:val="00A172BD"/>
    <w:pPr>
      <w:widowControl/>
      <w:spacing w:before="120" w:after="120"/>
      <w:ind w:left="1417" w:hanging="567"/>
      <w:jc w:val="both"/>
    </w:pPr>
    <w:rPr>
      <w:rFonts w:eastAsiaTheme="minorHAnsi"/>
      <w:szCs w:val="22"/>
      <w:lang w:val="en-GB" w:eastAsia="en-US"/>
    </w:rPr>
  </w:style>
  <w:style w:type="paragraph" w:customStyle="1" w:styleId="Point2">
    <w:name w:val="Point 2"/>
    <w:basedOn w:val="Normal"/>
    <w:rsid w:val="00A172BD"/>
    <w:pPr>
      <w:widowControl/>
      <w:spacing w:before="120" w:after="120"/>
      <w:ind w:left="1984" w:hanging="567"/>
      <w:jc w:val="both"/>
    </w:pPr>
    <w:rPr>
      <w:rFonts w:eastAsiaTheme="minorHAnsi"/>
      <w:szCs w:val="22"/>
      <w:lang w:val="en-GB" w:eastAsia="en-US"/>
    </w:rPr>
  </w:style>
  <w:style w:type="paragraph" w:customStyle="1" w:styleId="ManualNumPar1">
    <w:name w:val="Manual NumPar 1"/>
    <w:basedOn w:val="Normal"/>
    <w:next w:val="Normal"/>
    <w:rsid w:val="00A172BD"/>
    <w:pPr>
      <w:widowControl/>
      <w:spacing w:before="120" w:after="120"/>
      <w:ind w:left="850" w:hanging="850"/>
      <w:jc w:val="both"/>
    </w:pPr>
    <w:rPr>
      <w:rFonts w:eastAsiaTheme="minorHAnsi"/>
      <w:szCs w:val="22"/>
      <w:lang w:val="en-GB" w:eastAsia="en-US"/>
    </w:rPr>
  </w:style>
  <w:style w:type="paragraph" w:customStyle="1" w:styleId="Institutionquisigne">
    <w:name w:val="Institution qui signe"/>
    <w:basedOn w:val="Normal"/>
    <w:next w:val="Personnequisigne"/>
    <w:rsid w:val="00A172BD"/>
    <w:pPr>
      <w:keepNext/>
      <w:widowControl/>
      <w:tabs>
        <w:tab w:val="left" w:pos="4252"/>
      </w:tabs>
      <w:spacing w:before="720"/>
      <w:jc w:val="both"/>
    </w:pPr>
    <w:rPr>
      <w:rFonts w:eastAsiaTheme="minorHAnsi"/>
      <w:i/>
      <w:szCs w:val="22"/>
      <w:lang w:val="en-GB" w:eastAsia="en-US"/>
    </w:rPr>
  </w:style>
  <w:style w:type="paragraph" w:customStyle="1" w:styleId="Personnequisigne">
    <w:name w:val="Personne qui signe"/>
    <w:basedOn w:val="Normal"/>
    <w:next w:val="Institutionquisigne"/>
    <w:rsid w:val="00A172BD"/>
    <w:pPr>
      <w:widowControl/>
      <w:tabs>
        <w:tab w:val="left" w:pos="4252"/>
      </w:tabs>
    </w:pPr>
    <w:rPr>
      <w:rFonts w:eastAsiaTheme="minorHAnsi"/>
      <w:i/>
      <w:szCs w:val="22"/>
      <w:lang w:val="en-GB" w:eastAsia="en-US"/>
    </w:rPr>
  </w:style>
  <w:style w:type="paragraph" w:customStyle="1" w:styleId="Fait">
    <w:name w:val="Fait à"/>
    <w:basedOn w:val="Normal"/>
    <w:next w:val="Institutionquisigne"/>
    <w:rsid w:val="00A172BD"/>
    <w:pPr>
      <w:keepNext/>
      <w:widowControl/>
      <w:spacing w:before="120"/>
      <w:jc w:val="both"/>
    </w:pPr>
    <w:rPr>
      <w:rFonts w:eastAsiaTheme="minorHAnsi"/>
      <w:szCs w:val="22"/>
      <w:lang w:val="en-GB" w:eastAsia="en-US"/>
    </w:rPr>
  </w:style>
  <w:style w:type="paragraph" w:customStyle="1" w:styleId="Titrearticle">
    <w:name w:val="Titre article"/>
    <w:basedOn w:val="Normal"/>
    <w:next w:val="Normal"/>
    <w:rsid w:val="00A172BD"/>
    <w:pPr>
      <w:keepNext/>
      <w:widowControl/>
      <w:spacing w:before="360" w:after="120"/>
      <w:jc w:val="center"/>
    </w:pPr>
    <w:rPr>
      <w:rFonts w:eastAsiaTheme="minorHAnsi"/>
      <w:i/>
      <w:szCs w:val="22"/>
      <w:lang w:val="en-GB" w:eastAsia="en-US"/>
    </w:rPr>
  </w:style>
  <w:style w:type="paragraph" w:customStyle="1" w:styleId="Formuledadoption">
    <w:name w:val="Formule d'adoption"/>
    <w:basedOn w:val="Normal"/>
    <w:next w:val="Titrearticle"/>
    <w:rsid w:val="00A172BD"/>
    <w:pPr>
      <w:keepNext/>
      <w:widowControl/>
      <w:spacing w:before="120" w:after="120"/>
      <w:jc w:val="both"/>
    </w:pPr>
    <w:rPr>
      <w:rFonts w:eastAsiaTheme="minorHAnsi"/>
      <w:szCs w:val="22"/>
      <w:lang w:val="en-GB" w:eastAsia="en-US"/>
    </w:rPr>
  </w:style>
  <w:style w:type="paragraph" w:customStyle="1" w:styleId="Institutionquiagit">
    <w:name w:val="Institution qui agit"/>
    <w:basedOn w:val="Normal"/>
    <w:next w:val="Normal"/>
    <w:rsid w:val="00A172BD"/>
    <w:pPr>
      <w:keepNext/>
      <w:widowControl/>
      <w:spacing w:before="600" w:after="120"/>
      <w:jc w:val="both"/>
    </w:pPr>
    <w:rPr>
      <w:rFonts w:eastAsiaTheme="minorHAnsi"/>
      <w:szCs w:val="22"/>
      <w:lang w:val="en-GB" w:eastAsia="en-US"/>
    </w:rPr>
  </w:style>
  <w:style w:type="paragraph" w:customStyle="1" w:styleId="ManualConsidrant">
    <w:name w:val="Manual Considérant"/>
    <w:basedOn w:val="Normal"/>
    <w:rsid w:val="00A172BD"/>
    <w:pPr>
      <w:widowControl/>
      <w:spacing w:before="120" w:after="120"/>
      <w:ind w:left="709" w:hanging="709"/>
      <w:jc w:val="both"/>
    </w:pPr>
    <w:rPr>
      <w:rFonts w:eastAsiaTheme="minorHAnsi"/>
      <w:szCs w:val="22"/>
      <w:lang w:val="en-GB" w:eastAsia="en-US"/>
    </w:rPr>
  </w:style>
  <w:style w:type="paragraph" w:customStyle="1" w:styleId="Statut">
    <w:name w:val="Statut"/>
    <w:basedOn w:val="Normal"/>
    <w:next w:val="Typedudocument"/>
    <w:rsid w:val="00A172BD"/>
    <w:pPr>
      <w:widowControl/>
      <w:spacing w:before="360"/>
      <w:jc w:val="center"/>
    </w:pPr>
    <w:rPr>
      <w:rFonts w:eastAsiaTheme="minorHAnsi"/>
      <w:szCs w:val="22"/>
      <w:lang w:val="en-GB" w:eastAsia="en-US"/>
    </w:rPr>
  </w:style>
  <w:style w:type="paragraph" w:customStyle="1" w:styleId="Typedudocument">
    <w:name w:val="Type du document"/>
    <w:basedOn w:val="Normal"/>
    <w:next w:val="Titreobjet"/>
    <w:rsid w:val="00A172BD"/>
    <w:pPr>
      <w:widowControl/>
      <w:spacing w:before="360"/>
      <w:jc w:val="center"/>
    </w:pPr>
    <w:rPr>
      <w:rFonts w:eastAsiaTheme="minorHAnsi"/>
      <w:b/>
      <w:szCs w:val="22"/>
      <w:lang w:val="en-GB" w:eastAsia="en-US"/>
    </w:rPr>
  </w:style>
  <w:style w:type="paragraph" w:customStyle="1" w:styleId="Titreobjet">
    <w:name w:val="Titre objet"/>
    <w:basedOn w:val="Normal"/>
    <w:next w:val="IntrtEEE"/>
    <w:rsid w:val="00A172BD"/>
    <w:pPr>
      <w:widowControl/>
      <w:spacing w:before="360" w:after="360"/>
      <w:jc w:val="center"/>
    </w:pPr>
    <w:rPr>
      <w:rFonts w:eastAsiaTheme="minorHAnsi"/>
      <w:b/>
      <w:szCs w:val="22"/>
      <w:lang w:val="en-GB" w:eastAsia="en-US"/>
    </w:rPr>
  </w:style>
  <w:style w:type="paragraph" w:customStyle="1" w:styleId="IntrtEEE">
    <w:name w:val="Intérêt EEE"/>
    <w:basedOn w:val="Normal"/>
    <w:next w:val="Normal"/>
    <w:rsid w:val="00A172BD"/>
    <w:pPr>
      <w:widowControl/>
      <w:spacing w:before="360" w:after="240"/>
      <w:jc w:val="center"/>
    </w:pPr>
    <w:rPr>
      <w:rFonts w:eastAsiaTheme="minorHAnsi"/>
      <w:szCs w:val="22"/>
      <w:lang w:val="en-GB" w:eastAsia="en-US"/>
    </w:rPr>
  </w:style>
  <w:style w:type="paragraph" w:customStyle="1" w:styleId="Rfrenceinterinstitutionnelle">
    <w:name w:val="Référence interinstitutionnelle"/>
    <w:basedOn w:val="Normal"/>
    <w:next w:val="Statut"/>
    <w:rsid w:val="00A172BD"/>
    <w:pPr>
      <w:widowControl/>
      <w:ind w:left="5103"/>
    </w:pPr>
    <w:rPr>
      <w:rFonts w:eastAsiaTheme="minorHAnsi"/>
      <w:szCs w:val="22"/>
      <w:lang w:val="en-GB"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FE32D6"/>
    <w:pPr>
      <w:widowControl/>
      <w:spacing w:after="160" w:line="240" w:lineRule="exact"/>
    </w:pPr>
    <w:rPr>
      <w:sz w:val="20"/>
      <w:vertAlign w:val="superscript"/>
      <w:lang w:val="en-GB"/>
    </w:rPr>
  </w:style>
  <w:style w:type="paragraph" w:styleId="BalloonText">
    <w:name w:val="Balloon Text"/>
    <w:basedOn w:val="Normal"/>
    <w:link w:val="BalloonTextChar"/>
    <w:rsid w:val="00FE32D6"/>
    <w:rPr>
      <w:rFonts w:ascii="Segoe UI" w:hAnsi="Segoe UI" w:cs="Segoe UI"/>
      <w:sz w:val="18"/>
      <w:szCs w:val="18"/>
    </w:rPr>
  </w:style>
  <w:style w:type="character" w:customStyle="1" w:styleId="BalloonTextChar">
    <w:name w:val="Balloon Text Char"/>
    <w:basedOn w:val="DefaultParagraphFont"/>
    <w:link w:val="BalloonText"/>
    <w:rsid w:val="00FE32D6"/>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5FEA4-BA3A-4E36-B2AD-ED2AAF41E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309</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2025-03-24T13:57:00Z</dcterms:created>
  <dcterms:modified xsi:type="dcterms:W3CDTF">2025-03-24T13:57:00Z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P9_TA(2024)0352_</vt:lpwstr>
  </property>
  <property fmtid="{D5CDD505-2E9C-101B-9397-08002B2CF9AE}" pid="4" name="&lt;Type&gt;">
    <vt:lpwstr>RR</vt:lpwstr>
  </property>
</Properties>
</file>