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1A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1AB6" w:rsidRDefault="00983A95" w:rsidP="0010095E">
            <w:pPr>
              <w:pStyle w:val="EPName"/>
            </w:pPr>
            <w:r w:rsidRPr="00E01AB6">
              <w:t>Eiropas Parlaments</w:t>
            </w:r>
          </w:p>
          <w:p w:rsidR="00751A4A" w:rsidRPr="00E01AB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7EE9">
              <w:t>2019</w:t>
            </w:r>
            <w:r w:rsidRPr="00E01AB6">
              <w:t>-</w:t>
            </w:r>
            <w:r w:rsidRPr="00C37EE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01AB6" w:rsidRDefault="00187494" w:rsidP="0010095E">
            <w:pPr>
              <w:pStyle w:val="EPLogo"/>
            </w:pPr>
            <w:r w:rsidRPr="00E01A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1AB6" w:rsidRDefault="00D058B8" w:rsidP="004C5D52">
      <w:pPr>
        <w:pStyle w:val="LineTop"/>
      </w:pPr>
    </w:p>
    <w:p w:rsidR="00680577" w:rsidRPr="00E01AB6" w:rsidRDefault="00983A95" w:rsidP="00680577">
      <w:pPr>
        <w:pStyle w:val="EPBodyTA1"/>
      </w:pPr>
      <w:r w:rsidRPr="00E01AB6">
        <w:t>PIEŅEMTIE TEKSTI</w:t>
      </w:r>
    </w:p>
    <w:p w:rsidR="00D058B8" w:rsidRPr="00E01AB6" w:rsidRDefault="00D058B8" w:rsidP="00D058B8">
      <w:pPr>
        <w:pStyle w:val="LineBottom"/>
      </w:pPr>
    </w:p>
    <w:p w:rsidR="00983A95" w:rsidRPr="00E01AB6" w:rsidRDefault="00983A95" w:rsidP="00983A95">
      <w:pPr>
        <w:pStyle w:val="ATHeading1"/>
      </w:pPr>
      <w:bookmarkStart w:id="0" w:name="TANumber"/>
      <w:r w:rsidRPr="00E01AB6">
        <w:t>P</w:t>
      </w:r>
      <w:r w:rsidRPr="00C37EE9">
        <w:t>9</w:t>
      </w:r>
      <w:r w:rsidRPr="00E01AB6">
        <w:t>_TA(</w:t>
      </w:r>
      <w:r w:rsidRPr="00C37EE9">
        <w:t>2024</w:t>
      </w:r>
      <w:r w:rsidRPr="00E01AB6">
        <w:t>)</w:t>
      </w:r>
      <w:r w:rsidRPr="00C37EE9">
        <w:t>0</w:t>
      </w:r>
      <w:r w:rsidR="00E01AB6" w:rsidRPr="00C37EE9">
        <w:t>352</w:t>
      </w:r>
      <w:bookmarkEnd w:id="0"/>
    </w:p>
    <w:p w:rsidR="00983A95" w:rsidRPr="00E01AB6" w:rsidRDefault="00DE3930" w:rsidP="00DE3930">
      <w:pPr>
        <w:pStyle w:val="ATHeading2"/>
      </w:pPr>
      <w:bookmarkStart w:id="1" w:name="title"/>
      <w:r w:rsidRPr="00E01AB6">
        <w:t>Vairākbalsu akciju struktūras tādos uzņēmumos, kas lūdz atļauju savu akciju tirdzniecībai MVU</w:t>
      </w:r>
      <w:r w:rsidR="001E0E1C" w:rsidRPr="00E01AB6">
        <w:t xml:space="preserve"> </w:t>
      </w:r>
      <w:r w:rsidRPr="00E01AB6">
        <w:t>izaugsmes tirgū</w:t>
      </w:r>
      <w:bookmarkEnd w:id="1"/>
    </w:p>
    <w:p w:rsidR="00983A95" w:rsidRPr="00E01AB6" w:rsidRDefault="00983A95" w:rsidP="00983A95">
      <w:pPr>
        <w:rPr>
          <w:i/>
          <w:vanish/>
        </w:rPr>
      </w:pPr>
      <w:r w:rsidRPr="00E01AB6">
        <w:rPr>
          <w:i/>
        </w:rPr>
        <w:fldChar w:fldCharType="begin"/>
      </w:r>
      <w:r w:rsidRPr="00E01AB6">
        <w:rPr>
          <w:i/>
        </w:rPr>
        <w:instrText xml:space="preserve"> TC"(</w:instrText>
      </w:r>
      <w:bookmarkStart w:id="2" w:name="DocNumber"/>
      <w:r w:rsidRPr="00E01AB6">
        <w:rPr>
          <w:i/>
        </w:rPr>
        <w:instrText>A</w:instrText>
      </w:r>
      <w:r w:rsidRPr="00C37EE9">
        <w:rPr>
          <w:i/>
        </w:rPr>
        <w:instrText>9</w:instrText>
      </w:r>
      <w:r w:rsidRPr="00E01AB6">
        <w:rPr>
          <w:i/>
        </w:rPr>
        <w:instrText>-</w:instrText>
      </w:r>
      <w:r w:rsidRPr="00C37EE9">
        <w:rPr>
          <w:i/>
        </w:rPr>
        <w:instrText>0300</w:instrText>
      </w:r>
      <w:r w:rsidRPr="00E01AB6">
        <w:rPr>
          <w:i/>
        </w:rPr>
        <w:instrText>/</w:instrText>
      </w:r>
      <w:r w:rsidRPr="00C37EE9">
        <w:rPr>
          <w:i/>
        </w:rPr>
        <w:instrText>2023</w:instrText>
      </w:r>
      <w:bookmarkEnd w:id="2"/>
      <w:r w:rsidRPr="00E01AB6">
        <w:rPr>
          <w:i/>
        </w:rPr>
        <w:instrText xml:space="preserve"> - Referents: Alfred Sant)"\l</w:instrText>
      </w:r>
      <w:r w:rsidRPr="00C37EE9">
        <w:rPr>
          <w:i/>
        </w:rPr>
        <w:instrText>3</w:instrText>
      </w:r>
      <w:r w:rsidRPr="00E01AB6">
        <w:rPr>
          <w:i/>
        </w:rPr>
        <w:instrText xml:space="preserve"> \n&gt; \* MERGEFORMAT </w:instrText>
      </w:r>
      <w:r w:rsidRPr="00E01AB6">
        <w:rPr>
          <w:i/>
        </w:rPr>
        <w:fldChar w:fldCharType="end"/>
      </w:r>
    </w:p>
    <w:p w:rsidR="00983A95" w:rsidRPr="00E01AB6" w:rsidRDefault="00983A95" w:rsidP="00983A95">
      <w:pPr>
        <w:rPr>
          <w:vanish/>
        </w:rPr>
      </w:pPr>
      <w:bookmarkStart w:id="3" w:name="Commission"/>
      <w:r w:rsidRPr="00E01AB6">
        <w:rPr>
          <w:vanish/>
        </w:rPr>
        <w:t>Ekonomikas un monetārā komiteja</w:t>
      </w:r>
      <w:bookmarkEnd w:id="3"/>
    </w:p>
    <w:p w:rsidR="00983A95" w:rsidRPr="00E01AB6" w:rsidRDefault="00983A95" w:rsidP="00983A95">
      <w:pPr>
        <w:rPr>
          <w:vanish/>
        </w:rPr>
      </w:pPr>
      <w:bookmarkStart w:id="4" w:name="PE"/>
      <w:r w:rsidRPr="00E01AB6">
        <w:rPr>
          <w:vanish/>
        </w:rPr>
        <w:t>PE</w:t>
      </w:r>
      <w:r w:rsidRPr="00C37EE9">
        <w:rPr>
          <w:vanish/>
        </w:rPr>
        <w:t>749</w:t>
      </w:r>
      <w:r w:rsidRPr="00E01AB6">
        <w:rPr>
          <w:vanish/>
        </w:rPr>
        <w:t>.</w:t>
      </w:r>
      <w:r w:rsidRPr="00C37EE9">
        <w:rPr>
          <w:vanish/>
        </w:rPr>
        <w:t>139</w:t>
      </w:r>
      <w:bookmarkEnd w:id="4"/>
    </w:p>
    <w:p w:rsidR="00983A95" w:rsidRPr="00E01AB6" w:rsidRDefault="00983A95" w:rsidP="00983A95">
      <w:pPr>
        <w:pStyle w:val="ATHeading3"/>
      </w:pPr>
      <w:bookmarkStart w:id="5" w:name="Sujet"/>
      <w:r w:rsidRPr="00E01AB6">
        <w:t xml:space="preserve">Eiropas Parlamenta </w:t>
      </w:r>
      <w:r w:rsidRPr="00C37EE9">
        <w:t>2024</w:t>
      </w:r>
      <w:r w:rsidRPr="00E01AB6">
        <w:t xml:space="preserve">. gada </w:t>
      </w:r>
      <w:r w:rsidR="001E0E1C" w:rsidRPr="00C37EE9">
        <w:t>24</w:t>
      </w:r>
      <w:r w:rsidRPr="00E01AB6">
        <w:t xml:space="preserve">. </w:t>
      </w:r>
      <w:r w:rsidR="00DE3930" w:rsidRPr="00E01AB6">
        <w:t xml:space="preserve">aprīļa </w:t>
      </w:r>
      <w:r w:rsidRPr="00E01AB6">
        <w:t>normatīvā rezolūcija par priekšlikumu Eiropas Parlamenta un Padomes direktīvai par vairākbalsu akciju struktūrām tādos uzņēmumos, kas lūdz atļauju savu akciju tirdzniecībai MVU izaugsmes tirgū</w:t>
      </w:r>
      <w:bookmarkEnd w:id="5"/>
      <w:r w:rsidRPr="00E01AB6">
        <w:t xml:space="preserve"> </w:t>
      </w:r>
      <w:bookmarkStart w:id="6" w:name="References"/>
      <w:r w:rsidRPr="00E01AB6">
        <w:t>(COM(</w:t>
      </w:r>
      <w:r w:rsidRPr="00C37EE9">
        <w:t>2022</w:t>
      </w:r>
      <w:r w:rsidRPr="00E01AB6">
        <w:t>)</w:t>
      </w:r>
      <w:r w:rsidRPr="00C37EE9">
        <w:t>0761</w:t>
      </w:r>
      <w:r w:rsidRPr="00E01AB6">
        <w:t xml:space="preserve"> – C</w:t>
      </w:r>
      <w:r w:rsidRPr="00C37EE9">
        <w:t>9</w:t>
      </w:r>
      <w:r w:rsidRPr="00E01AB6">
        <w:t>-</w:t>
      </w:r>
      <w:r w:rsidRPr="00C37EE9">
        <w:t>0416</w:t>
      </w:r>
      <w:r w:rsidRPr="00E01AB6">
        <w:t>/</w:t>
      </w:r>
      <w:r w:rsidRPr="00C37EE9">
        <w:t>2022</w:t>
      </w:r>
      <w:r w:rsidRPr="00E01AB6">
        <w:t xml:space="preserve"> – </w:t>
      </w:r>
      <w:r w:rsidRPr="00C37EE9">
        <w:t>2022</w:t>
      </w:r>
      <w:r w:rsidRPr="00E01AB6">
        <w:t>/</w:t>
      </w:r>
      <w:r w:rsidRPr="00C37EE9">
        <w:t>0406</w:t>
      </w:r>
      <w:r w:rsidRPr="00E01AB6">
        <w:t>(COD))</w:t>
      </w:r>
      <w:bookmarkEnd w:id="6"/>
    </w:p>
    <w:p w:rsidR="00246623" w:rsidRPr="00E01AB6" w:rsidRDefault="00246623" w:rsidP="00246623">
      <w:pPr>
        <w:pStyle w:val="NormalBold"/>
      </w:pPr>
      <w:bookmarkStart w:id="7" w:name="TextBodyBegin"/>
      <w:bookmarkEnd w:id="7"/>
      <w:r w:rsidRPr="00E01AB6">
        <w:t>(Parastā likumdošanas procedūra: pirmais lasījums)</w:t>
      </w:r>
    </w:p>
    <w:p w:rsidR="00246623" w:rsidRPr="00E01AB6" w:rsidRDefault="00246623" w:rsidP="00246623">
      <w:pPr>
        <w:pStyle w:val="EPComma"/>
      </w:pPr>
      <w:r w:rsidRPr="00E01AB6">
        <w:rPr>
          <w:i/>
        </w:rPr>
        <w:t>Eiropas Parlaments</w:t>
      </w:r>
      <w:r w:rsidRPr="00E01AB6">
        <w:t>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>ņemot vērā Komisijas priekšlikumu Eiropas Parlamentam un Padomei (COM(</w:t>
      </w:r>
      <w:r w:rsidRPr="00C37EE9">
        <w:t>2022</w:t>
      </w:r>
      <w:r w:rsidRPr="00E01AB6">
        <w:t>)</w:t>
      </w:r>
      <w:r w:rsidRPr="00C37EE9">
        <w:t>0761</w:t>
      </w:r>
      <w:r w:rsidRPr="00E01AB6">
        <w:t>),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 xml:space="preserve">ņemot vērā Līguma par Eiropas Savienības darbību </w:t>
      </w:r>
      <w:r w:rsidRPr="00C37EE9">
        <w:t>294</w:t>
      </w:r>
      <w:r w:rsidRPr="00E01AB6">
        <w:t xml:space="preserve">. panta </w:t>
      </w:r>
      <w:r w:rsidRPr="00C37EE9">
        <w:t>2</w:t>
      </w:r>
      <w:r w:rsidRPr="00E01AB6">
        <w:t xml:space="preserve">. punktu, </w:t>
      </w:r>
      <w:r w:rsidRPr="00C37EE9">
        <w:t>50</w:t>
      </w:r>
      <w:r w:rsidRPr="00E01AB6">
        <w:t xml:space="preserve">. panta </w:t>
      </w:r>
      <w:r w:rsidRPr="00C37EE9">
        <w:t>1</w:t>
      </w:r>
      <w:r w:rsidRPr="00E01AB6">
        <w:t xml:space="preserve">. punktu, </w:t>
      </w:r>
      <w:r w:rsidRPr="00C37EE9">
        <w:t>50</w:t>
      </w:r>
      <w:r w:rsidRPr="00E01AB6">
        <w:t xml:space="preserve">. panta </w:t>
      </w:r>
      <w:r w:rsidRPr="00C37EE9">
        <w:t>2</w:t>
      </w:r>
      <w:r w:rsidRPr="00E01AB6">
        <w:t xml:space="preserve">. punkta g) apakšpunktu un </w:t>
      </w:r>
      <w:r w:rsidRPr="00C37EE9">
        <w:t>114</w:t>
      </w:r>
      <w:r w:rsidRPr="00E01AB6">
        <w:t>. pantu, saskaņā ar kuriem Komisija tam ir iesniegusi priekšlikumu (C</w:t>
      </w:r>
      <w:r w:rsidRPr="00C37EE9">
        <w:t>9</w:t>
      </w:r>
      <w:r w:rsidRPr="00E01AB6">
        <w:noBreakHyphen/>
      </w:r>
      <w:r w:rsidRPr="00C37EE9">
        <w:t>0416</w:t>
      </w:r>
      <w:r w:rsidRPr="00E01AB6">
        <w:t>/</w:t>
      </w:r>
      <w:r w:rsidRPr="00C37EE9">
        <w:t>2022</w:t>
      </w:r>
      <w:r w:rsidRPr="00E01AB6">
        <w:t>),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 xml:space="preserve">ņemot vērā Līguma par Eiropas Savienības darbību </w:t>
      </w:r>
      <w:r w:rsidRPr="00C37EE9">
        <w:t>294</w:t>
      </w:r>
      <w:r w:rsidRPr="00E01AB6">
        <w:t xml:space="preserve">. panta </w:t>
      </w:r>
      <w:r w:rsidRPr="00C37EE9">
        <w:t>3</w:t>
      </w:r>
      <w:r w:rsidRPr="00E01AB6">
        <w:t>. punktu,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 xml:space="preserve">ņemot vērā Eiropas Ekonomikas un sociālo lietu komitejas </w:t>
      </w:r>
      <w:r w:rsidRPr="00C37EE9">
        <w:t>2023</w:t>
      </w:r>
      <w:r w:rsidRPr="00E01AB6">
        <w:t xml:space="preserve">. gada </w:t>
      </w:r>
      <w:r w:rsidRPr="00C37EE9">
        <w:t>23</w:t>
      </w:r>
      <w:r w:rsidRPr="00E01AB6">
        <w:t>. marta atzinumu</w:t>
      </w:r>
      <w:r w:rsidRPr="00E01AB6">
        <w:rPr>
          <w:rStyle w:val="FootnoteReference"/>
          <w:szCs w:val="24"/>
        </w:rPr>
        <w:footnoteReference w:id="1"/>
      </w:r>
      <w:r w:rsidRPr="00E01AB6">
        <w:t>,</w:t>
      </w:r>
    </w:p>
    <w:p w:rsidR="001E0E1C" w:rsidRPr="00E01AB6" w:rsidRDefault="001E0E1C" w:rsidP="001E0E1C">
      <w:pPr>
        <w:spacing w:after="240"/>
        <w:ind w:left="567" w:hanging="567"/>
        <w:rPr>
          <w:szCs w:val="24"/>
        </w:rPr>
      </w:pPr>
      <w:r w:rsidRPr="00E01AB6">
        <w:rPr>
          <w:rFonts w:cs="Mangal"/>
          <w:lang w:bidi="sa-IN"/>
        </w:rPr>
        <w:t>–</w:t>
      </w:r>
      <w:r w:rsidRPr="00E01AB6">
        <w:rPr>
          <w:rFonts w:cs="Mangal"/>
          <w:lang w:bidi="sa-IN"/>
        </w:rPr>
        <w:tab/>
      </w:r>
      <w:r w:rsidRPr="00E01AB6">
        <w:t xml:space="preserve">ņemot vērā provizorisko vienošanos, ko atbildīgā komiteja apstiprināja saskaņā ar Reglamenta </w:t>
      </w:r>
      <w:r w:rsidRPr="00C37EE9">
        <w:t>74</w:t>
      </w:r>
      <w:r w:rsidRPr="00E01AB6">
        <w:t xml:space="preserve">. panta </w:t>
      </w:r>
      <w:r w:rsidRPr="00C37EE9">
        <w:t>4</w:t>
      </w:r>
      <w:r w:rsidRPr="00E01AB6">
        <w:t xml:space="preserve">. punktu, un Padomes pārstāvja </w:t>
      </w:r>
      <w:r w:rsidRPr="00C37EE9">
        <w:t>2024</w:t>
      </w:r>
      <w:r w:rsidRPr="00E01AB6">
        <w:t xml:space="preserve">. gada </w:t>
      </w:r>
      <w:r w:rsidRPr="00C37EE9">
        <w:t>14</w:t>
      </w:r>
      <w:r w:rsidRPr="00E01AB6">
        <w:t xml:space="preserve">. februāra vēstulē pausto apņemšanos apstiprināt Parlamenta nostāju saskaņā ar Līguma par Eiropas Savienības darbību </w:t>
      </w:r>
      <w:r w:rsidRPr="00C37EE9">
        <w:t>294</w:t>
      </w:r>
      <w:r w:rsidRPr="00E01AB6">
        <w:t xml:space="preserve">. panta </w:t>
      </w:r>
      <w:r w:rsidRPr="00C37EE9">
        <w:t>4</w:t>
      </w:r>
      <w:r w:rsidRPr="00E01AB6">
        <w:t>. punktu,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 xml:space="preserve">ņemot vērā Reglamenta </w:t>
      </w:r>
      <w:r w:rsidRPr="00C37EE9">
        <w:t>59</w:t>
      </w:r>
      <w:r w:rsidRPr="00E01AB6">
        <w:t>. pantu,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>ņemot vērā Juridiskās komitejas atzinumu,</w:t>
      </w:r>
    </w:p>
    <w:p w:rsidR="00246623" w:rsidRPr="00E01AB6" w:rsidRDefault="00246623" w:rsidP="00246623">
      <w:pPr>
        <w:pStyle w:val="NormalHanging12a"/>
      </w:pPr>
      <w:r w:rsidRPr="00E01AB6">
        <w:t>–</w:t>
      </w:r>
      <w:r w:rsidRPr="00E01AB6">
        <w:tab/>
        <w:t>ņemot vērā Ekonomikas un monetārās komitejas ziņojumu (A</w:t>
      </w:r>
      <w:r w:rsidRPr="00C37EE9">
        <w:t>9</w:t>
      </w:r>
      <w:r w:rsidRPr="00E01AB6">
        <w:noBreakHyphen/>
      </w:r>
      <w:r w:rsidRPr="00C37EE9">
        <w:t>0300</w:t>
      </w:r>
      <w:r w:rsidRPr="00E01AB6">
        <w:t>/</w:t>
      </w:r>
      <w:r w:rsidRPr="00C37EE9">
        <w:t>2023</w:t>
      </w:r>
      <w:r w:rsidRPr="00E01AB6">
        <w:t>),</w:t>
      </w:r>
    </w:p>
    <w:p w:rsidR="00246623" w:rsidRPr="00E01AB6" w:rsidRDefault="00246623" w:rsidP="00246623">
      <w:pPr>
        <w:pStyle w:val="NormalHanging12a"/>
      </w:pPr>
      <w:r w:rsidRPr="00C37EE9">
        <w:lastRenderedPageBreak/>
        <w:t>1</w:t>
      </w:r>
      <w:r w:rsidRPr="00E01AB6">
        <w:t>.</w:t>
      </w:r>
      <w:r w:rsidRPr="00E01AB6">
        <w:tab/>
        <w:t>pieņem pirmajā lasījumā turpmāk izklāstīto nostāju;</w:t>
      </w:r>
    </w:p>
    <w:p w:rsidR="00246623" w:rsidRPr="00E01AB6" w:rsidRDefault="00246623" w:rsidP="00246623">
      <w:pPr>
        <w:pStyle w:val="NormalHanging12a"/>
      </w:pPr>
      <w:r w:rsidRPr="00C37EE9">
        <w:t>2</w:t>
      </w:r>
      <w:r w:rsidRPr="00E01AB6">
        <w:t>.</w:t>
      </w:r>
      <w:r w:rsidRPr="00E01AB6">
        <w:tab/>
        <w:t>prasa Komisijai priekšlikumu Parlamentam iesniegt vēlreiz, ja tā savu priekšlikumu aizstāj, būtiski groza vai ir paredzējusi to būtiski grozīt;</w:t>
      </w:r>
    </w:p>
    <w:p w:rsidR="001E0E1C" w:rsidRPr="00E01AB6" w:rsidRDefault="00246623" w:rsidP="001E0E1C">
      <w:pPr>
        <w:pStyle w:val="NormalHanging12a"/>
        <w:sectPr w:rsidR="001E0E1C" w:rsidRPr="00E01AB6" w:rsidSect="00C105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37EE9">
        <w:t>3</w:t>
      </w:r>
      <w:r w:rsidRPr="00E01AB6">
        <w:t>.</w:t>
      </w:r>
      <w:r w:rsidRPr="00E01AB6">
        <w:tab/>
        <w:t>uzdod priekšsēdētājai Parlamenta nostāju nosūtīt Padomei un Komisijai, kā arī dalībvalstu parlamentiem.</w:t>
      </w:r>
    </w:p>
    <w:p w:rsidR="001E0E1C" w:rsidRPr="00E01AB6" w:rsidRDefault="001E0E1C" w:rsidP="001E0E1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  <w:noProof/>
        </w:rPr>
      </w:pPr>
      <w:r w:rsidRPr="00E01AB6">
        <w:rPr>
          <w:b/>
          <w:noProof/>
        </w:rPr>
        <w:lastRenderedPageBreak/>
        <w:t>P</w:t>
      </w:r>
      <w:r w:rsidRPr="00C37EE9">
        <w:rPr>
          <w:b/>
          <w:noProof/>
        </w:rPr>
        <w:t>9</w:t>
      </w:r>
      <w:r w:rsidRPr="00E01AB6">
        <w:rPr>
          <w:b/>
          <w:noProof/>
        </w:rPr>
        <w:t>_TC</w:t>
      </w:r>
      <w:r w:rsidRPr="00C37EE9">
        <w:rPr>
          <w:b/>
          <w:noProof/>
        </w:rPr>
        <w:t>1</w:t>
      </w:r>
      <w:r w:rsidRPr="00E01AB6">
        <w:rPr>
          <w:b/>
          <w:noProof/>
        </w:rPr>
        <w:t>-COD(</w:t>
      </w:r>
      <w:r w:rsidRPr="00C37EE9">
        <w:rPr>
          <w:b/>
          <w:noProof/>
        </w:rPr>
        <w:t>2022</w:t>
      </w:r>
      <w:r w:rsidRPr="00E01AB6">
        <w:rPr>
          <w:b/>
          <w:noProof/>
        </w:rPr>
        <w:t>)</w:t>
      </w:r>
      <w:r w:rsidRPr="00C37EE9">
        <w:rPr>
          <w:b/>
          <w:noProof/>
        </w:rPr>
        <w:t>0406</w:t>
      </w:r>
    </w:p>
    <w:p w:rsidR="001E0E1C" w:rsidRDefault="001E0E1C" w:rsidP="00E01AB6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i/>
          <w:szCs w:val="22"/>
          <w:lang w:eastAsia="en-US"/>
        </w:rPr>
      </w:pPr>
      <w:r w:rsidRPr="00E01AB6">
        <w:rPr>
          <w:b/>
          <w:noProof/>
        </w:rPr>
        <w:t xml:space="preserve">Eiropas Parlamenta nostāja, pieņemta pirmajā lasījumā </w:t>
      </w:r>
      <w:r w:rsidRPr="00C37EE9">
        <w:rPr>
          <w:b/>
        </w:rPr>
        <w:t>2024</w:t>
      </w:r>
      <w:r w:rsidRPr="00E01AB6">
        <w:rPr>
          <w:b/>
        </w:rPr>
        <w:t xml:space="preserve">. gada </w:t>
      </w:r>
      <w:r w:rsidRPr="00C37EE9">
        <w:rPr>
          <w:b/>
        </w:rPr>
        <w:t>24</w:t>
      </w:r>
      <w:r w:rsidRPr="00E01AB6">
        <w:rPr>
          <w:b/>
        </w:rPr>
        <w:t>. aprīlī</w:t>
      </w:r>
      <w:r w:rsidRPr="00E01AB6">
        <w:rPr>
          <w:b/>
          <w:noProof/>
        </w:rPr>
        <w:t xml:space="preserve">, lai pieņemtu Eiropas Parlamenta un Padomes Direktīvu (ES) </w:t>
      </w:r>
      <w:r w:rsidRPr="00C37EE9">
        <w:rPr>
          <w:b/>
          <w:noProof/>
        </w:rPr>
        <w:t>2024</w:t>
      </w:r>
      <w:r w:rsidRPr="00E01AB6">
        <w:rPr>
          <w:b/>
          <w:noProof/>
        </w:rPr>
        <w:t xml:space="preserve">/... </w:t>
      </w:r>
      <w:r w:rsidR="00926A8C" w:rsidRPr="00926A8C">
        <w:rPr>
          <w:rFonts w:eastAsia="Calibri"/>
          <w:b/>
          <w:szCs w:val="22"/>
          <w:lang w:eastAsia="en-US"/>
        </w:rPr>
        <w:t xml:space="preserve">par vairākbalsu akciju struktūrām tādos uzņēmumos, kas tiecas iegūt pielaidi savu akciju tirdzniecībai </w:t>
      </w:r>
      <w:r w:rsidR="00926A8C" w:rsidRPr="00CA750A">
        <w:rPr>
          <w:rFonts w:eastAsia="Calibri"/>
          <w:b/>
          <w:szCs w:val="22"/>
          <w:lang w:eastAsia="en-US"/>
        </w:rPr>
        <w:t>daudzpusējā tirdzniecības sistēmā</w:t>
      </w:r>
    </w:p>
    <w:p w:rsidR="00CA750A" w:rsidRDefault="00CA750A" w:rsidP="00CA750A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CA750A">
        <w:rPr>
          <w:i/>
        </w:rPr>
        <w:t>Direktīvai (ES) 2024/</w:t>
      </w:r>
      <w:r w:rsidRPr="00CA750A">
        <w:rPr>
          <w:i/>
        </w:rPr>
        <w:t>2810</w:t>
      </w:r>
      <w:r w:rsidRPr="00CA750A">
        <w:rPr>
          <w:i/>
        </w:rPr>
        <w:t>.)</w:t>
      </w:r>
    </w:p>
    <w:p w:rsidR="00CA750A" w:rsidRPr="00E01AB6" w:rsidRDefault="00CA750A" w:rsidP="00E01AB6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bCs/>
          <w:szCs w:val="22"/>
          <w:lang w:eastAsia="en-US"/>
        </w:rPr>
      </w:pPr>
      <w:bookmarkStart w:id="8" w:name="_GoBack"/>
      <w:bookmarkEnd w:id="8"/>
    </w:p>
    <w:sectPr w:rsidR="00CA750A" w:rsidRPr="00E01AB6" w:rsidSect="00C105A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A95" w:rsidRPr="00C105AB" w:rsidRDefault="00983A95">
      <w:r w:rsidRPr="00C105AB">
        <w:separator/>
      </w:r>
    </w:p>
  </w:endnote>
  <w:endnote w:type="continuationSeparator" w:id="0">
    <w:p w:rsidR="00983A95" w:rsidRPr="00C105AB" w:rsidRDefault="00983A95">
      <w:r w:rsidRPr="00C105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A95" w:rsidRPr="00C105AB" w:rsidRDefault="00983A95">
      <w:r w:rsidRPr="00C105AB">
        <w:separator/>
      </w:r>
    </w:p>
  </w:footnote>
  <w:footnote w:type="continuationSeparator" w:id="0">
    <w:p w:rsidR="00983A95" w:rsidRPr="00C105AB" w:rsidRDefault="00983A95">
      <w:r w:rsidRPr="00C105AB">
        <w:continuationSeparator/>
      </w:r>
    </w:p>
  </w:footnote>
  <w:footnote w:id="1">
    <w:p w:rsidR="00246623" w:rsidRPr="00C105AB" w:rsidRDefault="00246623" w:rsidP="00C105AB">
      <w:pPr>
        <w:pStyle w:val="FootnoteText"/>
        <w:ind w:left="567" w:hanging="567"/>
        <w:rPr>
          <w:sz w:val="24"/>
          <w:lang w:val="lv-LV"/>
        </w:rPr>
      </w:pPr>
      <w:r w:rsidRPr="00C105AB">
        <w:rPr>
          <w:rStyle w:val="FootnoteReference"/>
          <w:sz w:val="24"/>
          <w:lang w:val="lv-LV"/>
        </w:rPr>
        <w:footnoteRef/>
      </w:r>
      <w:r w:rsidR="00C105AB" w:rsidRPr="00C105AB">
        <w:rPr>
          <w:sz w:val="24"/>
          <w:lang w:val="lv-LV"/>
        </w:rPr>
        <w:t xml:space="preserve"> </w:t>
      </w:r>
      <w:r w:rsidR="00C105AB" w:rsidRPr="00C105AB">
        <w:rPr>
          <w:sz w:val="24"/>
          <w:lang w:val="lv-LV"/>
        </w:rPr>
        <w:tab/>
      </w:r>
      <w:r w:rsidRPr="00C105AB">
        <w:rPr>
          <w:sz w:val="24"/>
          <w:lang w:val="lv-LV"/>
        </w:rPr>
        <w:t>OV C </w:t>
      </w:r>
      <w:r w:rsidRPr="00C37EE9">
        <w:rPr>
          <w:sz w:val="24"/>
          <w:lang w:val="lv-LV"/>
        </w:rPr>
        <w:t>184</w:t>
      </w:r>
      <w:r w:rsidRPr="00C105AB">
        <w:rPr>
          <w:sz w:val="24"/>
          <w:lang w:val="lv-LV"/>
        </w:rPr>
        <w:t xml:space="preserve">, </w:t>
      </w:r>
      <w:r w:rsidRPr="00C37EE9">
        <w:rPr>
          <w:sz w:val="24"/>
          <w:lang w:val="lv-LV"/>
        </w:rPr>
        <w:t>25</w:t>
      </w:r>
      <w:r w:rsidRPr="00C105AB">
        <w:rPr>
          <w:sz w:val="24"/>
          <w:lang w:val="lv-LV"/>
        </w:rPr>
        <w:t>.</w:t>
      </w:r>
      <w:r w:rsidRPr="00C37EE9">
        <w:rPr>
          <w:sz w:val="24"/>
          <w:lang w:val="lv-LV"/>
        </w:rPr>
        <w:t>5</w:t>
      </w:r>
      <w:r w:rsidRPr="00C105AB">
        <w:rPr>
          <w:sz w:val="24"/>
          <w:lang w:val="lv-LV"/>
        </w:rPr>
        <w:t>.</w:t>
      </w:r>
      <w:r w:rsidRPr="00C37EE9">
        <w:rPr>
          <w:sz w:val="24"/>
          <w:lang w:val="lv-LV"/>
        </w:rPr>
        <w:t>2023</w:t>
      </w:r>
      <w:r w:rsidRPr="00C105AB">
        <w:rPr>
          <w:sz w:val="24"/>
          <w:lang w:val="lv-LV"/>
        </w:rPr>
        <w:t xml:space="preserve">., </w:t>
      </w:r>
      <w:r w:rsidRPr="00C37EE9">
        <w:rPr>
          <w:sz w:val="24"/>
          <w:lang w:val="lv-LV"/>
        </w:rPr>
        <w:t>103</w:t>
      </w:r>
      <w:r w:rsidRPr="00C105AB">
        <w:rPr>
          <w:sz w:val="24"/>
          <w:lang w:val="lv-LV"/>
        </w:rPr>
        <w:t>. lpp.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5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LV"/>
    <w:docVar w:name="dvnumam" w:val="42"/>
    <w:docVar w:name="dvpe" w:val="749.139"/>
    <w:docVar w:name="dvrapporteur" w:val="Referents: "/>
    <w:docVar w:name="dvstar" w:val="***I"/>
    <w:docVar w:name="dvtitre" w:val="Eiropas Parlamenta 2024. gada XX. XXX normatīvā rezolūcija par priekšlikumu Eiropas Parlamenta un Padomes direktīvai par vairākbalsu akciju struktūrām tādos uzņēmumos, kas lūdz atļauju savu akciju tirdzniecībai MVU izaugsmes tirgū(COM(2022)0761 – C9-0416/2022 – 2022/0406(COD))"/>
  </w:docVars>
  <w:rsids>
    <w:rsidRoot w:val="00983A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E1C"/>
    <w:rsid w:val="001F32AE"/>
    <w:rsid w:val="002466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6C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A8C"/>
    <w:rsid w:val="00930C23"/>
    <w:rsid w:val="0093193B"/>
    <w:rsid w:val="009509D8"/>
    <w:rsid w:val="00950B64"/>
    <w:rsid w:val="00981893"/>
    <w:rsid w:val="00983A95"/>
    <w:rsid w:val="009D54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5AB"/>
    <w:rsid w:val="00C23CD4"/>
    <w:rsid w:val="00C37EE9"/>
    <w:rsid w:val="00C61C0C"/>
    <w:rsid w:val="00C941CB"/>
    <w:rsid w:val="00CA750A"/>
    <w:rsid w:val="00CC2357"/>
    <w:rsid w:val="00CF071A"/>
    <w:rsid w:val="00D058B8"/>
    <w:rsid w:val="00D56C11"/>
    <w:rsid w:val="00D834A0"/>
    <w:rsid w:val="00D872DF"/>
    <w:rsid w:val="00D91E21"/>
    <w:rsid w:val="00DA7FCD"/>
    <w:rsid w:val="00DE3930"/>
    <w:rsid w:val="00E01AB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38E3A"/>
  <w15:chartTrackingRefBased/>
  <w15:docId w15:val="{16DE44E0-A479-4A4C-AA4D-133D7464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466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466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466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466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466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46623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246623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246623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246623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2466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66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662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6623"/>
    <w:pPr>
      <w:spacing w:after="120"/>
    </w:pPr>
  </w:style>
  <w:style w:type="paragraph" w:customStyle="1" w:styleId="PageHeading">
    <w:name w:val="PageHeading"/>
    <w:basedOn w:val="Normal"/>
    <w:rsid w:val="002466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6623"/>
    <w:rPr>
      <w:b/>
    </w:rPr>
  </w:style>
  <w:style w:type="paragraph" w:customStyle="1" w:styleId="NormalBold12a">
    <w:name w:val="NormalBold12a"/>
    <w:basedOn w:val="Normal"/>
    <w:rsid w:val="00246623"/>
    <w:pPr>
      <w:spacing w:after="240"/>
    </w:pPr>
    <w:rPr>
      <w:b/>
    </w:rPr>
  </w:style>
  <w:style w:type="paragraph" w:customStyle="1" w:styleId="AmJustText">
    <w:name w:val="AmJustText"/>
    <w:basedOn w:val="Normal"/>
    <w:rsid w:val="002466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466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6623"/>
    <w:pPr>
      <w:spacing w:after="480"/>
      <w:ind w:left="1417"/>
    </w:pPr>
  </w:style>
  <w:style w:type="paragraph" w:customStyle="1" w:styleId="CoverNormal">
    <w:name w:val="CoverNormal"/>
    <w:basedOn w:val="Normal"/>
    <w:rsid w:val="00246623"/>
    <w:pPr>
      <w:ind w:left="1418"/>
    </w:pPr>
  </w:style>
  <w:style w:type="paragraph" w:customStyle="1" w:styleId="AmCrossRef">
    <w:name w:val="AmCrossRef"/>
    <w:basedOn w:val="Normal"/>
    <w:rsid w:val="0024662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662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66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66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66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6623"/>
    <w:pPr>
      <w:spacing w:before="240" w:after="1200"/>
    </w:pPr>
  </w:style>
  <w:style w:type="paragraph" w:styleId="Header">
    <w:name w:val="header"/>
    <w:basedOn w:val="Normal"/>
    <w:link w:val="HeaderChar"/>
    <w:rsid w:val="002466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6623"/>
    <w:rPr>
      <w:sz w:val="24"/>
      <w:lang w:val="lv-LV"/>
    </w:rPr>
  </w:style>
  <w:style w:type="paragraph" w:customStyle="1" w:styleId="AmOrLang">
    <w:name w:val="AmOrLang"/>
    <w:basedOn w:val="Normal"/>
    <w:rsid w:val="0024662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66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466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46623"/>
    <w:pPr>
      <w:spacing w:before="240"/>
    </w:pPr>
    <w:rPr>
      <w:b/>
    </w:rPr>
  </w:style>
  <w:style w:type="paragraph" w:customStyle="1" w:styleId="EPBody">
    <w:name w:val="EPBody"/>
    <w:basedOn w:val="Normal"/>
    <w:rsid w:val="002466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66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6623"/>
    <w:pPr>
      <w:spacing w:before="480" w:after="240"/>
    </w:pPr>
  </w:style>
  <w:style w:type="paragraph" w:customStyle="1" w:styleId="Lgendesigne">
    <w:name w:val="Légende signe"/>
    <w:basedOn w:val="Normal"/>
    <w:rsid w:val="002466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66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662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46623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24662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46623"/>
    <w:rPr>
      <w:b/>
      <w:sz w:val="24"/>
      <w:lang w:val="lv-LV"/>
    </w:rPr>
  </w:style>
  <w:style w:type="paragraph" w:customStyle="1" w:styleId="ColumnHeading">
    <w:name w:val="ColumnHeading"/>
    <w:basedOn w:val="Normal"/>
    <w:rsid w:val="0024662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66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46623"/>
    <w:pPr>
      <w:jc w:val="right"/>
    </w:pPr>
    <w:rPr>
      <w:lang w:val="lv-LV"/>
    </w:rPr>
  </w:style>
  <w:style w:type="paragraph" w:styleId="Footer">
    <w:name w:val="footer"/>
    <w:basedOn w:val="Normal"/>
    <w:link w:val="FooterChar"/>
    <w:rsid w:val="002466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46623"/>
    <w:rPr>
      <w:sz w:val="24"/>
      <w:lang w:val="lv-LV"/>
    </w:rPr>
  </w:style>
  <w:style w:type="paragraph" w:styleId="BalloonText">
    <w:name w:val="Balloon Text"/>
    <w:basedOn w:val="Normal"/>
    <w:link w:val="BalloonTextChar"/>
    <w:unhideWhenUsed/>
    <w:rsid w:val="00246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6623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rsid w:val="002466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66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6623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466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6623"/>
    <w:rPr>
      <w:b/>
      <w:bCs/>
      <w:lang w:val="lv-LV"/>
    </w:rPr>
  </w:style>
  <w:style w:type="paragraph" w:styleId="Revision">
    <w:name w:val="Revision"/>
    <w:hidden/>
    <w:uiPriority w:val="99"/>
    <w:semiHidden/>
    <w:rsid w:val="00246623"/>
    <w:rPr>
      <w:sz w:val="24"/>
      <w:lang w:val="lv-LV"/>
    </w:rPr>
  </w:style>
  <w:style w:type="paragraph" w:customStyle="1" w:styleId="NormalCenter12a">
    <w:name w:val="NormalCenter12a"/>
    <w:basedOn w:val="Normal"/>
    <w:rsid w:val="0024662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46623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24662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466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4662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2466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4662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4662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466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662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4662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4662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4662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466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466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466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4662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4662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246623"/>
    <w:rPr>
      <w:b/>
      <w:sz w:val="24"/>
      <w:lang w:val="lv-LV"/>
    </w:rPr>
  </w:style>
  <w:style w:type="paragraph" w:customStyle="1" w:styleId="Normal12a">
    <w:name w:val="Normal12a"/>
    <w:basedOn w:val="Normal"/>
    <w:rsid w:val="00246623"/>
    <w:pPr>
      <w:spacing w:after="240"/>
    </w:pPr>
  </w:style>
  <w:style w:type="paragraph" w:customStyle="1" w:styleId="PageHeadingNotTOC">
    <w:name w:val="PageHeadingNotTOC"/>
    <w:basedOn w:val="Normal"/>
    <w:rsid w:val="002466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4662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466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466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466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4662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4662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46623"/>
    <w:rPr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1E0E1C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1E0E1C"/>
    <w:rPr>
      <w:snapToGrid w:val="0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8CD3D-59A0-4BB9-B19A-07769FDD0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2025-03-19T13:43:00Z</dcterms:created>
  <dcterms:modified xsi:type="dcterms:W3CDTF">2025-03-19T13:43:00Z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