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755BC" w14:paraId="6DB89B3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CACEC05" w14:textId="77777777" w:rsidR="00751A4A" w:rsidRPr="007755BC" w:rsidRDefault="00106314" w:rsidP="0010095E">
            <w:pPr>
              <w:pStyle w:val="EPName"/>
            </w:pPr>
            <w:r w:rsidRPr="007755BC">
              <w:t>Evropský parlament</w:t>
            </w:r>
          </w:p>
          <w:p w14:paraId="10E77C3F" w14:textId="77777777" w:rsidR="00751A4A" w:rsidRPr="007755B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A186D">
              <w:t>2019</w:t>
            </w:r>
            <w:r w:rsidRPr="007755BC">
              <w:t>-</w:t>
            </w:r>
            <w:r w:rsidRPr="00BA186D">
              <w:t>2024</w:t>
            </w:r>
          </w:p>
        </w:tc>
        <w:tc>
          <w:tcPr>
            <w:tcW w:w="2268" w:type="dxa"/>
            <w:shd w:val="clear" w:color="auto" w:fill="auto"/>
          </w:tcPr>
          <w:p w14:paraId="1B963D41" w14:textId="77777777" w:rsidR="00751A4A" w:rsidRPr="007755BC" w:rsidRDefault="00187494" w:rsidP="0010095E">
            <w:pPr>
              <w:pStyle w:val="EPLogo"/>
            </w:pPr>
            <w:r w:rsidRPr="007755BC">
              <w:rPr>
                <w:noProof/>
                <w:lang w:val="pl-PL" w:eastAsia="pl-PL"/>
              </w:rPr>
              <w:drawing>
                <wp:inline distT="0" distB="0" distL="0" distR="0" wp14:anchorId="02715F62" wp14:editId="5264E43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275416" w14:textId="77777777" w:rsidR="00D058B8" w:rsidRPr="007755BC" w:rsidRDefault="00D058B8" w:rsidP="004C5D52">
      <w:pPr>
        <w:pStyle w:val="LineTop"/>
      </w:pPr>
    </w:p>
    <w:p w14:paraId="25D1B85F" w14:textId="77777777" w:rsidR="00680577" w:rsidRPr="007755BC" w:rsidRDefault="00106314" w:rsidP="00680577">
      <w:pPr>
        <w:pStyle w:val="EPBodyTA1"/>
      </w:pPr>
      <w:r w:rsidRPr="007755BC">
        <w:t>PŘIJATÉ TEXTY</w:t>
      </w:r>
    </w:p>
    <w:p w14:paraId="799AC8F5" w14:textId="77777777" w:rsidR="00D058B8" w:rsidRPr="007755BC" w:rsidRDefault="00D058B8" w:rsidP="00D058B8">
      <w:pPr>
        <w:pStyle w:val="LineBottom"/>
      </w:pPr>
    </w:p>
    <w:p w14:paraId="421C64E7" w14:textId="7604E1E4" w:rsidR="00106314" w:rsidRPr="007755BC" w:rsidRDefault="00106314" w:rsidP="00106314">
      <w:pPr>
        <w:pStyle w:val="ATHeading1"/>
      </w:pPr>
      <w:bookmarkStart w:id="0" w:name="TANumber"/>
      <w:r w:rsidRPr="007755BC">
        <w:t>P</w:t>
      </w:r>
      <w:r w:rsidRPr="00BA186D">
        <w:t>9</w:t>
      </w:r>
      <w:r w:rsidRPr="007755BC">
        <w:t>_TA(</w:t>
      </w:r>
      <w:r w:rsidRPr="00BA186D">
        <w:t>2024</w:t>
      </w:r>
      <w:r w:rsidRPr="007755BC">
        <w:t>)</w:t>
      </w:r>
      <w:r w:rsidRPr="00BA186D">
        <w:t>0</w:t>
      </w:r>
      <w:r w:rsidR="00527CBA" w:rsidRPr="00BA186D">
        <w:t>355</w:t>
      </w:r>
      <w:bookmarkEnd w:id="0"/>
    </w:p>
    <w:p w14:paraId="5657BC2C" w14:textId="77777777" w:rsidR="00106314" w:rsidRPr="007755BC" w:rsidRDefault="00106314" w:rsidP="00106314">
      <w:pPr>
        <w:pStyle w:val="ATHeading2"/>
      </w:pPr>
      <w:bookmarkStart w:id="1" w:name="title"/>
      <w:r w:rsidRPr="007755BC">
        <w:t>Akt o kybernetické solidaritě</w:t>
      </w:r>
      <w:bookmarkEnd w:id="1"/>
    </w:p>
    <w:p w14:paraId="7EDABE0B" w14:textId="77777777" w:rsidR="00106314" w:rsidRPr="007755BC" w:rsidRDefault="00106314" w:rsidP="00106314">
      <w:pPr>
        <w:rPr>
          <w:i/>
          <w:vanish/>
        </w:rPr>
      </w:pPr>
      <w:r w:rsidRPr="007755BC">
        <w:rPr>
          <w:i/>
        </w:rPr>
        <w:fldChar w:fldCharType="begin"/>
      </w:r>
      <w:r w:rsidRPr="007755BC">
        <w:rPr>
          <w:i/>
        </w:rPr>
        <w:instrText xml:space="preserve"> TC"(</w:instrText>
      </w:r>
      <w:bookmarkStart w:id="2" w:name="DocNumber"/>
      <w:r w:rsidRPr="007755BC">
        <w:rPr>
          <w:i/>
        </w:rPr>
        <w:instrText>A</w:instrText>
      </w:r>
      <w:r w:rsidRPr="00BA186D">
        <w:rPr>
          <w:i/>
        </w:rPr>
        <w:instrText>9</w:instrText>
      </w:r>
      <w:r w:rsidRPr="007755BC">
        <w:rPr>
          <w:i/>
        </w:rPr>
        <w:instrText>-</w:instrText>
      </w:r>
      <w:r w:rsidRPr="00BA186D">
        <w:rPr>
          <w:i/>
        </w:rPr>
        <w:instrText>0426</w:instrText>
      </w:r>
      <w:r w:rsidRPr="007755BC">
        <w:rPr>
          <w:i/>
        </w:rPr>
        <w:instrText>/</w:instrText>
      </w:r>
      <w:r w:rsidRPr="00BA186D">
        <w:rPr>
          <w:i/>
        </w:rPr>
        <w:instrText>2023</w:instrText>
      </w:r>
      <w:bookmarkEnd w:id="2"/>
      <w:r w:rsidRPr="007755BC">
        <w:rPr>
          <w:i/>
        </w:rPr>
        <w:instrText xml:space="preserve"> - Zpravodajka: Lina </w:instrText>
      </w:r>
      <w:proofErr w:type="spellStart"/>
      <w:r w:rsidRPr="007755BC">
        <w:rPr>
          <w:i/>
        </w:rPr>
        <w:instrText>Gálvez</w:instrText>
      </w:r>
      <w:proofErr w:type="spellEnd"/>
      <w:r w:rsidRPr="007755BC">
        <w:rPr>
          <w:i/>
        </w:rPr>
        <w:instrText xml:space="preserve"> </w:instrText>
      </w:r>
      <w:proofErr w:type="spellStart"/>
      <w:r w:rsidRPr="007755BC">
        <w:rPr>
          <w:i/>
        </w:rPr>
        <w:instrText>Muñoz</w:instrText>
      </w:r>
      <w:proofErr w:type="spellEnd"/>
      <w:r w:rsidRPr="007755BC">
        <w:rPr>
          <w:i/>
        </w:rPr>
        <w:instrText>)"\l</w:instrText>
      </w:r>
      <w:r w:rsidRPr="00BA186D">
        <w:rPr>
          <w:i/>
        </w:rPr>
        <w:instrText>3</w:instrText>
      </w:r>
      <w:r w:rsidRPr="007755BC">
        <w:rPr>
          <w:i/>
        </w:rPr>
        <w:instrText xml:space="preserve"> \n&gt; \* MERGEFORMAT </w:instrText>
      </w:r>
      <w:r w:rsidRPr="007755BC">
        <w:rPr>
          <w:i/>
        </w:rPr>
        <w:fldChar w:fldCharType="end"/>
      </w:r>
    </w:p>
    <w:p w14:paraId="28B9B8F0" w14:textId="77777777" w:rsidR="00106314" w:rsidRPr="007755BC" w:rsidRDefault="00106314" w:rsidP="00106314">
      <w:pPr>
        <w:rPr>
          <w:vanish/>
        </w:rPr>
      </w:pPr>
      <w:bookmarkStart w:id="3" w:name="Commission"/>
      <w:r w:rsidRPr="007755BC">
        <w:rPr>
          <w:vanish/>
        </w:rPr>
        <w:t>Výbor pro průmysl, výzkum a energetiku</w:t>
      </w:r>
      <w:bookmarkEnd w:id="3"/>
    </w:p>
    <w:p w14:paraId="77F89C49" w14:textId="77777777" w:rsidR="00106314" w:rsidRPr="007755BC" w:rsidRDefault="00106314" w:rsidP="00106314">
      <w:pPr>
        <w:rPr>
          <w:vanish/>
        </w:rPr>
      </w:pPr>
      <w:bookmarkStart w:id="4" w:name="PE"/>
      <w:r w:rsidRPr="007755BC">
        <w:rPr>
          <w:vanish/>
        </w:rPr>
        <w:t>PE</w:t>
      </w:r>
      <w:r w:rsidRPr="00BA186D">
        <w:rPr>
          <w:vanish/>
        </w:rPr>
        <w:t>752</w:t>
      </w:r>
      <w:r w:rsidRPr="007755BC">
        <w:rPr>
          <w:vanish/>
        </w:rPr>
        <w:t>.</w:t>
      </w:r>
      <w:r w:rsidRPr="00BA186D">
        <w:rPr>
          <w:vanish/>
        </w:rPr>
        <w:t>795</w:t>
      </w:r>
      <w:bookmarkEnd w:id="4"/>
    </w:p>
    <w:p w14:paraId="17909934" w14:textId="77777777" w:rsidR="00106314" w:rsidRPr="007755BC" w:rsidRDefault="00106314" w:rsidP="00106314">
      <w:pPr>
        <w:pStyle w:val="ATHeading3"/>
      </w:pPr>
      <w:bookmarkStart w:id="5" w:name="Sujet"/>
      <w:r w:rsidRPr="007755BC">
        <w:t xml:space="preserve">Legislativní usnesení Evropského parlamentu ze dne </w:t>
      </w:r>
      <w:r w:rsidRPr="00BA186D">
        <w:t>24</w:t>
      </w:r>
      <w:r w:rsidRPr="007755BC">
        <w:t xml:space="preserve">. dubna </w:t>
      </w:r>
      <w:r w:rsidRPr="00BA186D">
        <w:t>2024</w:t>
      </w:r>
      <w:r w:rsidRPr="007755BC">
        <w:t xml:space="preserve"> o návrhu nařízení Evropského parlamentu a Rady, kterým se stanoví opatření k posílení solidarity a kapacit v Unii pro odhalování kybernetických bezpečnostních hrozeb a incidentů a pro připravenost a reakci na ně</w:t>
      </w:r>
      <w:bookmarkEnd w:id="5"/>
      <w:r w:rsidRPr="007755BC">
        <w:t xml:space="preserve"> </w:t>
      </w:r>
      <w:bookmarkStart w:id="6" w:name="References"/>
      <w:r w:rsidRPr="007755BC">
        <w:t>(</w:t>
      </w:r>
      <w:proofErr w:type="gramStart"/>
      <w:r w:rsidRPr="007755BC">
        <w:t>COM(</w:t>
      </w:r>
      <w:r w:rsidRPr="00BA186D">
        <w:t>2023</w:t>
      </w:r>
      <w:proofErr w:type="gramEnd"/>
      <w:r w:rsidRPr="007755BC">
        <w:t>)</w:t>
      </w:r>
      <w:r w:rsidRPr="00BA186D">
        <w:t>0209</w:t>
      </w:r>
      <w:r w:rsidRPr="007755BC">
        <w:t xml:space="preserve"> – C</w:t>
      </w:r>
      <w:r w:rsidRPr="00BA186D">
        <w:t>9</w:t>
      </w:r>
      <w:r w:rsidRPr="007755BC">
        <w:t>-</w:t>
      </w:r>
      <w:r w:rsidRPr="00BA186D">
        <w:t>0136</w:t>
      </w:r>
      <w:r w:rsidRPr="007755BC">
        <w:t>/</w:t>
      </w:r>
      <w:r w:rsidRPr="00BA186D">
        <w:t>2023</w:t>
      </w:r>
      <w:r w:rsidRPr="007755BC">
        <w:t xml:space="preserve"> – </w:t>
      </w:r>
      <w:r w:rsidRPr="00BA186D">
        <w:t>2023</w:t>
      </w:r>
      <w:r w:rsidRPr="007755BC">
        <w:t>/</w:t>
      </w:r>
      <w:r w:rsidRPr="00BA186D">
        <w:t>0109</w:t>
      </w:r>
      <w:r w:rsidRPr="007755BC">
        <w:t>(COD))</w:t>
      </w:r>
      <w:bookmarkEnd w:id="6"/>
    </w:p>
    <w:p w14:paraId="662DBE44" w14:textId="77777777" w:rsidR="005D6965" w:rsidRPr="007755BC" w:rsidRDefault="005D6965" w:rsidP="005D6965">
      <w:pPr>
        <w:pStyle w:val="NormalBold"/>
      </w:pPr>
      <w:bookmarkStart w:id="7" w:name="TextBodyBegin"/>
      <w:bookmarkEnd w:id="7"/>
      <w:r w:rsidRPr="007755BC">
        <w:t>(Řádný legislativní postup: první čtení)</w:t>
      </w:r>
    </w:p>
    <w:p w14:paraId="03E919B0" w14:textId="77777777" w:rsidR="005D6965" w:rsidRPr="007755BC" w:rsidRDefault="005D6965" w:rsidP="005D6965">
      <w:pPr>
        <w:pStyle w:val="EPComma"/>
      </w:pPr>
      <w:r w:rsidRPr="007755BC">
        <w:rPr>
          <w:i/>
          <w:iCs/>
        </w:rPr>
        <w:t>Evropský parlament</w:t>
      </w:r>
      <w:r w:rsidRPr="007755BC">
        <w:t>,</w:t>
      </w:r>
    </w:p>
    <w:p w14:paraId="208B2664" w14:textId="77777777" w:rsidR="005D6965" w:rsidRPr="007755BC" w:rsidRDefault="005D6965" w:rsidP="002659A8">
      <w:pPr>
        <w:pStyle w:val="NormalHanging12a"/>
      </w:pPr>
      <w:r w:rsidRPr="007755BC">
        <w:t>–</w:t>
      </w:r>
      <w:r w:rsidRPr="007755BC">
        <w:tab/>
        <w:t>s ohledem na návrh Komise předložený Evropskému parlamentu a Radě (</w:t>
      </w:r>
      <w:proofErr w:type="gramStart"/>
      <w:r w:rsidRPr="007755BC">
        <w:t>COM(</w:t>
      </w:r>
      <w:r w:rsidRPr="00BA186D">
        <w:t>2023</w:t>
      </w:r>
      <w:proofErr w:type="gramEnd"/>
      <w:r w:rsidRPr="007755BC">
        <w:t>)</w:t>
      </w:r>
      <w:r w:rsidRPr="00BA186D">
        <w:t>0209</w:t>
      </w:r>
      <w:r w:rsidRPr="007755BC">
        <w:t>),</w:t>
      </w:r>
    </w:p>
    <w:p w14:paraId="154C9FAD" w14:textId="4CDFFF23" w:rsidR="005D6965" w:rsidRPr="000C50B3" w:rsidRDefault="005D6965" w:rsidP="002659A8">
      <w:pPr>
        <w:pStyle w:val="NormalHanging12a"/>
      </w:pPr>
      <w:r w:rsidRPr="007755BC">
        <w:t>–</w:t>
      </w:r>
      <w:r w:rsidRPr="007755BC">
        <w:tab/>
        <w:t xml:space="preserve">s ohledem na čl. </w:t>
      </w:r>
      <w:r w:rsidRPr="00BA186D">
        <w:t>294</w:t>
      </w:r>
      <w:r w:rsidRPr="007755BC">
        <w:t xml:space="preserve"> odst. </w:t>
      </w:r>
      <w:r w:rsidRPr="00BA186D">
        <w:t>2</w:t>
      </w:r>
      <w:r w:rsidR="00A120C3">
        <w:t xml:space="preserve">, </w:t>
      </w:r>
      <w:r w:rsidRPr="007755BC">
        <w:t xml:space="preserve">čl. </w:t>
      </w:r>
      <w:r w:rsidRPr="00BA186D">
        <w:t>173</w:t>
      </w:r>
      <w:r w:rsidRPr="007755BC">
        <w:t xml:space="preserve"> odst. </w:t>
      </w:r>
      <w:r w:rsidRPr="00BA186D">
        <w:t>3</w:t>
      </w:r>
      <w:r w:rsidRPr="007755BC">
        <w:t xml:space="preserve"> a čl. </w:t>
      </w:r>
      <w:r w:rsidRPr="00BA186D">
        <w:t>322</w:t>
      </w:r>
      <w:r w:rsidRPr="007755BC">
        <w:t xml:space="preserve"> odst. </w:t>
      </w:r>
      <w:r w:rsidRPr="00BA186D">
        <w:t>1</w:t>
      </w:r>
      <w:r w:rsidRPr="000C50B3">
        <w:t xml:space="preserve"> písm. a) Smlouvy o fungování Evropské unie, v souladu se kterými Komise předložila svůj návrh Parlamentu (C</w:t>
      </w:r>
      <w:r w:rsidRPr="00BA186D">
        <w:t>9</w:t>
      </w:r>
      <w:r w:rsidRPr="000C50B3">
        <w:noBreakHyphen/>
      </w:r>
      <w:r w:rsidRPr="00BA186D">
        <w:t>0136</w:t>
      </w:r>
      <w:r w:rsidRPr="000C50B3">
        <w:t>/</w:t>
      </w:r>
      <w:r w:rsidRPr="00BA186D">
        <w:t>2023</w:t>
      </w:r>
      <w:r w:rsidRPr="000C50B3">
        <w:t>),</w:t>
      </w:r>
    </w:p>
    <w:p w14:paraId="37965F0E" w14:textId="307ED597" w:rsidR="005D6965" w:rsidRPr="000C50B3" w:rsidRDefault="005D6965" w:rsidP="002659A8">
      <w:pPr>
        <w:pStyle w:val="NormalHanging12a"/>
      </w:pPr>
      <w:r w:rsidRPr="000C50B3">
        <w:t>–</w:t>
      </w:r>
      <w:r w:rsidRPr="000C50B3">
        <w:tab/>
        <w:t xml:space="preserve">s ohledem na čl. </w:t>
      </w:r>
      <w:r w:rsidRPr="00BA186D">
        <w:t>294</w:t>
      </w:r>
      <w:r w:rsidRPr="000C50B3">
        <w:t xml:space="preserve"> odst. </w:t>
      </w:r>
      <w:r w:rsidRPr="00BA186D">
        <w:t>3</w:t>
      </w:r>
      <w:r w:rsidRPr="000C50B3">
        <w:t xml:space="preserve"> Smlouvy o fungování Evropské unie,</w:t>
      </w:r>
    </w:p>
    <w:p w14:paraId="58E0FCAB" w14:textId="782C2EE6" w:rsidR="000C50B3" w:rsidRPr="000C50B3" w:rsidRDefault="000C50B3" w:rsidP="000C50B3">
      <w:pPr>
        <w:pStyle w:val="NormalHanging12a"/>
        <w:widowControl/>
      </w:pPr>
      <w:r w:rsidRPr="000C50B3">
        <w:t>–</w:t>
      </w:r>
      <w:r w:rsidRPr="000C50B3">
        <w:tab/>
        <w:t xml:space="preserve">s ohledem na stanovisko Účetního dvora ze dne </w:t>
      </w:r>
      <w:r w:rsidRPr="00BA186D">
        <w:t>18</w:t>
      </w:r>
      <w:r w:rsidRPr="000C50B3">
        <w:t xml:space="preserve">. dubna </w:t>
      </w:r>
      <w:r w:rsidRPr="00BA186D">
        <w:t>2023</w:t>
      </w:r>
      <w:r w:rsidRPr="0031477D">
        <w:rPr>
          <w:rStyle w:val="FootnoteReference"/>
        </w:rPr>
        <w:footnoteReference w:id="1"/>
      </w:r>
      <w:r w:rsidR="00521E9B">
        <w:t>,</w:t>
      </w:r>
    </w:p>
    <w:p w14:paraId="100577B7" w14:textId="122E3373" w:rsidR="00287581" w:rsidRPr="000C50B3" w:rsidRDefault="005D6965" w:rsidP="00287581">
      <w:pPr>
        <w:pStyle w:val="NormalHanging12a"/>
      </w:pPr>
      <w:r w:rsidRPr="000C50B3">
        <w:t>–</w:t>
      </w:r>
      <w:r w:rsidRPr="000C50B3">
        <w:tab/>
        <w:t xml:space="preserve">s ohledem na stanovisko Evropského hospodářského a sociálního výboru ze dne </w:t>
      </w:r>
      <w:r w:rsidRPr="00BA186D">
        <w:t>13</w:t>
      </w:r>
      <w:r w:rsidRPr="000C50B3">
        <w:t xml:space="preserve">. července </w:t>
      </w:r>
      <w:r w:rsidRPr="00BA186D">
        <w:t>2023</w:t>
      </w:r>
      <w:r w:rsidRPr="000C50B3">
        <w:rPr>
          <w:rStyle w:val="FootnoteReference"/>
        </w:rPr>
        <w:footnoteReference w:id="2"/>
      </w:r>
      <w:r w:rsidRPr="000C50B3">
        <w:t>,</w:t>
      </w:r>
    </w:p>
    <w:p w14:paraId="11787FB2" w14:textId="628C1C83" w:rsidR="00287581" w:rsidRDefault="00287581" w:rsidP="00287581">
      <w:pPr>
        <w:pStyle w:val="NormalHanging12a"/>
      </w:pPr>
      <w:r w:rsidRPr="000C50B3">
        <w:t>–</w:t>
      </w:r>
      <w:r w:rsidRPr="000C50B3">
        <w:tab/>
        <w:t xml:space="preserve">s ohledem na stanovisko Výboru regionů ze dne </w:t>
      </w:r>
      <w:r w:rsidRPr="00BA186D">
        <w:t>30</w:t>
      </w:r>
      <w:r w:rsidRPr="000C50B3">
        <w:t xml:space="preserve">. listopadu </w:t>
      </w:r>
      <w:r w:rsidRPr="00BA186D">
        <w:t>2023</w:t>
      </w:r>
      <w:r w:rsidRPr="00CE1631">
        <w:rPr>
          <w:rStyle w:val="FootnoteReference"/>
        </w:rPr>
        <w:footnoteReference w:id="3"/>
      </w:r>
      <w:r>
        <w:t>,</w:t>
      </w:r>
    </w:p>
    <w:p w14:paraId="44C44A6F" w14:textId="795CB79C" w:rsidR="00287581" w:rsidRPr="007755BC" w:rsidRDefault="00287581" w:rsidP="00287581">
      <w:pPr>
        <w:pStyle w:val="NormalHanging12a"/>
      </w:pPr>
      <w:r>
        <w:t>–</w:t>
      </w:r>
      <w:r>
        <w:tab/>
      </w:r>
      <w:r w:rsidRPr="00287581">
        <w:t xml:space="preserve">s ohledem na předběžnou dohodu přijatou příslušným výborem podle čl. </w:t>
      </w:r>
      <w:r w:rsidR="00697A71" w:rsidRPr="00BA186D">
        <w:t>74</w:t>
      </w:r>
      <w:r w:rsidRPr="00287581">
        <w:t xml:space="preserve"> odst. </w:t>
      </w:r>
      <w:r w:rsidRPr="00BA186D">
        <w:t>4</w:t>
      </w:r>
      <w:r w:rsidRPr="00287581">
        <w:t xml:space="preserve"> jednacího řádu a s ohledem na to, že se zástupce Rady dopisem ze dne </w:t>
      </w:r>
      <w:r w:rsidR="00697A71" w:rsidRPr="00BA186D">
        <w:t>21</w:t>
      </w:r>
      <w:r w:rsidR="00697A71">
        <w:t>. března</w:t>
      </w:r>
      <w:r w:rsidRPr="00287581">
        <w:t xml:space="preserve"> </w:t>
      </w:r>
      <w:r w:rsidRPr="00BA186D">
        <w:t>2024</w:t>
      </w:r>
      <w:r w:rsidRPr="00287581">
        <w:t xml:space="preserve"> zavázal schválit postoj Parlamentu v souladu s čl. </w:t>
      </w:r>
      <w:r w:rsidRPr="00BA186D">
        <w:t>294</w:t>
      </w:r>
      <w:r w:rsidRPr="00287581">
        <w:t xml:space="preserve"> odst. </w:t>
      </w:r>
      <w:r w:rsidRPr="00BA186D">
        <w:t>4</w:t>
      </w:r>
      <w:r w:rsidRPr="00287581">
        <w:t xml:space="preserve"> Smlouvy o fungování Evropské unie,</w:t>
      </w:r>
    </w:p>
    <w:p w14:paraId="2E7C3C47" w14:textId="77777777" w:rsidR="005D6965" w:rsidRPr="007755BC" w:rsidRDefault="005D6965" w:rsidP="002659A8">
      <w:pPr>
        <w:pStyle w:val="NormalHanging12a"/>
      </w:pPr>
      <w:r w:rsidRPr="007755BC">
        <w:t>–</w:t>
      </w:r>
      <w:r w:rsidRPr="007755BC">
        <w:tab/>
        <w:t xml:space="preserve">s ohledem na článek </w:t>
      </w:r>
      <w:r w:rsidRPr="00BA186D">
        <w:t>59</w:t>
      </w:r>
      <w:r w:rsidRPr="007755BC">
        <w:t xml:space="preserve"> jednacího řádu,</w:t>
      </w:r>
    </w:p>
    <w:p w14:paraId="6F2128A9" w14:textId="77777777" w:rsidR="005D6965" w:rsidRPr="007755BC" w:rsidRDefault="005D6965" w:rsidP="002659A8">
      <w:pPr>
        <w:pStyle w:val="NormalHanging12a"/>
      </w:pPr>
      <w:r w:rsidRPr="007755BC">
        <w:lastRenderedPageBreak/>
        <w:t>–</w:t>
      </w:r>
      <w:r w:rsidRPr="007755BC">
        <w:tab/>
        <w:t xml:space="preserve">s ohledem na stanoviska Výboru pro zahraniční věci a Výboru pro dopravu a cestovní ruch, </w:t>
      </w:r>
    </w:p>
    <w:p w14:paraId="6621D66D" w14:textId="77777777" w:rsidR="005D6965" w:rsidRPr="007755BC" w:rsidRDefault="005D6965" w:rsidP="002659A8">
      <w:pPr>
        <w:pStyle w:val="NormalHanging12a"/>
      </w:pPr>
      <w:r w:rsidRPr="007755BC">
        <w:t>–</w:t>
      </w:r>
      <w:r w:rsidRPr="007755BC">
        <w:tab/>
        <w:t>s ohledem na zprávu Výboru pro průmysl, výzkum a energetiku (A</w:t>
      </w:r>
      <w:r w:rsidRPr="00BA186D">
        <w:t>9</w:t>
      </w:r>
      <w:r w:rsidRPr="007755BC">
        <w:t>-</w:t>
      </w:r>
      <w:r w:rsidRPr="00BA186D">
        <w:t>0426</w:t>
      </w:r>
      <w:r w:rsidRPr="007755BC">
        <w:t>/</w:t>
      </w:r>
      <w:r w:rsidRPr="00BA186D">
        <w:t>2023</w:t>
      </w:r>
      <w:r w:rsidRPr="007755BC">
        <w:t>),</w:t>
      </w:r>
    </w:p>
    <w:p w14:paraId="3B2BF754" w14:textId="77777777" w:rsidR="005D6965" w:rsidRPr="007755BC" w:rsidRDefault="005D6965" w:rsidP="002659A8">
      <w:pPr>
        <w:pStyle w:val="NormalHanging12a"/>
      </w:pPr>
      <w:r w:rsidRPr="00BA186D">
        <w:t>1</w:t>
      </w:r>
      <w:r w:rsidRPr="007755BC">
        <w:t>.</w:t>
      </w:r>
      <w:r w:rsidRPr="007755BC">
        <w:tab/>
        <w:t>přijímá níže uvedený postoj v prvním čtení;</w:t>
      </w:r>
    </w:p>
    <w:p w14:paraId="20BC224A" w14:textId="2EE899A1" w:rsidR="005D6965" w:rsidRPr="007755BC" w:rsidRDefault="005D6965" w:rsidP="002659A8">
      <w:pPr>
        <w:pStyle w:val="NormalHanging12a"/>
      </w:pPr>
      <w:r w:rsidRPr="00BA186D">
        <w:t>2</w:t>
      </w:r>
      <w:r w:rsidRPr="007755BC">
        <w:t>.</w:t>
      </w:r>
      <w:r w:rsidRPr="007755BC">
        <w:tab/>
      </w:r>
      <w:r w:rsidR="007C0FDB" w:rsidRPr="007C0FDB">
        <w:t xml:space="preserve">bere na vědomí </w:t>
      </w:r>
      <w:r w:rsidRPr="007755BC">
        <w:t>prohlášení</w:t>
      </w:r>
      <w:r w:rsidR="007C0FDB">
        <w:t xml:space="preserve"> Komise</w:t>
      </w:r>
      <w:r w:rsidRPr="007755BC">
        <w:t>, které je přílohou tohoto usnesení</w:t>
      </w:r>
      <w:r w:rsidR="007C0FDB">
        <w:t xml:space="preserve"> </w:t>
      </w:r>
      <w:r w:rsidR="007C0FDB" w:rsidRPr="007C0FDB">
        <w:t xml:space="preserve">a bude zveřejněno v řadě </w:t>
      </w:r>
      <w:r w:rsidR="007C0FDB">
        <w:t>C</w:t>
      </w:r>
      <w:r w:rsidR="007C0FDB" w:rsidRPr="007C0FDB">
        <w:t xml:space="preserve"> </w:t>
      </w:r>
      <w:r w:rsidR="007C0FDB" w:rsidRPr="0031477D">
        <w:rPr>
          <w:i/>
        </w:rPr>
        <w:t>Úředního věstníku Evropské unie</w:t>
      </w:r>
      <w:r w:rsidRPr="007755BC">
        <w:t>;</w:t>
      </w:r>
    </w:p>
    <w:p w14:paraId="6C7C4360" w14:textId="77777777" w:rsidR="005D6965" w:rsidRPr="007755BC" w:rsidRDefault="005D6965" w:rsidP="002659A8">
      <w:pPr>
        <w:pStyle w:val="NormalHanging12a"/>
      </w:pPr>
      <w:r w:rsidRPr="00BA186D">
        <w:t>3</w:t>
      </w:r>
      <w:r w:rsidRPr="007755BC">
        <w:t>.</w:t>
      </w:r>
      <w:r w:rsidRPr="007755BC">
        <w:tab/>
        <w:t>vyzývá Komisi, aby věc znovu postoupila Parlamentu, jestliže svůj návrh nahradí jiným textem, podstatně jej změní nebo má v úmyslu jej podstatně změnit;</w:t>
      </w:r>
    </w:p>
    <w:p w14:paraId="7A60AE69" w14:textId="34E5DED5" w:rsidR="007F4461" w:rsidRDefault="005D6965" w:rsidP="002659A8">
      <w:pPr>
        <w:pStyle w:val="NormalHanging12a"/>
      </w:pPr>
      <w:r w:rsidRPr="00BA186D">
        <w:t>4</w:t>
      </w:r>
      <w:r w:rsidRPr="007755BC">
        <w:t>.</w:t>
      </w:r>
      <w:r w:rsidRPr="007755BC">
        <w:tab/>
        <w:t>pověřuje svou předsedkyni, aby předala postoj Parlamentu Radě</w:t>
      </w:r>
      <w:r w:rsidR="007B40D2">
        <w:t xml:space="preserve"> a</w:t>
      </w:r>
      <w:r w:rsidRPr="007755BC">
        <w:t xml:space="preserve"> Komisi, jakož i vnitrostátním parlamentům.</w:t>
      </w:r>
    </w:p>
    <w:p w14:paraId="71A257E2" w14:textId="77777777" w:rsidR="00BB7898" w:rsidRDefault="00BB7898" w:rsidP="002659A8">
      <w:pPr>
        <w:pStyle w:val="NormalHanging12a"/>
        <w:sectPr w:rsidR="00BB7898" w:rsidSect="007755BC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8779D06" w14:textId="77777777" w:rsidR="007F4461" w:rsidRPr="00E7025D" w:rsidRDefault="007F4461" w:rsidP="007F446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7025D">
        <w:rPr>
          <w:rFonts w:eastAsia="Calibri"/>
          <w:b/>
          <w:bCs/>
          <w:color w:val="000000"/>
          <w:szCs w:val="24"/>
        </w:rPr>
        <w:lastRenderedPageBreak/>
        <w:t>P</w:t>
      </w:r>
      <w:r w:rsidRPr="00BA186D">
        <w:rPr>
          <w:rFonts w:eastAsia="Calibri"/>
          <w:b/>
          <w:bCs/>
          <w:color w:val="000000"/>
          <w:szCs w:val="24"/>
        </w:rPr>
        <w:t>9</w:t>
      </w:r>
      <w:r w:rsidRPr="00E7025D">
        <w:rPr>
          <w:rFonts w:eastAsia="Calibri"/>
          <w:b/>
          <w:bCs/>
          <w:color w:val="000000"/>
          <w:szCs w:val="24"/>
        </w:rPr>
        <w:t>_TC</w:t>
      </w:r>
      <w:r w:rsidRPr="00BA186D">
        <w:rPr>
          <w:rFonts w:eastAsia="Calibri"/>
          <w:b/>
          <w:bCs/>
          <w:color w:val="000000"/>
          <w:szCs w:val="24"/>
        </w:rPr>
        <w:t>1</w:t>
      </w:r>
      <w:r w:rsidRPr="00E7025D">
        <w:rPr>
          <w:rFonts w:eastAsia="Calibri"/>
          <w:b/>
          <w:bCs/>
          <w:color w:val="000000"/>
          <w:szCs w:val="24"/>
        </w:rPr>
        <w:t>-COD(</w:t>
      </w:r>
      <w:r w:rsidRPr="00BA186D">
        <w:rPr>
          <w:rFonts w:eastAsia="Calibri"/>
          <w:b/>
          <w:bCs/>
          <w:color w:val="000000"/>
          <w:szCs w:val="24"/>
        </w:rPr>
        <w:t>2023</w:t>
      </w:r>
      <w:r w:rsidRPr="00E7025D">
        <w:rPr>
          <w:rFonts w:eastAsia="Calibri"/>
          <w:b/>
          <w:bCs/>
          <w:color w:val="000000"/>
          <w:szCs w:val="24"/>
        </w:rPr>
        <w:t>)</w:t>
      </w:r>
      <w:r w:rsidRPr="00BA186D">
        <w:rPr>
          <w:rFonts w:eastAsia="Calibri"/>
          <w:b/>
          <w:bCs/>
          <w:color w:val="000000"/>
          <w:szCs w:val="24"/>
        </w:rPr>
        <w:t>0109</w:t>
      </w:r>
    </w:p>
    <w:p w14:paraId="7489CE51" w14:textId="175CA382" w:rsidR="00DE5BD8" w:rsidRPr="00261AE4" w:rsidRDefault="007F4461" w:rsidP="00DE5BD8">
      <w:pPr>
        <w:pStyle w:val="NormalHanging12a"/>
        <w:ind w:left="0" w:firstLine="0"/>
        <w:rPr>
          <w:b/>
          <w:iCs/>
          <w:szCs w:val="24"/>
          <w:lang w:eastAsia="en-US"/>
        </w:rPr>
      </w:pPr>
      <w:r w:rsidRPr="00261AE4">
        <w:rPr>
          <w:rFonts w:eastAsia="Calibri"/>
          <w:b/>
          <w:bCs/>
          <w:szCs w:val="24"/>
        </w:rPr>
        <w:t xml:space="preserve">Postoj Evropského parlamentu přijatý v prvním čtení dne 24. dubna 2024 k přijetí </w:t>
      </w:r>
      <w:r w:rsidR="00DE5BD8" w:rsidRPr="00261AE4">
        <w:rPr>
          <w:b/>
          <w:szCs w:val="24"/>
          <w:lang w:eastAsia="en-US"/>
        </w:rPr>
        <w:t>nařízení Evropského parlamentu a Rady (EU) 202</w:t>
      </w:r>
      <w:r w:rsidR="00261AE4" w:rsidRPr="00261AE4">
        <w:rPr>
          <w:b/>
          <w:szCs w:val="24"/>
          <w:lang w:eastAsia="en-US"/>
        </w:rPr>
        <w:t>5</w:t>
      </w:r>
      <w:r w:rsidR="00DE5BD8" w:rsidRPr="00261AE4">
        <w:rPr>
          <w:b/>
          <w:szCs w:val="24"/>
          <w:lang w:eastAsia="en-US"/>
        </w:rPr>
        <w:t>/…</w:t>
      </w:r>
      <w:r w:rsidR="00DE5BD8" w:rsidRPr="00261AE4">
        <w:rPr>
          <w:b/>
        </w:rPr>
        <w:t xml:space="preserve">, </w:t>
      </w:r>
      <w:r w:rsidR="00DE5BD8" w:rsidRPr="00261AE4">
        <w:rPr>
          <w:b/>
          <w:szCs w:val="24"/>
          <w:lang w:eastAsia="en-US"/>
        </w:rPr>
        <w:t xml:space="preserve">kterým se stanovují opatření k posílení solidarity a kapacit v Unii pro odhalování kybernetických hrozeb a incidentů a pro připravenost a reakci na ně a mění nařízení (EU) 2021/694 </w:t>
      </w:r>
      <w:r w:rsidR="00DE5BD8" w:rsidRPr="00261AE4">
        <w:rPr>
          <w:b/>
          <w:iCs/>
          <w:szCs w:val="24"/>
          <w:lang w:eastAsia="en-US"/>
        </w:rPr>
        <w:t>(nařízení o kybernetické solidaritě)</w:t>
      </w:r>
    </w:p>
    <w:p w14:paraId="08E3B7A0" w14:textId="059F504F" w:rsidR="00261AE4" w:rsidRPr="00261AE4" w:rsidRDefault="00261AE4" w:rsidP="00261AE4">
      <w:pPr>
        <w:rPr>
          <w:i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nařízení</w:t>
      </w:r>
      <w:r w:rsidRPr="008977C0">
        <w:rPr>
          <w:i/>
        </w:rPr>
        <w:t xml:space="preserve"> (EU) </w:t>
      </w:r>
      <w:r>
        <w:rPr>
          <w:i/>
        </w:rPr>
        <w:t>2025/38.)</w:t>
      </w:r>
    </w:p>
    <w:p w14:paraId="53D7F250" w14:textId="527F0FB0" w:rsidR="00C711A7" w:rsidRDefault="00C711A7">
      <w:pPr>
        <w:widowControl/>
        <w:rPr>
          <w:szCs w:val="24"/>
        </w:rPr>
      </w:pPr>
      <w:r>
        <w:rPr>
          <w:szCs w:val="24"/>
        </w:rPr>
        <w:br w:type="page"/>
      </w:r>
    </w:p>
    <w:p w14:paraId="3446D6B4" w14:textId="77777777" w:rsidR="00C711A7" w:rsidRPr="00A120C3" w:rsidRDefault="00C711A7" w:rsidP="00C711A7">
      <w:pPr>
        <w:pStyle w:val="NormalHanging12a"/>
        <w:jc w:val="right"/>
        <w:rPr>
          <w:szCs w:val="24"/>
        </w:rPr>
      </w:pPr>
      <w:r w:rsidRPr="00DF2A66">
        <w:rPr>
          <w:szCs w:val="24"/>
        </w:rPr>
        <w:lastRenderedPageBreak/>
        <w:t>PŘÍLOHA K LEGISLATIVNÍMU USNESENÍ</w:t>
      </w:r>
    </w:p>
    <w:p w14:paraId="5FFA7E74" w14:textId="62FCC020" w:rsidR="00C711A7" w:rsidRPr="00AC1160" w:rsidRDefault="00C711A7" w:rsidP="00900900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right="111"/>
        <w:jc w:val="center"/>
        <w:rPr>
          <w:b/>
          <w:i/>
          <w:iCs/>
          <w:szCs w:val="24"/>
        </w:rPr>
      </w:pPr>
      <w:r w:rsidRPr="00DF2A66">
        <w:rPr>
          <w:b/>
          <w:i/>
          <w:iCs/>
          <w:szCs w:val="24"/>
        </w:rPr>
        <w:t>Prohlášení Komise o rozpočtu týkající se nařízení Evropského parlamentu a Rady</w:t>
      </w:r>
      <w:r w:rsidR="00261AE4">
        <w:rPr>
          <w:b/>
          <w:i/>
          <w:iCs/>
          <w:szCs w:val="24"/>
        </w:rPr>
        <w:t xml:space="preserve"> </w:t>
      </w:r>
      <w:r w:rsidR="00261AE4" w:rsidRPr="00867056">
        <w:rPr>
          <w:b/>
          <w:i/>
          <w:iCs/>
        </w:rPr>
        <w:t>(EU) 2025/38</w:t>
      </w:r>
      <w:r w:rsidR="00261AE4">
        <w:rPr>
          <w:b/>
          <w:i/>
          <w:iCs/>
        </w:rPr>
        <w:t xml:space="preserve"> ze dne 19. prosince 2024</w:t>
      </w:r>
      <w:r w:rsidRPr="00DF2A66">
        <w:rPr>
          <w:b/>
          <w:i/>
          <w:iCs/>
          <w:szCs w:val="24"/>
        </w:rPr>
        <w:t>, kterým se stanoví opatření k posílení solidarity a kapacit v Unii pro odhalování kybernetických bezpečnostních hrozeb a incidentů a pro připravenost a reakci na ně</w:t>
      </w:r>
      <w:r w:rsidR="00900900">
        <w:rPr>
          <w:b/>
          <w:i/>
          <w:iCs/>
          <w:szCs w:val="24"/>
        </w:rPr>
        <w:t xml:space="preserve"> </w:t>
      </w:r>
      <w:bookmarkStart w:id="8" w:name="_GoBack"/>
      <w:bookmarkEnd w:id="8"/>
      <w:r w:rsidRPr="00A120C3">
        <w:rPr>
          <w:b/>
          <w:i/>
          <w:iCs/>
          <w:szCs w:val="24"/>
        </w:rPr>
        <w:t>(Akt o kybernetické solidaritě)</w:t>
      </w:r>
      <w:r w:rsidR="00261AE4">
        <w:rPr>
          <w:rStyle w:val="FootnoteReference"/>
          <w:b/>
          <w:i/>
          <w:iCs/>
        </w:rPr>
        <w:footnoteReference w:id="4"/>
      </w:r>
    </w:p>
    <w:p w14:paraId="41886A7D" w14:textId="77777777" w:rsidR="00C711A7" w:rsidRPr="0031477D" w:rsidRDefault="00C711A7" w:rsidP="00C711A7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08" w:hanging="851"/>
        <w:rPr>
          <w:iCs/>
          <w:szCs w:val="24"/>
        </w:rPr>
      </w:pPr>
      <w:r w:rsidRPr="0031477D">
        <w:rPr>
          <w:w w:val="99"/>
          <w:szCs w:val="24"/>
        </w:rPr>
        <w:t>(</w:t>
      </w:r>
      <w:r w:rsidRPr="00BA186D">
        <w:rPr>
          <w:w w:val="99"/>
          <w:szCs w:val="24"/>
        </w:rPr>
        <w:t>1</w:t>
      </w:r>
      <w:r w:rsidRPr="0031477D">
        <w:rPr>
          <w:w w:val="99"/>
          <w:szCs w:val="24"/>
        </w:rPr>
        <w:t>)</w:t>
      </w:r>
      <w:r w:rsidRPr="0031477D">
        <w:rPr>
          <w:w w:val="99"/>
          <w:szCs w:val="24"/>
        </w:rPr>
        <w:tab/>
      </w:r>
      <w:r w:rsidRPr="0031477D">
        <w:rPr>
          <w:szCs w:val="24"/>
        </w:rPr>
        <w:t>V dubnu </w:t>
      </w:r>
      <w:r w:rsidRPr="00BA186D">
        <w:rPr>
          <w:szCs w:val="24"/>
        </w:rPr>
        <w:t>2023</w:t>
      </w:r>
      <w:r w:rsidRPr="0031477D">
        <w:rPr>
          <w:szCs w:val="24"/>
        </w:rPr>
        <w:t xml:space="preserve"> byl zveřejněn legislativní finanční výkaz Komise, který je přiložen k návrhu aktu o kybernetické solidaritě. Od té doby došlo v důsledku přijetí nebo očekávaného přijetí jiných legislativních aktů ke změně příslušných odhadovaných hodnot.</w:t>
      </w:r>
    </w:p>
    <w:p w14:paraId="296A21BE" w14:textId="77777777" w:rsidR="00C711A7" w:rsidRPr="0031477D" w:rsidRDefault="00C711A7" w:rsidP="00C711A7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1" w:hanging="851"/>
        <w:rPr>
          <w:iCs/>
          <w:szCs w:val="24"/>
        </w:rPr>
      </w:pPr>
      <w:r w:rsidRPr="0031477D">
        <w:rPr>
          <w:w w:val="99"/>
          <w:szCs w:val="24"/>
        </w:rPr>
        <w:t>(</w:t>
      </w:r>
      <w:r w:rsidRPr="00BA186D">
        <w:rPr>
          <w:w w:val="99"/>
          <w:szCs w:val="24"/>
        </w:rPr>
        <w:t>2</w:t>
      </w:r>
      <w:r w:rsidRPr="0031477D">
        <w:rPr>
          <w:w w:val="99"/>
          <w:szCs w:val="24"/>
        </w:rPr>
        <w:t>)</w:t>
      </w:r>
      <w:r w:rsidRPr="0031477D">
        <w:rPr>
          <w:w w:val="99"/>
          <w:szCs w:val="24"/>
        </w:rPr>
        <w:tab/>
      </w:r>
      <w:r w:rsidRPr="0031477D">
        <w:rPr>
          <w:szCs w:val="24"/>
        </w:rPr>
        <w:t xml:space="preserve">Dne </w:t>
      </w:r>
      <w:r w:rsidRPr="00BA186D">
        <w:rPr>
          <w:szCs w:val="24"/>
        </w:rPr>
        <w:t>5</w:t>
      </w:r>
      <w:r w:rsidRPr="0031477D">
        <w:rPr>
          <w:szCs w:val="24"/>
        </w:rPr>
        <w:t>. března </w:t>
      </w:r>
      <w:r w:rsidRPr="00BA186D">
        <w:rPr>
          <w:szCs w:val="24"/>
        </w:rPr>
        <w:t>2024</w:t>
      </w:r>
      <w:r w:rsidRPr="0031477D">
        <w:rPr>
          <w:szCs w:val="24"/>
        </w:rPr>
        <w:t xml:space="preserve"> spolutvůrci právních předpisů dosáhli předběžné politické dohody, která se týká omezení přerozdělení prostředků ze specifického cíle č. </w:t>
      </w:r>
      <w:r w:rsidRPr="00BA186D">
        <w:rPr>
          <w:szCs w:val="24"/>
        </w:rPr>
        <w:t>4</w:t>
      </w:r>
      <w:r w:rsidRPr="0031477D">
        <w:rPr>
          <w:szCs w:val="24"/>
        </w:rPr>
        <w:t xml:space="preserve"> „Pokročilé digitální dovednosti“ na specifický cíl č. </w:t>
      </w:r>
      <w:r w:rsidRPr="00BA186D">
        <w:rPr>
          <w:szCs w:val="24"/>
        </w:rPr>
        <w:t>3</w:t>
      </w:r>
      <w:r w:rsidRPr="0031477D">
        <w:rPr>
          <w:szCs w:val="24"/>
        </w:rPr>
        <w:t xml:space="preserve"> „Kybernetická bezpečnost a důvěra“ programu Digitální Evropa uvedeného v legislativním finančním výkazu na </w:t>
      </w:r>
      <w:r w:rsidRPr="00BA186D">
        <w:rPr>
          <w:szCs w:val="24"/>
        </w:rPr>
        <w:t>22</w:t>
      </w:r>
      <w:r w:rsidRPr="0031477D">
        <w:rPr>
          <w:szCs w:val="24"/>
        </w:rPr>
        <w:t> milionů EUR.</w:t>
      </w:r>
    </w:p>
    <w:p w14:paraId="679D31D0" w14:textId="77777777" w:rsidR="00C711A7" w:rsidRPr="0031477D" w:rsidRDefault="00C711A7" w:rsidP="00C711A7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02" w:hanging="851"/>
        <w:rPr>
          <w:iCs/>
          <w:szCs w:val="24"/>
        </w:rPr>
      </w:pPr>
      <w:r w:rsidRPr="0031477D">
        <w:rPr>
          <w:w w:val="99"/>
          <w:szCs w:val="24"/>
        </w:rPr>
        <w:t>(</w:t>
      </w:r>
      <w:r w:rsidRPr="00BA186D">
        <w:rPr>
          <w:w w:val="99"/>
          <w:szCs w:val="24"/>
        </w:rPr>
        <w:t>3</w:t>
      </w:r>
      <w:r w:rsidRPr="0031477D">
        <w:rPr>
          <w:w w:val="99"/>
          <w:szCs w:val="24"/>
        </w:rPr>
        <w:t>)</w:t>
      </w:r>
      <w:r w:rsidRPr="0031477D">
        <w:rPr>
          <w:w w:val="99"/>
          <w:szCs w:val="24"/>
        </w:rPr>
        <w:tab/>
      </w:r>
      <w:r w:rsidRPr="0031477D">
        <w:rPr>
          <w:szCs w:val="24"/>
        </w:rPr>
        <w:t>S cílem reagovat na podmínky předběžné politické dohody aktualizovala Komise s přihlédnutím k přerozdělení finančních prostředků, na němž se dohodli spolutvůrci právních předpisů, legislativní finanční výkaz aktu o kybernetické solidaritě s ohledem na finanční krytí určené pro specifický cíl č. </w:t>
      </w:r>
      <w:r w:rsidRPr="00BA186D">
        <w:rPr>
          <w:szCs w:val="24"/>
        </w:rPr>
        <w:t>2</w:t>
      </w:r>
      <w:r w:rsidRPr="0031477D">
        <w:rPr>
          <w:szCs w:val="24"/>
        </w:rPr>
        <w:t xml:space="preserve"> „Umělá inteligence“, cíl č. </w:t>
      </w:r>
      <w:r w:rsidRPr="00BA186D">
        <w:rPr>
          <w:szCs w:val="24"/>
        </w:rPr>
        <w:t>3</w:t>
      </w:r>
      <w:r w:rsidRPr="0031477D">
        <w:rPr>
          <w:szCs w:val="24"/>
        </w:rPr>
        <w:t xml:space="preserve"> „Kybernetická bezpečnost a důvěra“ a cíl č. </w:t>
      </w:r>
      <w:r w:rsidRPr="00BA186D">
        <w:rPr>
          <w:szCs w:val="24"/>
        </w:rPr>
        <w:t>4</w:t>
      </w:r>
      <w:r w:rsidRPr="0031477D">
        <w:rPr>
          <w:szCs w:val="24"/>
        </w:rPr>
        <w:t xml:space="preserve"> „Pokročilé digitální dovednosti“.</w:t>
      </w:r>
    </w:p>
    <w:p w14:paraId="148CF6D2" w14:textId="77777777" w:rsidR="00C711A7" w:rsidRPr="0031477D" w:rsidRDefault="00C711A7" w:rsidP="00C711A7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0" w:hanging="851"/>
        <w:rPr>
          <w:iCs/>
          <w:szCs w:val="24"/>
        </w:rPr>
      </w:pPr>
      <w:r w:rsidRPr="0031477D">
        <w:rPr>
          <w:w w:val="99"/>
          <w:szCs w:val="24"/>
        </w:rPr>
        <w:t>(</w:t>
      </w:r>
      <w:r w:rsidRPr="00BA186D">
        <w:rPr>
          <w:w w:val="99"/>
          <w:szCs w:val="24"/>
        </w:rPr>
        <w:t>4</w:t>
      </w:r>
      <w:r w:rsidRPr="0031477D">
        <w:rPr>
          <w:w w:val="99"/>
          <w:szCs w:val="24"/>
        </w:rPr>
        <w:t>)</w:t>
      </w:r>
      <w:r w:rsidRPr="0031477D">
        <w:rPr>
          <w:w w:val="99"/>
          <w:szCs w:val="24"/>
        </w:rPr>
        <w:tab/>
      </w:r>
      <w:r w:rsidRPr="0031477D">
        <w:rPr>
          <w:szCs w:val="24"/>
        </w:rPr>
        <w:t xml:space="preserve">Aniž by tím byly dotčeny </w:t>
      </w:r>
      <w:proofErr w:type="spellStart"/>
      <w:r w:rsidRPr="0031477D">
        <w:rPr>
          <w:szCs w:val="24"/>
        </w:rPr>
        <w:t>pravomoce</w:t>
      </w:r>
      <w:proofErr w:type="spellEnd"/>
      <w:r w:rsidRPr="0031477D">
        <w:rPr>
          <w:szCs w:val="24"/>
        </w:rPr>
        <w:t xml:space="preserve"> Komise v rámci každoročního rozpočtového procesu, je finanční krytí na období </w:t>
      </w:r>
      <w:r w:rsidRPr="00BA186D">
        <w:rPr>
          <w:szCs w:val="24"/>
        </w:rPr>
        <w:t>2025</w:t>
      </w:r>
      <w:r w:rsidRPr="0031477D">
        <w:rPr>
          <w:szCs w:val="24"/>
        </w:rPr>
        <w:t>–</w:t>
      </w:r>
      <w:r w:rsidRPr="00BA186D">
        <w:rPr>
          <w:szCs w:val="24"/>
        </w:rPr>
        <w:t>2027</w:t>
      </w:r>
      <w:r w:rsidRPr="0031477D">
        <w:rPr>
          <w:szCs w:val="24"/>
        </w:rPr>
        <w:t>, které je uvedeno v aktualizovaném legislativním finančním výkazu, následující:</w:t>
      </w:r>
    </w:p>
    <w:p w14:paraId="7EE58C3C" w14:textId="77777777" w:rsidR="00C711A7" w:rsidRPr="00DF2A66" w:rsidRDefault="00C711A7" w:rsidP="00C711A7">
      <w:p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1" w:hanging="567"/>
        <w:rPr>
          <w:szCs w:val="24"/>
        </w:rPr>
      </w:pPr>
      <w:r w:rsidRPr="00DF2A66">
        <w:rPr>
          <w:iCs/>
          <w:szCs w:val="24"/>
        </w:rPr>
        <w:t>–</w:t>
      </w:r>
      <w:r w:rsidRPr="00DF2A66">
        <w:rPr>
          <w:iCs/>
          <w:szCs w:val="24"/>
        </w:rPr>
        <w:tab/>
      </w:r>
      <w:r w:rsidRPr="00DF2A66">
        <w:rPr>
          <w:szCs w:val="24"/>
        </w:rPr>
        <w:t>[</w:t>
      </w:r>
      <w:r w:rsidRPr="00BA186D">
        <w:rPr>
          <w:szCs w:val="24"/>
        </w:rPr>
        <w:t>544</w:t>
      </w:r>
      <w:r w:rsidRPr="00DF2A66">
        <w:rPr>
          <w:szCs w:val="24"/>
        </w:rPr>
        <w:t> </w:t>
      </w:r>
      <w:r w:rsidRPr="00BA186D">
        <w:rPr>
          <w:szCs w:val="24"/>
        </w:rPr>
        <w:t>726</w:t>
      </w:r>
      <w:r w:rsidRPr="00DF2A66">
        <w:rPr>
          <w:szCs w:val="24"/>
        </w:rPr>
        <w:t> </w:t>
      </w:r>
      <w:r w:rsidRPr="00BA186D">
        <w:rPr>
          <w:szCs w:val="24"/>
        </w:rPr>
        <w:t>000</w:t>
      </w:r>
      <w:r w:rsidRPr="00DF2A66">
        <w:rPr>
          <w:szCs w:val="24"/>
        </w:rPr>
        <w:t> EUR] na specifický cíl č. </w:t>
      </w:r>
      <w:r w:rsidRPr="00BA186D">
        <w:rPr>
          <w:szCs w:val="24"/>
        </w:rPr>
        <w:t>2</w:t>
      </w:r>
      <w:r w:rsidRPr="00DF2A66">
        <w:rPr>
          <w:szCs w:val="24"/>
        </w:rPr>
        <w:t xml:space="preserve"> „Umělá inteligence“ s přihlédnutím k </w:t>
      </w:r>
      <w:r w:rsidRPr="00BA186D">
        <w:rPr>
          <w:szCs w:val="24"/>
        </w:rPr>
        <w:t>65</w:t>
      </w:r>
      <w:r w:rsidRPr="00DF2A66">
        <w:rPr>
          <w:szCs w:val="24"/>
        </w:rPr>
        <w:t> milionům EUR přerozdělených na specifický cíl č. </w:t>
      </w:r>
      <w:r w:rsidRPr="00BA186D">
        <w:rPr>
          <w:szCs w:val="24"/>
        </w:rPr>
        <w:t>3</w:t>
      </w:r>
      <w:r w:rsidRPr="00DF2A66">
        <w:rPr>
          <w:szCs w:val="24"/>
        </w:rPr>
        <w:t xml:space="preserve"> „Kybernetická bezpečnost a důvěra“.</w:t>
      </w:r>
    </w:p>
    <w:p w14:paraId="4741D19B" w14:textId="77777777" w:rsidR="00C711A7" w:rsidRPr="00DF2A66" w:rsidRDefault="00C711A7" w:rsidP="00C711A7">
      <w:p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1" w:hanging="567"/>
        <w:rPr>
          <w:iCs/>
          <w:szCs w:val="24"/>
        </w:rPr>
      </w:pPr>
      <w:r w:rsidRPr="00DF2A66">
        <w:rPr>
          <w:iCs/>
          <w:szCs w:val="24"/>
        </w:rPr>
        <w:t>–</w:t>
      </w:r>
      <w:r w:rsidRPr="00DF2A66">
        <w:rPr>
          <w:iCs/>
          <w:szCs w:val="24"/>
        </w:rPr>
        <w:tab/>
      </w:r>
      <w:r w:rsidRPr="00DF2A66">
        <w:rPr>
          <w:szCs w:val="24"/>
        </w:rPr>
        <w:t>[</w:t>
      </w:r>
      <w:r w:rsidRPr="00BA186D">
        <w:rPr>
          <w:szCs w:val="24"/>
        </w:rPr>
        <w:t>44</w:t>
      </w:r>
      <w:r w:rsidRPr="00DF2A66">
        <w:rPr>
          <w:szCs w:val="24"/>
        </w:rPr>
        <w:t> </w:t>
      </w:r>
      <w:r w:rsidRPr="00BA186D">
        <w:rPr>
          <w:szCs w:val="24"/>
        </w:rPr>
        <w:t>451</w:t>
      </w:r>
      <w:r w:rsidRPr="00DF2A66">
        <w:rPr>
          <w:szCs w:val="24"/>
        </w:rPr>
        <w:t> </w:t>
      </w:r>
      <w:r w:rsidRPr="00BA186D">
        <w:rPr>
          <w:szCs w:val="24"/>
        </w:rPr>
        <w:t>000</w:t>
      </w:r>
      <w:r w:rsidRPr="00DF2A66">
        <w:rPr>
          <w:szCs w:val="24"/>
        </w:rPr>
        <w:t> EUR] na specifický cíl č. </w:t>
      </w:r>
      <w:r w:rsidRPr="00BA186D">
        <w:rPr>
          <w:szCs w:val="24"/>
        </w:rPr>
        <w:t>3</w:t>
      </w:r>
      <w:r w:rsidRPr="00DF2A66">
        <w:rPr>
          <w:szCs w:val="24"/>
        </w:rPr>
        <w:t xml:space="preserve"> „Kybernetická bezpečnost a důvěra“ – část v rámci přímého řízení ze strany Komise, včetně </w:t>
      </w:r>
      <w:r w:rsidRPr="00BA186D">
        <w:rPr>
          <w:szCs w:val="24"/>
        </w:rPr>
        <w:t>26</w:t>
      </w:r>
      <w:r w:rsidRPr="00DF2A66">
        <w:rPr>
          <w:szCs w:val="24"/>
        </w:rPr>
        <w:t> milionů EUR přerozdělených ze specifického cíle č. </w:t>
      </w:r>
      <w:r w:rsidRPr="00BA186D">
        <w:rPr>
          <w:szCs w:val="24"/>
        </w:rPr>
        <w:t>2</w:t>
      </w:r>
      <w:r w:rsidRPr="00DF2A66">
        <w:rPr>
          <w:szCs w:val="24"/>
        </w:rPr>
        <w:t xml:space="preserve"> a </w:t>
      </w:r>
      <w:r w:rsidRPr="00BA186D">
        <w:rPr>
          <w:szCs w:val="24"/>
        </w:rPr>
        <w:t>4</w:t>
      </w:r>
      <w:r w:rsidRPr="00DF2A66">
        <w:rPr>
          <w:szCs w:val="24"/>
        </w:rPr>
        <w:t>.</w:t>
      </w:r>
    </w:p>
    <w:p w14:paraId="4313123B" w14:textId="77777777" w:rsidR="00C711A7" w:rsidRPr="00DF2A66" w:rsidRDefault="00C711A7" w:rsidP="00C711A7">
      <w:p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0" w:hanging="567"/>
        <w:rPr>
          <w:iCs/>
          <w:szCs w:val="24"/>
        </w:rPr>
      </w:pPr>
      <w:r w:rsidRPr="00DF2A66">
        <w:rPr>
          <w:iCs/>
          <w:szCs w:val="24"/>
        </w:rPr>
        <w:t>–</w:t>
      </w:r>
      <w:r w:rsidRPr="00DF2A66">
        <w:rPr>
          <w:iCs/>
          <w:szCs w:val="24"/>
        </w:rPr>
        <w:tab/>
      </w:r>
      <w:r w:rsidRPr="00DF2A66">
        <w:rPr>
          <w:szCs w:val="24"/>
        </w:rPr>
        <w:t>[</w:t>
      </w:r>
      <w:r w:rsidRPr="00BA186D">
        <w:rPr>
          <w:szCs w:val="24"/>
        </w:rPr>
        <w:t>353</w:t>
      </w:r>
      <w:r w:rsidRPr="00DF2A66">
        <w:rPr>
          <w:szCs w:val="24"/>
        </w:rPr>
        <w:t> </w:t>
      </w:r>
      <w:r w:rsidRPr="00BA186D">
        <w:rPr>
          <w:szCs w:val="24"/>
        </w:rPr>
        <w:t>190</w:t>
      </w:r>
      <w:r w:rsidRPr="00DF2A66">
        <w:rPr>
          <w:szCs w:val="24"/>
        </w:rPr>
        <w:t> </w:t>
      </w:r>
      <w:r w:rsidRPr="00BA186D">
        <w:rPr>
          <w:szCs w:val="24"/>
        </w:rPr>
        <w:t>613</w:t>
      </w:r>
      <w:r w:rsidRPr="00DF2A66">
        <w:rPr>
          <w:szCs w:val="24"/>
        </w:rPr>
        <w:t> EUR] na specifický cíl č. </w:t>
      </w:r>
      <w:r w:rsidRPr="00BA186D">
        <w:rPr>
          <w:szCs w:val="24"/>
        </w:rPr>
        <w:t>3</w:t>
      </w:r>
      <w:r w:rsidRPr="00DF2A66">
        <w:rPr>
          <w:szCs w:val="24"/>
        </w:rPr>
        <w:t xml:space="preserve"> „Kybernetická bezpečnost a důvěra“ – část v rámci přímého řízení ze strany Evropského centra kompetencí pro kybernetickou bezpečnost, včetně </w:t>
      </w:r>
      <w:r w:rsidRPr="00BA186D">
        <w:rPr>
          <w:szCs w:val="24"/>
        </w:rPr>
        <w:t>61</w:t>
      </w:r>
      <w:r w:rsidRPr="00DF2A66">
        <w:rPr>
          <w:szCs w:val="24"/>
        </w:rPr>
        <w:t xml:space="preserve"> milionů EUR přerozdělených ze specifického </w:t>
      </w:r>
      <w:r w:rsidRPr="00DF2A66">
        <w:rPr>
          <w:szCs w:val="24"/>
        </w:rPr>
        <w:lastRenderedPageBreak/>
        <w:t>cíle č. </w:t>
      </w:r>
      <w:r w:rsidRPr="00BA186D">
        <w:rPr>
          <w:szCs w:val="24"/>
        </w:rPr>
        <w:t>2</w:t>
      </w:r>
      <w:r w:rsidRPr="00DF2A66">
        <w:rPr>
          <w:szCs w:val="24"/>
        </w:rPr>
        <w:t xml:space="preserve"> a </w:t>
      </w:r>
      <w:r w:rsidRPr="00BA186D">
        <w:rPr>
          <w:szCs w:val="24"/>
        </w:rPr>
        <w:t>4</w:t>
      </w:r>
      <w:r w:rsidRPr="00DF2A66">
        <w:rPr>
          <w:szCs w:val="24"/>
        </w:rPr>
        <w:t>.</w:t>
      </w:r>
    </w:p>
    <w:p w14:paraId="4DAF42FD" w14:textId="77777777" w:rsidR="00C711A7" w:rsidRPr="0031477D" w:rsidRDefault="00C711A7" w:rsidP="00C711A7">
      <w:p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0" w:hanging="567"/>
        <w:rPr>
          <w:iCs/>
          <w:szCs w:val="24"/>
        </w:rPr>
      </w:pPr>
      <w:r w:rsidRPr="00DF2A66">
        <w:rPr>
          <w:iCs/>
          <w:szCs w:val="24"/>
        </w:rPr>
        <w:t>–</w:t>
      </w:r>
      <w:r w:rsidRPr="00DF2A66">
        <w:rPr>
          <w:iCs/>
          <w:szCs w:val="24"/>
        </w:rPr>
        <w:tab/>
      </w:r>
      <w:r w:rsidRPr="00DF2A66">
        <w:rPr>
          <w:szCs w:val="24"/>
        </w:rPr>
        <w:t>[</w:t>
      </w:r>
      <w:r w:rsidRPr="00BA186D">
        <w:rPr>
          <w:szCs w:val="24"/>
        </w:rPr>
        <w:t>544</w:t>
      </w:r>
      <w:r w:rsidRPr="00DF2A66">
        <w:rPr>
          <w:szCs w:val="24"/>
        </w:rPr>
        <w:t> </w:t>
      </w:r>
      <w:r w:rsidRPr="00BA186D">
        <w:rPr>
          <w:szCs w:val="24"/>
        </w:rPr>
        <w:t>726</w:t>
      </w:r>
      <w:r w:rsidRPr="00DF2A66">
        <w:rPr>
          <w:szCs w:val="24"/>
        </w:rPr>
        <w:t> </w:t>
      </w:r>
      <w:r w:rsidRPr="00BA186D">
        <w:rPr>
          <w:szCs w:val="24"/>
        </w:rPr>
        <w:t>000</w:t>
      </w:r>
      <w:r w:rsidRPr="00DF2A66">
        <w:rPr>
          <w:szCs w:val="24"/>
        </w:rPr>
        <w:t> EUR] na specifický cíl č. </w:t>
      </w:r>
      <w:r w:rsidRPr="00BA186D">
        <w:rPr>
          <w:szCs w:val="24"/>
        </w:rPr>
        <w:t>4</w:t>
      </w:r>
      <w:r w:rsidRPr="00DF2A66">
        <w:rPr>
          <w:szCs w:val="24"/>
        </w:rPr>
        <w:t xml:space="preserve"> „Pokročilé digitální dovednosti“ s přihlédnutím </w:t>
      </w:r>
      <w:proofErr w:type="gramStart"/>
      <w:r w:rsidRPr="0031477D">
        <w:rPr>
          <w:szCs w:val="24"/>
        </w:rPr>
        <w:t>ke</w:t>
      </w:r>
      <w:proofErr w:type="gramEnd"/>
      <w:r w:rsidRPr="0031477D">
        <w:rPr>
          <w:szCs w:val="24"/>
        </w:rPr>
        <w:t> </w:t>
      </w:r>
      <w:r w:rsidRPr="00BA186D">
        <w:rPr>
          <w:szCs w:val="24"/>
        </w:rPr>
        <w:t>22</w:t>
      </w:r>
      <w:r w:rsidRPr="0031477D">
        <w:rPr>
          <w:szCs w:val="24"/>
        </w:rPr>
        <w:t> milionům EUR přerozdělených na specifický cíl č. </w:t>
      </w:r>
      <w:r w:rsidRPr="00BA186D">
        <w:rPr>
          <w:szCs w:val="24"/>
        </w:rPr>
        <w:t>3</w:t>
      </w:r>
      <w:r w:rsidRPr="0031477D">
        <w:rPr>
          <w:szCs w:val="24"/>
        </w:rPr>
        <w:t xml:space="preserve"> „Kybernetická bezpečnost a důvěra“.</w:t>
      </w:r>
    </w:p>
    <w:p w14:paraId="6F89AFEC" w14:textId="28D6282D" w:rsidR="00DE5BD8" w:rsidRPr="00A120C3" w:rsidRDefault="00C711A7" w:rsidP="00C711A7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3" w:hanging="851"/>
        <w:rPr>
          <w:szCs w:val="24"/>
        </w:rPr>
      </w:pPr>
      <w:r w:rsidRPr="0031477D">
        <w:rPr>
          <w:w w:val="99"/>
          <w:szCs w:val="24"/>
        </w:rPr>
        <w:t>(</w:t>
      </w:r>
      <w:r w:rsidRPr="00BA186D">
        <w:rPr>
          <w:w w:val="99"/>
          <w:szCs w:val="24"/>
        </w:rPr>
        <w:t>5</w:t>
      </w:r>
      <w:r w:rsidRPr="0031477D">
        <w:rPr>
          <w:w w:val="99"/>
          <w:szCs w:val="24"/>
        </w:rPr>
        <w:t>)</w:t>
      </w:r>
      <w:r w:rsidRPr="0031477D">
        <w:rPr>
          <w:w w:val="99"/>
          <w:szCs w:val="24"/>
        </w:rPr>
        <w:tab/>
      </w:r>
      <w:r w:rsidRPr="0031477D">
        <w:rPr>
          <w:szCs w:val="24"/>
        </w:rPr>
        <w:t>Rezerva EU pro kybernetickou bezpečnost bude financována z finančního krytí určeného pro specifický cíl č. </w:t>
      </w:r>
      <w:r w:rsidRPr="00BA186D">
        <w:rPr>
          <w:szCs w:val="24"/>
        </w:rPr>
        <w:t>3</w:t>
      </w:r>
      <w:r w:rsidRPr="0031477D">
        <w:rPr>
          <w:szCs w:val="24"/>
        </w:rPr>
        <w:t xml:space="preserve"> „Kybernetická bezpečnost a důvěra“ – část v rámci přímého řízení ze strany Komise (což se podle aktualizovaného legislativního finančního výkazu odhaduje na [</w:t>
      </w:r>
      <w:r w:rsidRPr="00BA186D">
        <w:rPr>
          <w:szCs w:val="24"/>
        </w:rPr>
        <w:t>44</w:t>
      </w:r>
      <w:r w:rsidRPr="0031477D">
        <w:rPr>
          <w:szCs w:val="24"/>
        </w:rPr>
        <w:t xml:space="preserve"> </w:t>
      </w:r>
      <w:r w:rsidRPr="00BA186D">
        <w:rPr>
          <w:szCs w:val="24"/>
        </w:rPr>
        <w:t>451</w:t>
      </w:r>
      <w:r w:rsidRPr="0031477D">
        <w:rPr>
          <w:szCs w:val="24"/>
        </w:rPr>
        <w:t xml:space="preserve"> </w:t>
      </w:r>
      <w:r w:rsidRPr="00BA186D">
        <w:rPr>
          <w:szCs w:val="24"/>
        </w:rPr>
        <w:t>000</w:t>
      </w:r>
      <w:r w:rsidRPr="0031477D">
        <w:rPr>
          <w:szCs w:val="24"/>
        </w:rPr>
        <w:t xml:space="preserve"> EUR]).</w:t>
      </w:r>
    </w:p>
    <w:sectPr w:rsidR="00DE5BD8" w:rsidRPr="00A120C3" w:rsidSect="00DE5B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9" w:h="16834"/>
      <w:pgMar w:top="1134" w:right="1134" w:bottom="1134" w:left="1134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4557B" w14:textId="77777777" w:rsidR="00A120C3" w:rsidRPr="007755BC" w:rsidRDefault="00A120C3">
      <w:r w:rsidRPr="007755BC">
        <w:separator/>
      </w:r>
    </w:p>
  </w:endnote>
  <w:endnote w:type="continuationSeparator" w:id="0">
    <w:p w14:paraId="39B167B1" w14:textId="77777777" w:rsidR="00A120C3" w:rsidRPr="007755BC" w:rsidRDefault="00A120C3">
      <w:r w:rsidRPr="007755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C4B31" w14:textId="77777777" w:rsidR="00A120C3" w:rsidRPr="004F5948" w:rsidRDefault="00A120C3">
    <w:pPr>
      <w:pStyle w:val="Footer1"/>
    </w:pPr>
    <w:r w:rsidRPr="004F5948">
      <w:rPr>
        <w:rStyle w:val="Footer2"/>
      </w:rPr>
      <w:t>EN</w:t>
    </w:r>
    <w:r w:rsidRPr="004F5948">
      <w:tab/>
    </w:r>
    <w:r w:rsidRPr="004F5948">
      <w:fldChar w:fldCharType="begin"/>
    </w:r>
    <w:r w:rsidRPr="004F5948">
      <w:instrText xml:space="preserve"> PAGE </w:instrText>
    </w:r>
    <w:r w:rsidRPr="004F5948">
      <w:fldChar w:fldCharType="separate"/>
    </w:r>
    <w:r>
      <w:rPr>
        <w:noProof/>
      </w:rPr>
      <w:t>140</w:t>
    </w:r>
    <w:r w:rsidRPr="004F5948">
      <w:fldChar w:fldCharType="end"/>
    </w:r>
    <w:r w:rsidRPr="004F5948">
      <w:tab/>
    </w:r>
    <w:r w:rsidRPr="004F5948">
      <w:rPr>
        <w:rStyle w:val="Footer2"/>
      </w:rPr>
      <w:t>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8338A" w14:textId="25E2F17B" w:rsidR="00A120C3" w:rsidRPr="007F4461" w:rsidRDefault="00A120C3" w:rsidP="007F44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BE816" w14:textId="77777777" w:rsidR="00A120C3" w:rsidRPr="004F5948" w:rsidRDefault="00A120C3">
    <w:pPr>
      <w:pStyle w:val="Footer1"/>
    </w:pPr>
    <w:r w:rsidRPr="004F5948">
      <w:rPr>
        <w:rStyle w:val="Footer2"/>
      </w:rPr>
      <w:t>EN</w:t>
    </w:r>
    <w:r w:rsidRPr="004F5948">
      <w:tab/>
    </w:r>
    <w:r w:rsidRPr="004F5948">
      <w:fldChar w:fldCharType="begin"/>
    </w:r>
    <w:r w:rsidRPr="004F5948">
      <w:instrText xml:space="preserve"> PAGE </w:instrText>
    </w:r>
    <w:r w:rsidRPr="004F5948">
      <w:fldChar w:fldCharType="separate"/>
    </w:r>
    <w:r>
      <w:rPr>
        <w:noProof/>
      </w:rPr>
      <w:t>140</w:t>
    </w:r>
    <w:r w:rsidRPr="004F5948">
      <w:fldChar w:fldCharType="end"/>
    </w:r>
    <w:r w:rsidRPr="004F5948">
      <w:tab/>
    </w:r>
    <w:r w:rsidRPr="004F5948">
      <w:rPr>
        <w:rStyle w:val="Footer2"/>
      </w:rPr>
      <w:t>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2253C" w14:textId="77777777" w:rsidR="00A120C3" w:rsidRPr="007755BC" w:rsidRDefault="00A120C3">
      <w:r w:rsidRPr="007755BC">
        <w:separator/>
      </w:r>
    </w:p>
  </w:footnote>
  <w:footnote w:type="continuationSeparator" w:id="0">
    <w:p w14:paraId="18DD429F" w14:textId="77777777" w:rsidR="00A120C3" w:rsidRPr="007755BC" w:rsidRDefault="00A120C3">
      <w:r w:rsidRPr="007755BC">
        <w:continuationSeparator/>
      </w:r>
    </w:p>
  </w:footnote>
  <w:footnote w:id="1">
    <w:p w14:paraId="4A4A11A6" w14:textId="5133ED57" w:rsidR="000C50B3" w:rsidRPr="0031477D" w:rsidRDefault="000C50B3" w:rsidP="00521E9B">
      <w:pPr>
        <w:pStyle w:val="FootnoteText"/>
        <w:ind w:left="567" w:hanging="567"/>
        <w:rPr>
          <w:sz w:val="24"/>
          <w:szCs w:val="24"/>
          <w:lang w:val="en-GB"/>
        </w:rPr>
      </w:pPr>
      <w:r w:rsidRPr="0031477D">
        <w:rPr>
          <w:rStyle w:val="FootnoteReference"/>
          <w:sz w:val="24"/>
          <w:szCs w:val="24"/>
        </w:rPr>
        <w:footnoteRef/>
      </w:r>
      <w:r w:rsidRPr="0031477D">
        <w:rPr>
          <w:sz w:val="24"/>
          <w:szCs w:val="24"/>
          <w:lang w:val="en-GB"/>
        </w:rPr>
        <w:t xml:space="preserve"> </w:t>
      </w:r>
      <w:r w:rsidRPr="0031477D">
        <w:rPr>
          <w:sz w:val="24"/>
          <w:szCs w:val="24"/>
          <w:lang w:val="en-GB"/>
        </w:rPr>
        <w:tab/>
      </w:r>
      <w:proofErr w:type="spellStart"/>
      <w:r w:rsidRPr="0031477D">
        <w:rPr>
          <w:sz w:val="24"/>
          <w:szCs w:val="24"/>
          <w:lang w:val="en-GB"/>
        </w:rPr>
        <w:t>Dosud</w:t>
      </w:r>
      <w:proofErr w:type="spellEnd"/>
      <w:r w:rsidRPr="0031477D">
        <w:rPr>
          <w:sz w:val="24"/>
          <w:szCs w:val="24"/>
          <w:lang w:val="en-GB"/>
        </w:rPr>
        <w:t xml:space="preserve"> </w:t>
      </w:r>
      <w:proofErr w:type="spellStart"/>
      <w:r w:rsidRPr="0031477D">
        <w:rPr>
          <w:sz w:val="24"/>
          <w:szCs w:val="24"/>
          <w:lang w:val="en-GB"/>
        </w:rPr>
        <w:t>nezveřejněné</w:t>
      </w:r>
      <w:proofErr w:type="spellEnd"/>
      <w:r w:rsidRPr="0031477D">
        <w:rPr>
          <w:sz w:val="24"/>
          <w:szCs w:val="24"/>
          <w:lang w:val="en-GB"/>
        </w:rPr>
        <w:t xml:space="preserve"> v </w:t>
      </w:r>
      <w:proofErr w:type="spellStart"/>
      <w:r w:rsidRPr="0031477D">
        <w:rPr>
          <w:sz w:val="24"/>
          <w:szCs w:val="24"/>
          <w:lang w:val="en-GB"/>
        </w:rPr>
        <w:t>Úředním</w:t>
      </w:r>
      <w:proofErr w:type="spellEnd"/>
      <w:r w:rsidRPr="0031477D">
        <w:rPr>
          <w:sz w:val="24"/>
          <w:szCs w:val="24"/>
          <w:lang w:val="en-GB"/>
        </w:rPr>
        <w:t xml:space="preserve"> </w:t>
      </w:r>
      <w:proofErr w:type="spellStart"/>
      <w:r w:rsidRPr="0031477D">
        <w:rPr>
          <w:sz w:val="24"/>
          <w:szCs w:val="24"/>
          <w:lang w:val="en-GB"/>
        </w:rPr>
        <w:t>věstníku</w:t>
      </w:r>
      <w:proofErr w:type="spellEnd"/>
      <w:r w:rsidRPr="0031477D">
        <w:rPr>
          <w:sz w:val="24"/>
          <w:szCs w:val="24"/>
          <w:lang w:val="en-GB"/>
        </w:rPr>
        <w:t xml:space="preserve">. </w:t>
      </w:r>
    </w:p>
  </w:footnote>
  <w:footnote w:id="2">
    <w:p w14:paraId="01F83D25" w14:textId="77777777" w:rsidR="00A120C3" w:rsidRPr="00521E9B" w:rsidRDefault="00A120C3" w:rsidP="00521E9B">
      <w:pPr>
        <w:pStyle w:val="FootnoteText"/>
        <w:ind w:left="567" w:hanging="567"/>
        <w:rPr>
          <w:sz w:val="24"/>
          <w:szCs w:val="24"/>
          <w:lang w:val="cs-CZ"/>
        </w:rPr>
      </w:pPr>
      <w:r w:rsidRPr="00521E9B">
        <w:rPr>
          <w:rStyle w:val="FootnoteReference"/>
          <w:sz w:val="24"/>
          <w:szCs w:val="24"/>
          <w:lang w:val="cs-CZ"/>
        </w:rPr>
        <w:footnoteRef/>
      </w:r>
      <w:r w:rsidRPr="00521E9B">
        <w:rPr>
          <w:sz w:val="24"/>
          <w:szCs w:val="24"/>
          <w:lang w:val="cs-CZ"/>
        </w:rPr>
        <w:t xml:space="preserve"> </w:t>
      </w:r>
      <w:r w:rsidRPr="00521E9B">
        <w:rPr>
          <w:sz w:val="24"/>
          <w:szCs w:val="24"/>
          <w:lang w:val="cs-CZ"/>
        </w:rPr>
        <w:tab/>
      </w:r>
      <w:proofErr w:type="spellStart"/>
      <w:r w:rsidRPr="00521E9B">
        <w:rPr>
          <w:sz w:val="24"/>
          <w:szCs w:val="24"/>
          <w:lang w:val="cs-CZ"/>
        </w:rPr>
        <w:t>Úř</w:t>
      </w:r>
      <w:proofErr w:type="spellEnd"/>
      <w:r w:rsidRPr="00521E9B">
        <w:rPr>
          <w:sz w:val="24"/>
          <w:szCs w:val="24"/>
          <w:lang w:val="cs-CZ"/>
        </w:rPr>
        <w:t xml:space="preserve">. </w:t>
      </w:r>
      <w:proofErr w:type="spellStart"/>
      <w:proofErr w:type="gramStart"/>
      <w:r w:rsidRPr="00521E9B">
        <w:rPr>
          <w:sz w:val="24"/>
          <w:szCs w:val="24"/>
          <w:lang w:val="cs-CZ"/>
        </w:rPr>
        <w:t>věst</w:t>
      </w:r>
      <w:proofErr w:type="spellEnd"/>
      <w:proofErr w:type="gramEnd"/>
      <w:r w:rsidRPr="00521E9B">
        <w:rPr>
          <w:sz w:val="24"/>
          <w:szCs w:val="24"/>
          <w:lang w:val="cs-CZ"/>
        </w:rPr>
        <w:t xml:space="preserve">. C </w:t>
      </w:r>
      <w:r w:rsidRPr="00BA186D">
        <w:rPr>
          <w:sz w:val="24"/>
          <w:szCs w:val="24"/>
          <w:lang w:val="cs-CZ"/>
        </w:rPr>
        <w:t>349</w:t>
      </w:r>
      <w:r w:rsidRPr="00521E9B">
        <w:rPr>
          <w:sz w:val="24"/>
          <w:szCs w:val="24"/>
          <w:lang w:val="cs-CZ"/>
        </w:rPr>
        <w:t xml:space="preserve">, </w:t>
      </w:r>
      <w:proofErr w:type="gramStart"/>
      <w:r w:rsidRPr="00BA186D">
        <w:rPr>
          <w:sz w:val="24"/>
          <w:szCs w:val="24"/>
          <w:lang w:val="cs-CZ"/>
        </w:rPr>
        <w:t>29</w:t>
      </w:r>
      <w:r w:rsidRPr="00521E9B">
        <w:rPr>
          <w:sz w:val="24"/>
          <w:szCs w:val="24"/>
          <w:lang w:val="cs-CZ"/>
        </w:rPr>
        <w:t>.</w:t>
      </w:r>
      <w:r w:rsidRPr="00BA186D">
        <w:rPr>
          <w:sz w:val="24"/>
          <w:szCs w:val="24"/>
          <w:lang w:val="cs-CZ"/>
        </w:rPr>
        <w:t>9</w:t>
      </w:r>
      <w:r w:rsidRPr="00521E9B">
        <w:rPr>
          <w:sz w:val="24"/>
          <w:szCs w:val="24"/>
          <w:lang w:val="cs-CZ"/>
        </w:rPr>
        <w:t>.</w:t>
      </w:r>
      <w:r w:rsidRPr="00BA186D">
        <w:rPr>
          <w:sz w:val="24"/>
          <w:szCs w:val="24"/>
          <w:lang w:val="cs-CZ"/>
        </w:rPr>
        <w:t>2023</w:t>
      </w:r>
      <w:proofErr w:type="gramEnd"/>
      <w:r w:rsidRPr="00521E9B">
        <w:rPr>
          <w:sz w:val="24"/>
          <w:szCs w:val="24"/>
          <w:lang w:val="cs-CZ"/>
        </w:rPr>
        <w:t xml:space="preserve">, s. </w:t>
      </w:r>
      <w:r w:rsidRPr="00BA186D">
        <w:rPr>
          <w:sz w:val="24"/>
          <w:szCs w:val="24"/>
          <w:lang w:val="cs-CZ"/>
        </w:rPr>
        <w:t>167</w:t>
      </w:r>
      <w:r w:rsidRPr="00521E9B">
        <w:rPr>
          <w:sz w:val="24"/>
          <w:szCs w:val="24"/>
          <w:lang w:val="cs-CZ"/>
        </w:rPr>
        <w:t>.</w:t>
      </w:r>
    </w:p>
  </w:footnote>
  <w:footnote w:id="3">
    <w:p w14:paraId="342EC540" w14:textId="61EE1C68" w:rsidR="00A120C3" w:rsidRPr="00521E9B" w:rsidRDefault="00A120C3" w:rsidP="00521E9B">
      <w:pPr>
        <w:pStyle w:val="FootnoteText"/>
        <w:ind w:left="567" w:hanging="567"/>
        <w:rPr>
          <w:sz w:val="24"/>
          <w:szCs w:val="24"/>
          <w:lang w:val="fi-FI"/>
        </w:rPr>
      </w:pPr>
      <w:r w:rsidRPr="00521E9B">
        <w:rPr>
          <w:rStyle w:val="FootnoteReference"/>
          <w:sz w:val="24"/>
          <w:szCs w:val="24"/>
          <w:lang w:val="en-GB"/>
        </w:rPr>
        <w:footnoteRef/>
      </w:r>
      <w:r w:rsidRPr="00261AE4">
        <w:rPr>
          <w:sz w:val="24"/>
          <w:szCs w:val="24"/>
          <w:lang w:val="fi-FI"/>
        </w:rPr>
        <w:t xml:space="preserve"> </w:t>
      </w:r>
      <w:r w:rsidRPr="00261AE4">
        <w:rPr>
          <w:sz w:val="24"/>
          <w:szCs w:val="24"/>
          <w:lang w:val="fi-FI"/>
        </w:rPr>
        <w:tab/>
      </w:r>
      <w:proofErr w:type="spellStart"/>
      <w:r w:rsidRPr="00521E9B">
        <w:rPr>
          <w:sz w:val="24"/>
          <w:szCs w:val="24"/>
          <w:lang w:val="cs-CZ"/>
        </w:rPr>
        <w:t>Úř</w:t>
      </w:r>
      <w:proofErr w:type="spellEnd"/>
      <w:r w:rsidRPr="00521E9B">
        <w:rPr>
          <w:sz w:val="24"/>
          <w:szCs w:val="24"/>
          <w:lang w:val="cs-CZ"/>
        </w:rPr>
        <w:t xml:space="preserve">. </w:t>
      </w:r>
      <w:proofErr w:type="spellStart"/>
      <w:proofErr w:type="gramStart"/>
      <w:r w:rsidRPr="00521E9B">
        <w:rPr>
          <w:sz w:val="24"/>
          <w:szCs w:val="24"/>
          <w:lang w:val="cs-CZ"/>
        </w:rPr>
        <w:t>věst</w:t>
      </w:r>
      <w:proofErr w:type="spellEnd"/>
      <w:proofErr w:type="gramEnd"/>
      <w:r w:rsidRPr="00521E9B">
        <w:rPr>
          <w:sz w:val="24"/>
          <w:szCs w:val="24"/>
          <w:lang w:val="cs-CZ"/>
        </w:rPr>
        <w:t xml:space="preserve">. </w:t>
      </w:r>
      <w:r w:rsidRPr="00521E9B">
        <w:rPr>
          <w:sz w:val="24"/>
          <w:szCs w:val="24"/>
          <w:lang w:val="fi-FI"/>
        </w:rPr>
        <w:t>C, C/</w:t>
      </w:r>
      <w:r w:rsidRPr="00BA186D">
        <w:rPr>
          <w:sz w:val="24"/>
          <w:szCs w:val="24"/>
          <w:lang w:val="fi-FI"/>
        </w:rPr>
        <w:t>2024</w:t>
      </w:r>
      <w:r w:rsidRPr="00521E9B">
        <w:rPr>
          <w:sz w:val="24"/>
          <w:szCs w:val="24"/>
          <w:lang w:val="fi-FI"/>
        </w:rPr>
        <w:t>/</w:t>
      </w:r>
      <w:r w:rsidRPr="00BA186D">
        <w:rPr>
          <w:sz w:val="24"/>
          <w:szCs w:val="24"/>
          <w:lang w:val="fi-FI"/>
        </w:rPr>
        <w:t>1049</w:t>
      </w:r>
      <w:r w:rsidRPr="00521E9B">
        <w:rPr>
          <w:sz w:val="24"/>
          <w:szCs w:val="24"/>
          <w:lang w:val="fi-FI"/>
        </w:rPr>
        <w:t xml:space="preserve">, </w:t>
      </w:r>
      <w:r w:rsidRPr="00BA186D">
        <w:rPr>
          <w:sz w:val="24"/>
          <w:szCs w:val="24"/>
          <w:lang w:val="fi-FI"/>
        </w:rPr>
        <w:t>9</w:t>
      </w:r>
      <w:r w:rsidRPr="00521E9B">
        <w:rPr>
          <w:sz w:val="24"/>
          <w:szCs w:val="24"/>
          <w:lang w:val="fi-FI"/>
        </w:rPr>
        <w:t>.</w:t>
      </w:r>
      <w:r w:rsidRPr="00BA186D">
        <w:rPr>
          <w:sz w:val="24"/>
          <w:szCs w:val="24"/>
          <w:lang w:val="fi-FI"/>
        </w:rPr>
        <w:t>2</w:t>
      </w:r>
      <w:r w:rsidRPr="00521E9B">
        <w:rPr>
          <w:sz w:val="24"/>
          <w:szCs w:val="24"/>
          <w:lang w:val="fi-FI"/>
        </w:rPr>
        <w:t>.</w:t>
      </w:r>
      <w:r w:rsidRPr="00BA186D">
        <w:rPr>
          <w:sz w:val="24"/>
          <w:szCs w:val="24"/>
          <w:lang w:val="fi-FI"/>
        </w:rPr>
        <w:t>2024</w:t>
      </w:r>
      <w:r w:rsidRPr="00521E9B">
        <w:rPr>
          <w:sz w:val="24"/>
          <w:szCs w:val="24"/>
          <w:lang w:val="fi-FI"/>
        </w:rPr>
        <w:t xml:space="preserve">, ELI: </w:t>
      </w:r>
      <w:hyperlink r:id="rId1" w:history="1">
        <w:r w:rsidRPr="00261AE4">
          <w:rPr>
            <w:rStyle w:val="Hyperlink"/>
            <w:sz w:val="24"/>
            <w:szCs w:val="24"/>
            <w:lang w:val="fi-FI"/>
          </w:rPr>
          <w:t>http://data.europa.eu/eli/C/2024/1049/oj</w:t>
        </w:r>
      </w:hyperlink>
      <w:r w:rsidRPr="00521E9B">
        <w:rPr>
          <w:sz w:val="24"/>
          <w:szCs w:val="24"/>
          <w:lang w:val="fi-FI"/>
        </w:rPr>
        <w:t>.</w:t>
      </w:r>
    </w:p>
  </w:footnote>
  <w:footnote w:id="4">
    <w:p w14:paraId="4682A954" w14:textId="7D6CBFBE" w:rsidR="00261AE4" w:rsidRPr="00261AE4" w:rsidRDefault="00261AE4" w:rsidP="00261AE4">
      <w:pPr>
        <w:pStyle w:val="FootnoteText"/>
        <w:ind w:left="567" w:hanging="567"/>
        <w:rPr>
          <w:sz w:val="24"/>
          <w:szCs w:val="24"/>
          <w:lang w:val="lt-LT"/>
        </w:rPr>
      </w:pPr>
      <w:r w:rsidRPr="00261AE4">
        <w:rPr>
          <w:rStyle w:val="FootnoteReference"/>
          <w:sz w:val="24"/>
          <w:szCs w:val="24"/>
        </w:rPr>
        <w:footnoteRef/>
      </w:r>
      <w:r w:rsidRPr="00261AE4">
        <w:rPr>
          <w:sz w:val="24"/>
          <w:szCs w:val="24"/>
          <w:lang w:val="pl-PL"/>
        </w:rPr>
        <w:t xml:space="preserve"> </w:t>
      </w:r>
      <w:r w:rsidRPr="00261AE4">
        <w:rPr>
          <w:sz w:val="24"/>
          <w:szCs w:val="24"/>
          <w:lang w:val="lt-LT"/>
        </w:rPr>
        <w:tab/>
      </w:r>
      <w:proofErr w:type="spellStart"/>
      <w:r>
        <w:rPr>
          <w:iCs/>
          <w:sz w:val="24"/>
          <w:szCs w:val="24"/>
          <w:shd w:val="clear" w:color="auto" w:fill="FFFFFF"/>
          <w:lang w:val="lt-LT" w:eastAsia="en-GB"/>
        </w:rPr>
        <w:t>Úř</w:t>
      </w:r>
      <w:proofErr w:type="spellEnd"/>
      <w:r>
        <w:rPr>
          <w:iCs/>
          <w:sz w:val="24"/>
          <w:szCs w:val="24"/>
          <w:shd w:val="clear" w:color="auto" w:fill="FFFFFF"/>
          <w:lang w:val="lt-LT" w:eastAsia="en-GB"/>
        </w:rPr>
        <w:t>. věst.</w:t>
      </w:r>
      <w:r w:rsidRPr="00261AE4">
        <w:rPr>
          <w:iCs/>
          <w:sz w:val="24"/>
          <w:szCs w:val="24"/>
          <w:shd w:val="clear" w:color="auto" w:fill="FFFFFF"/>
          <w:lang w:val="pl-PL" w:eastAsia="en-GB"/>
        </w:rPr>
        <w:t xml:space="preserve"> L, 2025/38, 15.1.2025, ELI</w:t>
      </w:r>
      <w:proofErr w:type="gramStart"/>
      <w:r w:rsidRPr="00261AE4">
        <w:rPr>
          <w:iCs/>
          <w:sz w:val="24"/>
          <w:szCs w:val="24"/>
          <w:shd w:val="clear" w:color="auto" w:fill="FFFFFF"/>
          <w:lang w:val="pl-PL" w:eastAsia="en-GB"/>
        </w:rPr>
        <w:t>: </w:t>
      </w:r>
      <w:r w:rsidRPr="00261AE4">
        <w:rPr>
          <w:iCs/>
          <w:color w:val="333333"/>
          <w:sz w:val="24"/>
          <w:szCs w:val="24"/>
          <w:shd w:val="clear" w:color="auto" w:fill="FFFFFF"/>
          <w:lang w:val="en-GB" w:eastAsia="en-GB"/>
        </w:rPr>
        <w:fldChar w:fldCharType="begin"/>
      </w:r>
      <w:r w:rsidRPr="00261AE4">
        <w:rPr>
          <w:iCs/>
          <w:color w:val="333333"/>
          <w:sz w:val="24"/>
          <w:szCs w:val="24"/>
          <w:shd w:val="clear" w:color="auto" w:fill="FFFFFF"/>
          <w:lang w:val="pl-PL" w:eastAsia="en-GB"/>
        </w:rPr>
        <w:instrText>HYPERLINK "http://data.europa.eu/eli/reg/2025/38/oj" \o "Gives access to this document through its ELI URI." \t "_blank</w:instrText>
      </w:r>
      <w:proofErr w:type="gramEnd"/>
      <w:r w:rsidRPr="00261AE4">
        <w:rPr>
          <w:iCs/>
          <w:color w:val="333333"/>
          <w:sz w:val="24"/>
          <w:szCs w:val="24"/>
          <w:shd w:val="clear" w:color="auto" w:fill="FFFFFF"/>
          <w:lang w:val="pl-PL" w:eastAsia="en-GB"/>
        </w:rPr>
        <w:instrText>"</w:instrText>
      </w:r>
      <w:r w:rsidRPr="00261AE4">
        <w:rPr>
          <w:iCs/>
          <w:color w:val="333333"/>
          <w:sz w:val="24"/>
          <w:szCs w:val="24"/>
          <w:shd w:val="clear" w:color="auto" w:fill="FFFFFF"/>
          <w:lang w:val="en-GB" w:eastAsia="en-GB"/>
        </w:rPr>
        <w:fldChar w:fldCharType="separate"/>
      </w:r>
      <w:r w:rsidRPr="00261AE4">
        <w:rPr>
          <w:iCs/>
          <w:color w:val="337AB7"/>
          <w:sz w:val="24"/>
          <w:szCs w:val="24"/>
          <w:u w:val="single"/>
          <w:lang w:val="pl-PL" w:eastAsia="en-GB"/>
        </w:rPr>
        <w:t>http://data.europa.eu/eli/reg/2025/38/oj</w:t>
      </w:r>
      <w:r w:rsidRPr="00261AE4">
        <w:rPr>
          <w:iCs/>
          <w:color w:val="333333"/>
          <w:sz w:val="24"/>
          <w:szCs w:val="24"/>
          <w:shd w:val="clear" w:color="auto" w:fill="FFFFFF"/>
          <w:lang w:val="en-GB" w:eastAsia="en-GB"/>
        </w:rPr>
        <w:fldChar w:fldCharType="end"/>
      </w:r>
      <w:r w:rsidRPr="00261AE4">
        <w:rPr>
          <w:iCs/>
          <w:sz w:val="24"/>
          <w:szCs w:val="24"/>
          <w:shd w:val="clear" w:color="auto" w:fill="FFFFFF"/>
          <w:lang w:val="pl-PL" w:eastAsia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85EFB" w14:textId="77777777" w:rsidR="00A120C3" w:rsidRDefault="00A120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E1F0E" w14:textId="77777777" w:rsidR="00A120C3" w:rsidRDefault="00A120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4D071" w14:textId="77777777" w:rsidR="00A120C3" w:rsidRDefault="00A120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left="116" w:hanging="281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038" w:hanging="281"/>
      </w:pPr>
    </w:lvl>
    <w:lvl w:ilvl="2">
      <w:numFmt w:val="bullet"/>
      <w:lvlText w:val="•"/>
      <w:lvlJc w:val="left"/>
      <w:pPr>
        <w:ind w:left="1957" w:hanging="281"/>
      </w:pPr>
    </w:lvl>
    <w:lvl w:ilvl="3">
      <w:numFmt w:val="bullet"/>
      <w:lvlText w:val="•"/>
      <w:lvlJc w:val="left"/>
      <w:pPr>
        <w:ind w:left="2875" w:hanging="281"/>
      </w:pPr>
    </w:lvl>
    <w:lvl w:ilvl="4">
      <w:numFmt w:val="bullet"/>
      <w:lvlText w:val="•"/>
      <w:lvlJc w:val="left"/>
      <w:pPr>
        <w:ind w:left="3794" w:hanging="281"/>
      </w:pPr>
    </w:lvl>
    <w:lvl w:ilvl="5">
      <w:numFmt w:val="bullet"/>
      <w:lvlText w:val="•"/>
      <w:lvlJc w:val="left"/>
      <w:pPr>
        <w:ind w:left="4713" w:hanging="281"/>
      </w:pPr>
    </w:lvl>
    <w:lvl w:ilvl="6">
      <w:numFmt w:val="bullet"/>
      <w:lvlText w:val="•"/>
      <w:lvlJc w:val="left"/>
      <w:pPr>
        <w:ind w:left="5631" w:hanging="281"/>
      </w:pPr>
    </w:lvl>
    <w:lvl w:ilvl="7">
      <w:numFmt w:val="bullet"/>
      <w:lvlText w:val="•"/>
      <w:lvlJc w:val="left"/>
      <w:pPr>
        <w:ind w:left="6550" w:hanging="281"/>
      </w:pPr>
    </w:lvl>
    <w:lvl w:ilvl="8">
      <w:numFmt w:val="bullet"/>
      <w:lvlText w:val="•"/>
      <w:lvlJc w:val="left"/>
      <w:pPr>
        <w:ind w:left="7469" w:hanging="281"/>
      </w:pPr>
    </w:lvl>
  </w:abstractNum>
  <w:abstractNum w:abstractNumId="1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16" w:hanging="27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38" w:hanging="271"/>
      </w:pPr>
    </w:lvl>
    <w:lvl w:ilvl="2">
      <w:numFmt w:val="bullet"/>
      <w:lvlText w:val="•"/>
      <w:lvlJc w:val="left"/>
      <w:pPr>
        <w:ind w:left="1957" w:hanging="271"/>
      </w:pPr>
    </w:lvl>
    <w:lvl w:ilvl="3">
      <w:numFmt w:val="bullet"/>
      <w:lvlText w:val="•"/>
      <w:lvlJc w:val="left"/>
      <w:pPr>
        <w:ind w:left="2875" w:hanging="271"/>
      </w:pPr>
    </w:lvl>
    <w:lvl w:ilvl="4">
      <w:numFmt w:val="bullet"/>
      <w:lvlText w:val="•"/>
      <w:lvlJc w:val="left"/>
      <w:pPr>
        <w:ind w:left="3794" w:hanging="271"/>
      </w:pPr>
    </w:lvl>
    <w:lvl w:ilvl="5">
      <w:numFmt w:val="bullet"/>
      <w:lvlText w:val="•"/>
      <w:lvlJc w:val="left"/>
      <w:pPr>
        <w:ind w:left="4713" w:hanging="271"/>
      </w:pPr>
    </w:lvl>
    <w:lvl w:ilvl="6">
      <w:numFmt w:val="bullet"/>
      <w:lvlText w:val="•"/>
      <w:lvlJc w:val="left"/>
      <w:pPr>
        <w:ind w:left="5631" w:hanging="271"/>
      </w:pPr>
    </w:lvl>
    <w:lvl w:ilvl="7">
      <w:numFmt w:val="bullet"/>
      <w:lvlText w:val="•"/>
      <w:lvlJc w:val="left"/>
      <w:pPr>
        <w:ind w:left="6550" w:hanging="271"/>
      </w:pPr>
    </w:lvl>
    <w:lvl w:ilvl="8">
      <w:numFmt w:val="bullet"/>
      <w:lvlText w:val="•"/>
      <w:lvlJc w:val="left"/>
      <w:pPr>
        <w:ind w:left="7469" w:hanging="271"/>
      </w:pPr>
    </w:lvl>
  </w:abstractNum>
  <w:abstractNum w:abstractNumId="1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536" w:hanging="420"/>
      </w:p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</w:lvl>
    <w:lvl w:ilvl="3">
      <w:numFmt w:val="bullet"/>
      <w:lvlText w:val="•"/>
      <w:lvlJc w:val="left"/>
      <w:pPr>
        <w:ind w:left="3169" w:hanging="420"/>
      </w:pPr>
    </w:lvl>
    <w:lvl w:ilvl="4">
      <w:numFmt w:val="bullet"/>
      <w:lvlText w:val="•"/>
      <w:lvlJc w:val="left"/>
      <w:pPr>
        <w:ind w:left="4046" w:hanging="420"/>
      </w:pPr>
    </w:lvl>
    <w:lvl w:ilvl="5">
      <w:numFmt w:val="bullet"/>
      <w:lvlText w:val="•"/>
      <w:lvlJc w:val="left"/>
      <w:pPr>
        <w:ind w:left="4923" w:hanging="420"/>
      </w:pPr>
    </w:lvl>
    <w:lvl w:ilvl="6">
      <w:numFmt w:val="bullet"/>
      <w:lvlText w:val="•"/>
      <w:lvlJc w:val="left"/>
      <w:pPr>
        <w:ind w:left="5799" w:hanging="420"/>
      </w:pPr>
    </w:lvl>
    <w:lvl w:ilvl="7">
      <w:numFmt w:val="bullet"/>
      <w:lvlText w:val="•"/>
      <w:lvlJc w:val="left"/>
      <w:pPr>
        <w:ind w:left="6676" w:hanging="420"/>
      </w:pPr>
    </w:lvl>
    <w:lvl w:ilvl="8">
      <w:numFmt w:val="bullet"/>
      <w:lvlText w:val="•"/>
      <w:lvlJc w:val="left"/>
      <w:pPr>
        <w:ind w:left="7553" w:hanging="420"/>
      </w:pPr>
    </w:lvl>
  </w:abstractNum>
  <w:abstractNum w:abstractNumId="1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3"/>
  </w:num>
  <w:num w:numId="42">
    <w:abstractNumId w:val="13"/>
  </w:num>
  <w:num w:numId="43">
    <w:abstractNumId w:val="13"/>
  </w:num>
  <w:num w:numId="44">
    <w:abstractNumId w:val="14"/>
  </w:num>
  <w:num w:numId="45">
    <w:abstractNumId w:val="12"/>
  </w:num>
  <w:num w:numId="46">
    <w:abstractNumId w:val="11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6/2023"/>
    <w:docVar w:name="dvlangue" w:val="CS"/>
    <w:docVar w:name="dvnumam" w:val="92"/>
    <w:docVar w:name="dvpe" w:val="752.795"/>
    <w:docVar w:name="dvrapporteur" w:val="Zpravodajka: "/>
    <w:docVar w:name="dvstar" w:val="***I"/>
    <w:docVar w:name="dvtitre" w:val="Legislativní usnesení Evropského parlamentu ze dne 24. dubna 2024 o návrhu nařízení Evropského parlamentu a Rady, kterým se stanoví opatření k posílení solidarity a kapacit v Unii pro odhalování kybernetických bezpečnostních hrozeb a incidentů a pro připravenost a reakci na ně(COM(2023)0209 – C9-0136/2023 – 2023/0109(COD))"/>
  </w:docVars>
  <w:rsids>
    <w:rsidRoot w:val="00106314"/>
    <w:rsid w:val="00002272"/>
    <w:rsid w:val="00064002"/>
    <w:rsid w:val="000677B9"/>
    <w:rsid w:val="000831BA"/>
    <w:rsid w:val="000A42CC"/>
    <w:rsid w:val="000C50B3"/>
    <w:rsid w:val="000E7DD9"/>
    <w:rsid w:val="000F3450"/>
    <w:rsid w:val="0010095E"/>
    <w:rsid w:val="00106314"/>
    <w:rsid w:val="00125B37"/>
    <w:rsid w:val="00187494"/>
    <w:rsid w:val="001F32AE"/>
    <w:rsid w:val="00231EC9"/>
    <w:rsid w:val="00261AE4"/>
    <w:rsid w:val="002659A8"/>
    <w:rsid w:val="002767FF"/>
    <w:rsid w:val="00287581"/>
    <w:rsid w:val="002B18FE"/>
    <w:rsid w:val="002B5493"/>
    <w:rsid w:val="0031477D"/>
    <w:rsid w:val="00343214"/>
    <w:rsid w:val="00361C00"/>
    <w:rsid w:val="0037504F"/>
    <w:rsid w:val="00395FA1"/>
    <w:rsid w:val="003A308E"/>
    <w:rsid w:val="003E15D4"/>
    <w:rsid w:val="003F64E0"/>
    <w:rsid w:val="00411CCE"/>
    <w:rsid w:val="0041666E"/>
    <w:rsid w:val="00421060"/>
    <w:rsid w:val="00471C19"/>
    <w:rsid w:val="004867E3"/>
    <w:rsid w:val="004920EA"/>
    <w:rsid w:val="00494A28"/>
    <w:rsid w:val="004C0004"/>
    <w:rsid w:val="004C0226"/>
    <w:rsid w:val="004C5D52"/>
    <w:rsid w:val="0050519A"/>
    <w:rsid w:val="005072A1"/>
    <w:rsid w:val="00514517"/>
    <w:rsid w:val="00521E9B"/>
    <w:rsid w:val="00527CBA"/>
    <w:rsid w:val="00545827"/>
    <w:rsid w:val="00560270"/>
    <w:rsid w:val="005C2568"/>
    <w:rsid w:val="005D6965"/>
    <w:rsid w:val="005F59BF"/>
    <w:rsid w:val="00602654"/>
    <w:rsid w:val="006037C0"/>
    <w:rsid w:val="00626884"/>
    <w:rsid w:val="006631B6"/>
    <w:rsid w:val="00680577"/>
    <w:rsid w:val="00697A71"/>
    <w:rsid w:val="006F097F"/>
    <w:rsid w:val="006F74FA"/>
    <w:rsid w:val="00731ADD"/>
    <w:rsid w:val="00734777"/>
    <w:rsid w:val="00747932"/>
    <w:rsid w:val="00751A4A"/>
    <w:rsid w:val="00756632"/>
    <w:rsid w:val="00762C74"/>
    <w:rsid w:val="007755BC"/>
    <w:rsid w:val="00786EC0"/>
    <w:rsid w:val="007B40D2"/>
    <w:rsid w:val="007C0FDB"/>
    <w:rsid w:val="007D1690"/>
    <w:rsid w:val="007E22AD"/>
    <w:rsid w:val="007F4461"/>
    <w:rsid w:val="00817416"/>
    <w:rsid w:val="00842779"/>
    <w:rsid w:val="00865F67"/>
    <w:rsid w:val="00881A7B"/>
    <w:rsid w:val="008840E5"/>
    <w:rsid w:val="00887B3E"/>
    <w:rsid w:val="008C2AC6"/>
    <w:rsid w:val="00900900"/>
    <w:rsid w:val="00930C23"/>
    <w:rsid w:val="0093193B"/>
    <w:rsid w:val="0095019C"/>
    <w:rsid w:val="009509D8"/>
    <w:rsid w:val="00950B64"/>
    <w:rsid w:val="00981893"/>
    <w:rsid w:val="00A120C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A186D"/>
    <w:rsid w:val="00BB7898"/>
    <w:rsid w:val="00BD48FE"/>
    <w:rsid w:val="00BD7BD8"/>
    <w:rsid w:val="00BE6ADC"/>
    <w:rsid w:val="00C05BFE"/>
    <w:rsid w:val="00C23CD4"/>
    <w:rsid w:val="00C61C0C"/>
    <w:rsid w:val="00C70BF3"/>
    <w:rsid w:val="00C711A7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E5BD8"/>
    <w:rsid w:val="00DF2A66"/>
    <w:rsid w:val="00E365E1"/>
    <w:rsid w:val="00E820A4"/>
    <w:rsid w:val="00EB006A"/>
    <w:rsid w:val="00EB4772"/>
    <w:rsid w:val="00ED169E"/>
    <w:rsid w:val="00ED4235"/>
    <w:rsid w:val="00EE4071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6C7E8"/>
  <w15:chartTrackingRefBased/>
  <w15:docId w15:val="{28C03228-5268-48AE-9BCD-A7339864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5D6965"/>
    <w:pPr>
      <w:spacing w:after="120"/>
    </w:pPr>
  </w:style>
  <w:style w:type="paragraph" w:customStyle="1" w:styleId="NormalBold">
    <w:name w:val="NormalBold"/>
    <w:basedOn w:val="Normal"/>
    <w:link w:val="NormalBoldChar"/>
    <w:rsid w:val="005D6965"/>
    <w:rPr>
      <w:b/>
    </w:rPr>
  </w:style>
  <w:style w:type="paragraph" w:customStyle="1" w:styleId="NormalHanging12a">
    <w:name w:val="NormalHanging12a"/>
    <w:basedOn w:val="Normal"/>
    <w:rsid w:val="005D6965"/>
    <w:pPr>
      <w:spacing w:after="240"/>
      <w:ind w:left="567" w:hanging="567"/>
    </w:pPr>
  </w:style>
  <w:style w:type="paragraph" w:customStyle="1" w:styleId="AmNumberTabs">
    <w:name w:val="AmNumberTabs"/>
    <w:basedOn w:val="Normal"/>
    <w:link w:val="AmNumberTabsChar"/>
    <w:rsid w:val="005D696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5D6965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5D6965"/>
    <w:rPr>
      <w:b/>
      <w:sz w:val="24"/>
      <w:lang w:val="cs-CZ"/>
    </w:rPr>
  </w:style>
  <w:style w:type="character" w:styleId="Hyperlink">
    <w:name w:val="Hyperlink"/>
    <w:basedOn w:val="DefaultParagraphFont"/>
    <w:uiPriority w:val="99"/>
    <w:rsid w:val="005D6965"/>
    <w:rPr>
      <w:color w:val="0563C1" w:themeColor="hyperlink"/>
      <w:u w:val="single"/>
    </w:rPr>
  </w:style>
  <w:style w:type="paragraph" w:customStyle="1" w:styleId="NormalCenter12a">
    <w:name w:val="NormalCenter12a"/>
    <w:basedOn w:val="Normal"/>
    <w:rsid w:val="005D6965"/>
    <w:pPr>
      <w:spacing w:after="240"/>
      <w:jc w:val="center"/>
    </w:pPr>
    <w:rPr>
      <w:lang w:val="en-GB"/>
    </w:rPr>
  </w:style>
  <w:style w:type="character" w:customStyle="1" w:styleId="AmNumberTabsChar">
    <w:name w:val="AmNumberTabs Char"/>
    <w:basedOn w:val="DefaultParagraphFont"/>
    <w:link w:val="AmNumberTabs"/>
    <w:locked/>
    <w:rsid w:val="005D6965"/>
    <w:rPr>
      <w:b/>
      <w:sz w:val="24"/>
      <w:lang w:val="cs-CZ"/>
    </w:rPr>
  </w:style>
  <w:style w:type="paragraph" w:customStyle="1" w:styleId="AmHeadingConsam">
    <w:name w:val="AmHeadingConsam"/>
    <w:basedOn w:val="Normal"/>
    <w:next w:val="NormalCenter12a"/>
    <w:rsid w:val="005D6965"/>
    <w:pPr>
      <w:spacing w:before="720" w:after="240"/>
      <w:jc w:val="center"/>
    </w:pPr>
    <w:rPr>
      <w:lang w:val="en-GB"/>
    </w:rPr>
  </w:style>
  <w:style w:type="character" w:styleId="Emphasis">
    <w:name w:val="Emphasis"/>
    <w:basedOn w:val="DefaultParagraphFont"/>
    <w:uiPriority w:val="20"/>
    <w:qFormat/>
    <w:rsid w:val="005D6965"/>
    <w:rPr>
      <w:i/>
      <w:iCs/>
    </w:rPr>
  </w:style>
  <w:style w:type="paragraph" w:customStyle="1" w:styleId="ManualConsidrant">
    <w:name w:val="Manual Considérant"/>
    <w:basedOn w:val="Normal"/>
    <w:rsid w:val="005D6965"/>
    <w:pPr>
      <w:widowControl/>
      <w:spacing w:before="120" w:after="120"/>
      <w:ind w:left="709" w:hanging="709"/>
      <w:jc w:val="both"/>
    </w:pPr>
    <w:rPr>
      <w:rFonts w:eastAsiaTheme="minorHAnsi"/>
      <w:szCs w:val="22"/>
      <w:lang w:val="en-GB" w:eastAsia="en-US"/>
    </w:rPr>
  </w:style>
  <w:style w:type="character" w:customStyle="1" w:styleId="eop">
    <w:name w:val="eop"/>
    <w:basedOn w:val="DefaultParagraphFont"/>
    <w:rsid w:val="005D6965"/>
  </w:style>
  <w:style w:type="paragraph" w:customStyle="1" w:styleId="Point0">
    <w:name w:val="Point 0"/>
    <w:basedOn w:val="Normal"/>
    <w:rsid w:val="005D6965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paragraph">
    <w:name w:val="paragraph"/>
    <w:basedOn w:val="Normal"/>
    <w:rsid w:val="005D6965"/>
    <w:pPr>
      <w:widowControl/>
      <w:spacing w:beforeAutospacing="1" w:after="200" w:afterAutospacing="1" w:line="276" w:lineRule="auto"/>
    </w:pPr>
    <w:rPr>
      <w:szCs w:val="24"/>
      <w:lang w:val="en-GB" w:eastAsia="en-IE"/>
    </w:rPr>
  </w:style>
  <w:style w:type="paragraph" w:styleId="ListParagraph">
    <w:name w:val="List Paragraph"/>
    <w:aliases w:val="Listaszerű bekezdés1,List Paragraph à moi,Colorful List - Accent 11,Medium Grid 1 - Accent 21,Listaszeru bekezdés1,Colorful List - Accent 111,Dot pt,F5 List Paragraph,List Paragraph1,No Spacing1,List Paragraph Char Char Char,Bullets"/>
    <w:basedOn w:val="Normal"/>
    <w:link w:val="ListParagraphChar"/>
    <w:uiPriority w:val="1"/>
    <w:qFormat/>
    <w:rsid w:val="005D6965"/>
    <w:pPr>
      <w:ind w:left="720"/>
      <w:contextualSpacing/>
    </w:pPr>
    <w:rPr>
      <w:lang w:val="en-GB"/>
    </w:rPr>
  </w:style>
  <w:style w:type="character" w:customStyle="1" w:styleId="normaltextrun">
    <w:name w:val="normaltextrun"/>
    <w:basedOn w:val="DefaultParagraphFont"/>
    <w:rsid w:val="005D6965"/>
  </w:style>
  <w:style w:type="character" w:customStyle="1" w:styleId="ListParagraphChar">
    <w:name w:val="List Paragraph Char"/>
    <w:aliases w:val="Listaszerű bekezdés1 Char,List Paragraph à moi Char,Colorful List - Accent 11 Char,Medium Grid 1 - Accent 21 Char,Listaszeru bekezdés1 Char,Colorful List - Accent 111 Char,Dot pt Char,F5 List Paragraph Char,List Paragraph1 Char"/>
    <w:link w:val="ListParagraph"/>
    <w:uiPriority w:val="1"/>
    <w:qFormat/>
    <w:rsid w:val="005D6965"/>
    <w:rPr>
      <w:sz w:val="24"/>
    </w:rPr>
  </w:style>
  <w:style w:type="paragraph" w:customStyle="1" w:styleId="Normal0">
    <w:name w:val="_Normal"/>
    <w:basedOn w:val="Normal"/>
    <w:link w:val="NormalCar"/>
    <w:qFormat/>
    <w:rsid w:val="005D6965"/>
    <w:pPr>
      <w:widowControl/>
      <w:spacing w:before="120" w:after="120" w:line="240" w:lineRule="atLeast"/>
      <w:jc w:val="both"/>
    </w:pPr>
    <w:rPr>
      <w:rFonts w:ascii="Arial" w:hAnsi="Arial"/>
      <w:sz w:val="20"/>
      <w:szCs w:val="24"/>
      <w:lang w:val="en-GB" w:eastAsia="en-US"/>
    </w:rPr>
  </w:style>
  <w:style w:type="character" w:customStyle="1" w:styleId="NormalCar">
    <w:name w:val="_Normal Car"/>
    <w:link w:val="Normal0"/>
    <w:rsid w:val="005D6965"/>
    <w:rPr>
      <w:rFonts w:ascii="Arial" w:hAnsi="Arial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5D6965"/>
    <w:pPr>
      <w:autoSpaceDE w:val="0"/>
      <w:autoSpaceDN w:val="0"/>
      <w:adjustRightInd w:val="0"/>
    </w:pPr>
    <w:rPr>
      <w:rFonts w:eastAsiaTheme="minorEastAsia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5D6965"/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rsid w:val="0037504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04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7504F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rsid w:val="003750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504F"/>
    <w:rPr>
      <w:b/>
      <w:bCs/>
      <w:lang w:val="cs-CZ"/>
    </w:rPr>
  </w:style>
  <w:style w:type="paragraph" w:styleId="BalloonText">
    <w:name w:val="Balloon Text"/>
    <w:basedOn w:val="Normal"/>
    <w:link w:val="BalloonTextChar"/>
    <w:rsid w:val="003750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7504F"/>
    <w:rPr>
      <w:rFonts w:ascii="Segoe UI" w:hAnsi="Segoe UI" w:cs="Segoe UI"/>
      <w:sz w:val="18"/>
      <w:szCs w:val="18"/>
      <w:lang w:val="cs-CZ"/>
    </w:rPr>
  </w:style>
  <w:style w:type="character" w:customStyle="1" w:styleId="Heading3Char">
    <w:name w:val="Heading 3 Char"/>
    <w:basedOn w:val="DefaultParagraphFont"/>
    <w:link w:val="Heading3"/>
    <w:semiHidden/>
    <w:rsid w:val="007F4461"/>
    <w:rPr>
      <w:rFonts w:ascii="Arial" w:hAnsi="Arial"/>
      <w:sz w:val="24"/>
      <w:lang w:val="fr-FR" w:eastAsia="fr-FR"/>
    </w:rPr>
  </w:style>
  <w:style w:type="paragraph" w:styleId="Header">
    <w:name w:val="header"/>
    <w:basedOn w:val="Normal"/>
    <w:link w:val="HeaderChar"/>
    <w:rsid w:val="007F44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F4461"/>
    <w:rPr>
      <w:sz w:val="24"/>
      <w:lang w:val="cs-CZ"/>
    </w:rPr>
  </w:style>
  <w:style w:type="paragraph" w:customStyle="1" w:styleId="AmDocTypeTab">
    <w:name w:val="AmDocTypeTab"/>
    <w:basedOn w:val="Normal"/>
    <w:rsid w:val="007F4461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7F4461"/>
    <w:pPr>
      <w:spacing w:after="240"/>
    </w:pPr>
  </w:style>
  <w:style w:type="paragraph" w:customStyle="1" w:styleId="EPFooter2">
    <w:name w:val="EPFooter2"/>
    <w:basedOn w:val="Normal"/>
    <w:next w:val="Normal"/>
    <w:rsid w:val="007F446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7F4461"/>
    <w:pPr>
      <w:spacing w:before="240" w:after="240"/>
      <w:jc w:val="right"/>
    </w:pPr>
  </w:style>
  <w:style w:type="paragraph" w:customStyle="1" w:styleId="AmDateTab">
    <w:name w:val="AmDateTab"/>
    <w:basedOn w:val="Normal"/>
    <w:rsid w:val="007F4461"/>
    <w:pPr>
      <w:tabs>
        <w:tab w:val="right" w:pos="9072"/>
      </w:tabs>
    </w:pPr>
  </w:style>
  <w:style w:type="paragraph" w:customStyle="1" w:styleId="EPFooter">
    <w:name w:val="EPFooter"/>
    <w:basedOn w:val="Normal"/>
    <w:rsid w:val="007F446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7F4461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7F44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461"/>
    <w:rPr>
      <w:sz w:val="24"/>
      <w:lang w:val="cs-CZ"/>
    </w:rPr>
  </w:style>
  <w:style w:type="paragraph" w:customStyle="1" w:styleId="SignaturePersonne">
    <w:name w:val="Signature Personne"/>
    <w:basedOn w:val="Normal"/>
    <w:rsid w:val="007F4461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7F4461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7F4461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7F4461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7F4461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7F4461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7F4461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7F4461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7F4461"/>
    <w:pPr>
      <w:widowControl w:val="0"/>
      <w:spacing w:before="120" w:after="120" w:line="360" w:lineRule="auto"/>
    </w:pPr>
    <w:rPr>
      <w:sz w:val="24"/>
      <w:lang w:val="en-US" w:eastAsia="en-US"/>
    </w:rPr>
  </w:style>
  <w:style w:type="paragraph" w:customStyle="1" w:styleId="Formuledadoption">
    <w:name w:val="Formule d'adoption"/>
    <w:basedOn w:val="Normal"/>
    <w:next w:val="Normal"/>
    <w:rsid w:val="007F4461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7F4461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7F4461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7F4461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7F4461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7F4461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7F4461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7F4461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styleId="Revision">
    <w:name w:val="Revision"/>
    <w:hidden/>
    <w:uiPriority w:val="99"/>
    <w:semiHidden/>
    <w:rsid w:val="007F4461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E5BD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DE5BD8"/>
    <w:rPr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DE5BD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DE5BD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DE5BD8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semiHidden/>
    <w:rsid w:val="00DE5BD8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DE5BD8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DE5BD8"/>
    <w:rPr>
      <w:rFonts w:ascii="Arial" w:hAnsi="Arial"/>
      <w:b/>
      <w:i/>
      <w:sz w:val="18"/>
      <w:lang w:val="cs-CZ"/>
    </w:rPr>
  </w:style>
  <w:style w:type="paragraph" w:customStyle="1" w:styleId="HeadingDocType24a">
    <w:name w:val="HeadingDocType24a"/>
    <w:basedOn w:val="Normal"/>
    <w:rsid w:val="00DE5BD8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DE5BD8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DE5BD8"/>
    <w:pPr>
      <w:jc w:val="center"/>
    </w:pPr>
  </w:style>
  <w:style w:type="paragraph" w:customStyle="1" w:styleId="Normal24a">
    <w:name w:val="Normal24a"/>
    <w:basedOn w:val="Normal"/>
    <w:rsid w:val="00DE5BD8"/>
    <w:pPr>
      <w:spacing w:after="480"/>
    </w:pPr>
  </w:style>
  <w:style w:type="paragraph" w:customStyle="1" w:styleId="EPBody">
    <w:name w:val="EPBody"/>
    <w:basedOn w:val="Normal"/>
    <w:rsid w:val="00DE5BD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ineSingle">
    <w:name w:val="LineSingle"/>
    <w:basedOn w:val="Normal"/>
    <w:next w:val="Normal"/>
    <w:rsid w:val="00DE5BD8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DE5BD8"/>
    <w:pPr>
      <w:spacing w:before="240" w:after="240"/>
    </w:pPr>
  </w:style>
  <w:style w:type="character" w:styleId="FollowedHyperlink">
    <w:name w:val="FollowedHyperlink"/>
    <w:basedOn w:val="DefaultParagraphFont"/>
    <w:rsid w:val="00DE5BD8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DE5BD8"/>
    <w:rPr>
      <w:rFonts w:ascii="Segoe UI" w:hAnsi="Segoe UI" w:cs="Segoe UI" w:hint="default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04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11B3D-8E7B-4829-90BF-6E3A67390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768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BINKEVICIUTE Aurelija</cp:lastModifiedBy>
  <cp:revision>3</cp:revision>
  <cp:lastPrinted>2004-11-19T15:42:00Z</cp:lastPrinted>
  <dcterms:created xsi:type="dcterms:W3CDTF">2025-03-10T17:30:00Z</dcterms:created>
  <dcterms:modified xsi:type="dcterms:W3CDTF">2025-06-18T14:43:00Z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P9_TA(2024)0355_</vt:lpwstr>
  </property>
  <property fmtid="{D5CDD505-2E9C-101B-9397-08002B2CF9AE}" pid="4" name="&lt;Type&gt;">
    <vt:lpwstr>RR</vt:lpwstr>
  </property>
</Properties>
</file>